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F61CC2" w14:textId="77777777" w:rsidR="00072F02" w:rsidRDefault="00072F02" w:rsidP="00A82773">
      <w:pPr>
        <w:pStyle w:val="Rubrik2"/>
        <w:ind w:right="140"/>
        <w:sectPr w:rsidR="00072F02" w:rsidSect="00072F0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59AFBAA" w14:textId="77777777" w:rsidR="00072F02" w:rsidRPr="00072F02" w:rsidRDefault="00072F02" w:rsidP="00A82773">
      <w:pPr>
        <w:spacing w:after="0" w:line="240" w:lineRule="auto"/>
        <w:ind w:right="140"/>
        <w:rPr>
          <w:szCs w:val="20"/>
        </w:rPr>
      </w:pPr>
    </w:p>
    <w:p w14:paraId="75B577A8" w14:textId="513338F7" w:rsidR="00072F02" w:rsidRPr="00072F02" w:rsidRDefault="00072F02" w:rsidP="00A82773">
      <w:pPr>
        <w:spacing w:after="0" w:line="240" w:lineRule="auto"/>
        <w:ind w:right="140"/>
        <w:rPr>
          <w:szCs w:val="20"/>
        </w:rPr>
      </w:pPr>
      <w:r w:rsidRPr="00072F02">
        <w:rPr>
          <w:noProof/>
          <w:szCs w:val="20"/>
        </w:rPr>
        <mc:AlternateContent>
          <mc:Choice Requires="wps">
            <w:drawing>
              <wp:anchor distT="0" distB="0" distL="114935" distR="114935" simplePos="0" relativeHeight="251659264" behindDoc="0" locked="0" layoutInCell="1" allowOverlap="1" wp14:anchorId="7F1071F4" wp14:editId="058EC549">
                <wp:simplePos x="0" y="0"/>
                <wp:positionH relativeFrom="column">
                  <wp:posOffset>6518275</wp:posOffset>
                </wp:positionH>
                <wp:positionV relativeFrom="paragraph">
                  <wp:posOffset>78740</wp:posOffset>
                </wp:positionV>
                <wp:extent cx="1243965" cy="130810"/>
                <wp:effectExtent l="6985" t="4445" r="6350" b="762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3965" cy="13081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F08EA2" w14:textId="77777777" w:rsidR="00072F02" w:rsidRDefault="00072F02" w:rsidP="00072F02">
                            <w:r>
                              <w:rPr>
                                <w:rFonts w:ascii="Arial" w:hAnsi="Arial" w:cs="Arial"/>
                                <w:color w:val="FFFFFF"/>
                                <w:sz w:val="18"/>
                                <w:szCs w:val="18"/>
                              </w:rPr>
                              <w:t xml:space="preserve">Dok.ID: </w:t>
                            </w:r>
                            <w:r>
                              <w:rPr>
                                <w:rFonts w:cs="Arial"/>
                                <w:color w:val="FFFFFF"/>
                                <w:sz w:val="18"/>
                                <w:szCs w:val="18"/>
                              </w:rPr>
                              <w:fldChar w:fldCharType="begin"/>
                            </w:r>
                            <w:r>
                              <w:rPr>
                                <w:rFonts w:cs="Arial"/>
                                <w:color w:val="FFFFFF"/>
                                <w:sz w:val="18"/>
                                <w:szCs w:val="18"/>
                              </w:rPr>
                              <w:instrText xml:space="preserve"> DOCPROPERTY "PubID"</w:instrText>
                            </w:r>
                            <w:r>
                              <w:rPr>
                                <w:rFonts w:cs="Arial"/>
                                <w:color w:val="FFFFFF"/>
                                <w:sz w:val="18"/>
                                <w:szCs w:val="18"/>
                              </w:rPr>
                              <w:fldChar w:fldCharType="separate"/>
                            </w:r>
                            <w:r>
                              <w:rPr>
                                <w:rFonts w:cs="Arial"/>
                                <w:color w:val="FFFFFF"/>
                                <w:sz w:val="18"/>
                                <w:szCs w:val="18"/>
                              </w:rPr>
                              <w:t>14440</w:t>
                            </w:r>
                            <w:r>
                              <w:rPr>
                                <w:rFonts w:cs="Arial"/>
                                <w:color w:val="FFFFFF"/>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1071F4" id="_x0000_t202" coordsize="21600,21600" o:spt="202" path="m,l,21600r21600,l21600,xe">
                <v:stroke joinstyle="miter"/>
                <v:path gradientshapeok="t" o:connecttype="rect"/>
              </v:shapetype>
              <v:shape id="Text Box 1" o:spid="_x0000_s1026" type="#_x0000_t202" style="position:absolute;left:0;text-align:left;margin-left:513.25pt;margin-top:6.2pt;width:97.95pt;height:10.3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" stroked="f">
                <v:fill opacity="0"/>
                <v:textbox inset="0,0,0,0">
                  <w:txbxContent>
                    <w:p w14:paraId="34F08EA2" w14:textId="77777777" w:rsidR="00072F02" w:rsidRDefault="00072F02" w:rsidP="00072F02">
                      <w:r>
                        <w:rPr>
                          <w:rFonts w:ascii="Arial" w:hAnsi="Arial" w:cs="Arial"/>
                          <w:color w:val="FFFFFF"/>
                          <w:sz w:val="18"/>
                          <w:szCs w:val="18"/>
                        </w:rPr>
                        <w:t xml:space="preserve">Dok.ID: </w:t>
                      </w:r>
                      <w:r>
                        <w:rPr>
                          <w:rFonts w:cs="Arial"/>
                          <w:color w:val="FFFFFF"/>
                          <w:sz w:val="18"/>
                          <w:szCs w:val="18"/>
                        </w:rPr>
                        <w:fldChar w:fldCharType="begin"/>
                      </w:r>
                      <w:r>
                        <w:rPr>
                          <w:rFonts w:cs="Arial"/>
                          <w:color w:val="FFFFFF"/>
                          <w:sz w:val="18"/>
                          <w:szCs w:val="18"/>
                        </w:rPr>
                        <w:instrText xml:space="preserve"> DOCPROPERTY "PubID"</w:instrText>
                      </w:r>
                      <w:r>
                        <w:rPr>
                          <w:rFonts w:cs="Arial"/>
                          <w:color w:val="FFFFFF"/>
                          <w:sz w:val="18"/>
                          <w:szCs w:val="18"/>
                        </w:rPr>
                        <w:fldChar w:fldCharType="separate"/>
                      </w:r>
                      <w:r>
                        <w:rPr>
                          <w:rFonts w:cs="Arial"/>
                          <w:color w:val="FFFFFF"/>
                          <w:sz w:val="18"/>
                          <w:szCs w:val="18"/>
                        </w:rPr>
                        <w:t>14440</w:t>
                      </w:r>
                      <w:r>
                        <w:rPr>
                          <w:rFonts w:cs="Arial"/>
                          <w:color w:val="FFFFFF"/>
                          <w:sz w:val="18"/>
                          <w:szCs w:val="18"/>
                        </w:rPr>
                        <w:fldChar w:fldCharType="end"/>
                      </w:r>
                    </w:p>
                  </w:txbxContent>
                </v:textbox>
              </v:shape>
            </w:pict>
          </mc:Fallback>
        </mc:AlternateContent>
      </w:r>
    </w:p>
    <w:tbl>
      <w:tblPr>
        <w:tblW w:w="0" w:type="auto"/>
        <w:tblLayout w:type="fixed"/>
        <w:tblCellMar>
          <w:left w:w="0" w:type="dxa"/>
          <w:right w:w="0" w:type="dxa"/>
        </w:tblCellMar>
        <w:tblLook w:val="04A0" w:firstRow="1" w:lastRow="0" w:firstColumn="1" w:lastColumn="0" w:noHBand="0" w:noVBand="1"/>
      </w:tblPr>
      <w:tblGrid>
        <w:gridCol w:w="9039"/>
      </w:tblGrid>
      <w:tr w:rsidR="00072F02" w:rsidRPr="00072F02" w14:paraId="4BC1A7F7" w14:textId="77777777" w:rsidTr="001E4046">
        <w:trPr>
          <w:cantSplit/>
          <w:trHeight w:val="570"/>
        </w:trPr>
        <w:tc>
          <w:tcPr>
            <w:tcW w:w="9039" w:type="dxa"/>
            <w:tcBorders>
              <w:top w:val="nil"/>
              <w:left w:val="nil"/>
              <w:bottom w:val="single" w:sz="8" w:space="0" w:color="000000"/>
              <w:right w:val="nil"/>
            </w:tcBorders>
            <w:vAlign w:val="bottom"/>
            <w:hideMark/>
          </w:tcPr>
          <w:p w14:paraId="4DBC4C23" w14:textId="77777777" w:rsidR="00072F02" w:rsidRPr="00072F02" w:rsidRDefault="00072F02" w:rsidP="00A82773">
            <w:pPr>
              <w:pStyle w:val="Rubrik1"/>
              <w:ind w:right="140"/>
              <w:rPr>
                <w:rFonts w:ascii="Times New Roman Fet" w:hAnsi="Times New Roman Fet" w:hint="eastAsia"/>
                <w:noProof/>
                <w:sz w:val="20"/>
                <w:szCs w:val="20"/>
              </w:rPr>
            </w:pPr>
            <w:bookmarkStart w:id="1" w:name="Rubrik"/>
            <w:bookmarkStart w:id="2" w:name="_1314629194"/>
            <w:bookmarkEnd w:id="1"/>
            <w:bookmarkEnd w:id="2"/>
            <w:r w:rsidRPr="00072F02">
              <w:rPr>
                <w:noProof/>
              </w:rPr>
              <w:t xml:space="preserve">Patellarfraktur </w:t>
            </w:r>
          </w:p>
        </w:tc>
      </w:tr>
    </w:tbl>
    <w:p w14:paraId="5F5592FC" w14:textId="77777777" w:rsidR="00072F02" w:rsidRPr="00072F02" w:rsidRDefault="00072F02" w:rsidP="00A82773">
      <w:pPr>
        <w:spacing w:after="0" w:line="240" w:lineRule="auto"/>
        <w:ind w:right="140"/>
        <w:rPr>
          <w:rFonts w:ascii="Arial" w:hAnsi="Arial" w:cs="Arial"/>
          <w:b/>
          <w:bCs/>
          <w:iCs/>
          <w:sz w:val="26"/>
          <w:szCs w:val="28"/>
          <w:lang w:eastAsia="zh-CN"/>
        </w:rPr>
      </w:pPr>
    </w:p>
    <w:p w14:paraId="70F4A8BB" w14:textId="77777777" w:rsidR="00072F02" w:rsidRPr="00072F02" w:rsidRDefault="00072F02" w:rsidP="00A82773">
      <w:pPr>
        <w:pStyle w:val="Rubrik2"/>
        <w:ind w:right="140"/>
        <w:rPr>
          <w:lang w:eastAsia="zh-CN"/>
        </w:rPr>
      </w:pPr>
      <w:r w:rsidRPr="00072F02">
        <w:rPr>
          <w:lang w:eastAsia="zh-CN"/>
        </w:rPr>
        <w:t>Revidering i denna version:</w:t>
      </w:r>
    </w:p>
    <w:p w14:paraId="74FA104E" w14:textId="5A4DCE10" w:rsidR="00072F02" w:rsidRPr="00072F02" w:rsidRDefault="00D271FC" w:rsidP="00A82773">
      <w:pPr>
        <w:spacing w:after="0" w:line="240" w:lineRule="auto"/>
        <w:ind w:right="140"/>
        <w:rPr>
          <w:szCs w:val="20"/>
        </w:rPr>
      </w:pPr>
      <w:r>
        <w:rPr>
          <w:szCs w:val="20"/>
        </w:rPr>
        <w:t>Reviderad under rubrik: Anestesiförslag</w:t>
      </w:r>
    </w:p>
    <w:p w14:paraId="385082A3" w14:textId="77777777" w:rsidR="00072F02" w:rsidRPr="00A82773" w:rsidRDefault="00072F02" w:rsidP="00A82773">
      <w:pPr>
        <w:pStyle w:val="Rubrik2"/>
        <w:ind w:right="140"/>
        <w:rPr>
          <w:lang w:eastAsia="zh-CN"/>
        </w:rPr>
      </w:pPr>
      <w:r w:rsidRPr="00A82773">
        <w:rPr>
          <w:lang w:eastAsia="zh-CN"/>
        </w:rPr>
        <w:t>Bakgrund</w:t>
      </w:r>
    </w:p>
    <w:p w14:paraId="03B07C43" w14:textId="77777777" w:rsidR="00072F02" w:rsidRPr="00072F02" w:rsidRDefault="00072F02" w:rsidP="00A82773">
      <w:pPr>
        <w:spacing w:after="0" w:line="240" w:lineRule="auto"/>
        <w:ind w:right="140"/>
        <w:rPr>
          <w:szCs w:val="20"/>
        </w:rPr>
      </w:pPr>
      <w:r w:rsidRPr="00072F02">
        <w:rPr>
          <w:rFonts w:ascii="LMEAC J+ Times New" w:hAnsi="LMEAC J+ Times New" w:cs="LMEAC J+ Times New"/>
          <w:color w:val="000000"/>
          <w:sz w:val="23"/>
          <w:szCs w:val="23"/>
        </w:rPr>
        <w:t>Helt odislocerade eller längsgående frakturer genom knäskålen kan behandlas konservativt med gips. Om frakturen emellertid går tvärs över knäskålen så innebär detta att sträckförmågan från lårmuskulaturen ner genom knäskålen har gått förlorad. Då behöver frakturen sättas samman, vilket oftast sker genom stift och cerklage men kan även göras med skruv och cerklage.</w:t>
      </w:r>
    </w:p>
    <w:p w14:paraId="249BD009" w14:textId="77777777" w:rsidR="00072F02" w:rsidRPr="00A82773" w:rsidRDefault="00072F02" w:rsidP="00A82773">
      <w:pPr>
        <w:pStyle w:val="Rubrik2"/>
        <w:ind w:right="140"/>
        <w:rPr>
          <w:lang w:eastAsia="zh-CN"/>
        </w:rPr>
      </w:pPr>
      <w:r w:rsidRPr="00A82773">
        <w:rPr>
          <w:lang w:eastAsia="zh-CN"/>
        </w:rPr>
        <w:t>Syfte</w:t>
      </w:r>
    </w:p>
    <w:p w14:paraId="0888BDDE" w14:textId="77777777" w:rsidR="00072F02" w:rsidRPr="00072F02" w:rsidRDefault="00072F02" w:rsidP="00A82773">
      <w:pPr>
        <w:spacing w:after="0" w:line="240" w:lineRule="auto"/>
        <w:ind w:right="140"/>
        <w:rPr>
          <w:szCs w:val="20"/>
        </w:rPr>
      </w:pPr>
      <w:r w:rsidRPr="00072F02">
        <w:rPr>
          <w:rFonts w:ascii="LMEAC J+ Times New" w:hAnsi="LMEAC J+ Times New" w:cs="LMEAC J+ Times New"/>
          <w:color w:val="000000"/>
          <w:sz w:val="23"/>
          <w:szCs w:val="23"/>
        </w:rPr>
        <w:t>Att skapa ett dokumentstöd för omhändertagande av patient vid operation av patellarfraktur.</w:t>
      </w:r>
    </w:p>
    <w:p w14:paraId="00E8A3E7" w14:textId="77777777" w:rsidR="00072F02" w:rsidRPr="00A82773" w:rsidRDefault="00072F02" w:rsidP="00A82773">
      <w:pPr>
        <w:pStyle w:val="Rubrik2"/>
        <w:ind w:right="140"/>
        <w:rPr>
          <w:lang w:eastAsia="zh-CN"/>
        </w:rPr>
      </w:pPr>
      <w:r w:rsidRPr="00A82773">
        <w:rPr>
          <w:lang w:eastAsia="zh-CN"/>
        </w:rPr>
        <w:t>Vilka berörs</w:t>
      </w:r>
    </w:p>
    <w:p w14:paraId="77E47582" w14:textId="77777777" w:rsidR="00072F02" w:rsidRPr="00072F02" w:rsidRDefault="00072F02" w:rsidP="00A82773">
      <w:pPr>
        <w:spacing w:after="0" w:line="240" w:lineRule="auto"/>
        <w:ind w:right="140"/>
        <w:rPr>
          <w:szCs w:val="20"/>
        </w:rPr>
      </w:pPr>
      <w:r w:rsidRPr="00072F02">
        <w:rPr>
          <w:sz w:val="23"/>
          <w:szCs w:val="23"/>
        </w:rPr>
        <w:t>All personal, Operation NU-sjukvården.</w:t>
      </w:r>
    </w:p>
    <w:p w14:paraId="127CFCF5" w14:textId="77777777" w:rsidR="00072F02" w:rsidRPr="00A82773" w:rsidRDefault="00072F02" w:rsidP="00A82773">
      <w:pPr>
        <w:pStyle w:val="Rubrik2"/>
        <w:ind w:right="140"/>
        <w:rPr>
          <w:lang w:eastAsia="zh-CN"/>
        </w:rPr>
      </w:pPr>
      <w:r w:rsidRPr="00A82773">
        <w:rPr>
          <w:lang w:eastAsia="zh-CN"/>
        </w:rPr>
        <w:t>Anestesiförslag</w:t>
      </w:r>
    </w:p>
    <w:p w14:paraId="60010444" w14:textId="77777777" w:rsidR="00072F02" w:rsidRPr="00072F02" w:rsidRDefault="00072F02" w:rsidP="00A82773">
      <w:pPr>
        <w:spacing w:after="0" w:line="240" w:lineRule="auto"/>
        <w:ind w:right="140"/>
        <w:rPr>
          <w:szCs w:val="20"/>
        </w:rPr>
      </w:pPr>
      <w:r w:rsidRPr="00072F02">
        <w:rPr>
          <w:szCs w:val="20"/>
        </w:rPr>
        <w:t>T Paracetamol enl.rutin för premedicinering</w:t>
      </w:r>
    </w:p>
    <w:p w14:paraId="220D8690" w14:textId="77777777" w:rsidR="00072F02" w:rsidRPr="00072F02" w:rsidRDefault="00072F02" w:rsidP="00A82773">
      <w:pPr>
        <w:spacing w:after="0" w:line="240" w:lineRule="auto"/>
        <w:ind w:right="140"/>
        <w:rPr>
          <w:szCs w:val="20"/>
        </w:rPr>
      </w:pPr>
      <w:r w:rsidRPr="00072F02">
        <w:rPr>
          <w:szCs w:val="20"/>
        </w:rPr>
        <w:t xml:space="preserve">T Oxycontin ca 0,1 - 0,2 mg/kg, max 20 mg, dos anpassas till ålder och tidigare opioidkonsumtion   </w:t>
      </w:r>
    </w:p>
    <w:p w14:paraId="7BEFFE54" w14:textId="06A0D5CF" w:rsidR="00072F02" w:rsidRPr="00072F02" w:rsidRDefault="00072F02" w:rsidP="00A82773">
      <w:pPr>
        <w:spacing w:after="0" w:line="240" w:lineRule="auto"/>
        <w:ind w:right="140"/>
        <w:rPr>
          <w:szCs w:val="20"/>
        </w:rPr>
      </w:pPr>
      <w:r w:rsidRPr="00072F02">
        <w:rPr>
          <w:szCs w:val="20"/>
        </w:rPr>
        <w:t xml:space="preserve">T </w:t>
      </w:r>
      <w:r w:rsidR="00D271FC">
        <w:rPr>
          <w:szCs w:val="20"/>
        </w:rPr>
        <w:t>Etoricoxib se rutin: Etoricoxib – grundrutin för premedicinering och perioperativt bruk</w:t>
      </w:r>
      <w:r w:rsidRPr="00072F02">
        <w:rPr>
          <w:szCs w:val="20"/>
        </w:rPr>
        <w:t xml:space="preserve">     </w:t>
      </w:r>
    </w:p>
    <w:p w14:paraId="40FCC950" w14:textId="77777777" w:rsidR="00072F02" w:rsidRPr="00072F02" w:rsidRDefault="00072F02" w:rsidP="00A82773">
      <w:pPr>
        <w:pStyle w:val="Rubrik3"/>
        <w:ind w:right="140"/>
      </w:pPr>
      <w:r w:rsidRPr="00072F02">
        <w:t>Anestesi:</w:t>
      </w:r>
    </w:p>
    <w:p w14:paraId="3CC3D203" w14:textId="77777777" w:rsidR="00072F02" w:rsidRPr="00072F02" w:rsidRDefault="00072F02" w:rsidP="00A82773">
      <w:pPr>
        <w:spacing w:after="0" w:line="240" w:lineRule="auto"/>
        <w:ind w:right="140"/>
        <w:rPr>
          <w:szCs w:val="20"/>
        </w:rPr>
      </w:pPr>
      <w:r w:rsidRPr="00072F02">
        <w:rPr>
          <w:szCs w:val="20"/>
        </w:rPr>
        <w:t>Alt 1. Spinal: Marcain spinal 5mg/ml</w:t>
      </w:r>
    </w:p>
    <w:p w14:paraId="3F5C8FA9" w14:textId="77777777" w:rsidR="00072F02" w:rsidRPr="00072F02" w:rsidRDefault="00072F02" w:rsidP="00A82773">
      <w:pPr>
        <w:spacing w:after="0" w:line="240" w:lineRule="auto"/>
        <w:ind w:right="140"/>
        <w:rPr>
          <w:szCs w:val="20"/>
        </w:rPr>
      </w:pPr>
      <w:r w:rsidRPr="00072F02">
        <w:rPr>
          <w:szCs w:val="20"/>
        </w:rPr>
        <w:t>Alt 2. Generell anestesi: LM - Sevo/Ultiva alt TIVA (Prop/Ultiva)</w:t>
      </w:r>
    </w:p>
    <w:p w14:paraId="5D0026AD" w14:textId="77777777" w:rsidR="00072F02" w:rsidRPr="00A82773" w:rsidRDefault="00072F02" w:rsidP="00A82773">
      <w:pPr>
        <w:pStyle w:val="Rubrik3"/>
        <w:ind w:right="140"/>
      </w:pPr>
      <w:r w:rsidRPr="00A82773">
        <w:lastRenderedPageBreak/>
        <w:t>Postoperativt:</w:t>
      </w:r>
    </w:p>
    <w:p w14:paraId="69D8A458" w14:textId="77777777" w:rsidR="00072F02" w:rsidRPr="00072F02" w:rsidRDefault="00072F02" w:rsidP="00A82773">
      <w:pPr>
        <w:spacing w:after="0" w:line="240" w:lineRule="auto"/>
        <w:ind w:right="140"/>
        <w:rPr>
          <w:szCs w:val="20"/>
        </w:rPr>
      </w:pPr>
      <w:r w:rsidRPr="00072F02">
        <w:rPr>
          <w:szCs w:val="20"/>
        </w:rPr>
        <w:t>T Paracetamol 1g x 4, from 6 timmar efter premedicinering</w:t>
      </w:r>
    </w:p>
    <w:p w14:paraId="3725BA95" w14:textId="77777777" w:rsidR="00072F02" w:rsidRPr="00072F02" w:rsidRDefault="00072F02" w:rsidP="00A82773">
      <w:pPr>
        <w:spacing w:after="0" w:line="240" w:lineRule="auto"/>
        <w:ind w:right="140"/>
      </w:pPr>
      <w:r w:rsidRPr="00072F02">
        <w:t>T Diklofenak ca 0,5 mg/kg x 3 (ej till barn &lt; 35 kg)</w:t>
      </w:r>
    </w:p>
    <w:p w14:paraId="3D73AE36" w14:textId="77777777" w:rsidR="00072F02" w:rsidRPr="00072F02" w:rsidRDefault="00072F02" w:rsidP="00A82773">
      <w:pPr>
        <w:spacing w:after="0" w:line="240" w:lineRule="auto"/>
        <w:ind w:right="140"/>
        <w:rPr>
          <w:szCs w:val="20"/>
        </w:rPr>
      </w:pPr>
      <w:r w:rsidRPr="00072F02">
        <w:rPr>
          <w:szCs w:val="20"/>
        </w:rPr>
        <w:t>T Oxycontin ca 0,1 mg/kg,12 timmar efter första dos</w:t>
      </w:r>
    </w:p>
    <w:p w14:paraId="19EF1D6B" w14:textId="77777777" w:rsidR="00072F02" w:rsidRPr="00072F02" w:rsidRDefault="00072F02" w:rsidP="00A82773">
      <w:pPr>
        <w:spacing w:after="0" w:line="240" w:lineRule="auto"/>
        <w:ind w:right="140"/>
        <w:rPr>
          <w:szCs w:val="20"/>
        </w:rPr>
      </w:pPr>
      <w:r w:rsidRPr="00072F02">
        <w:rPr>
          <w:szCs w:val="20"/>
        </w:rPr>
        <w:t>Inj Oxynorm ca 0,05 - 0,1 mg/kg vb.</w:t>
      </w:r>
    </w:p>
    <w:p w14:paraId="05485682" w14:textId="77777777" w:rsidR="00072F02" w:rsidRPr="00A82773" w:rsidRDefault="00072F02" w:rsidP="00A82773">
      <w:pPr>
        <w:pStyle w:val="Rubrik3"/>
        <w:ind w:right="140"/>
      </w:pPr>
      <w:r w:rsidRPr="00A82773">
        <w:t xml:space="preserve">Blockader:  </w:t>
      </w:r>
    </w:p>
    <w:p w14:paraId="432B7B63" w14:textId="77777777" w:rsidR="00072F02" w:rsidRPr="00072F02" w:rsidRDefault="00072F02" w:rsidP="00A82773">
      <w:pPr>
        <w:spacing w:after="0" w:line="240" w:lineRule="auto"/>
        <w:ind w:right="140"/>
        <w:rPr>
          <w:szCs w:val="20"/>
        </w:rPr>
      </w:pPr>
      <w:r w:rsidRPr="00072F02">
        <w:rPr>
          <w:rFonts w:ascii="LMEAC J+ Times New" w:hAnsi="LMEAC J+ Times New" w:cs="LMEAC J+ Times New"/>
          <w:color w:val="000000"/>
          <w:sz w:val="23"/>
          <w:szCs w:val="23"/>
        </w:rPr>
        <w:t>Femoralisblockad (Ropivacain 5 - 7,5 mg/ml) kan användas för analgesi både pre- och postoperativt.</w:t>
      </w:r>
    </w:p>
    <w:p w14:paraId="76296DB6" w14:textId="77777777" w:rsidR="00072F02" w:rsidRPr="00A82773" w:rsidRDefault="00072F02" w:rsidP="00A82773">
      <w:pPr>
        <w:pStyle w:val="Rubrik2"/>
        <w:ind w:right="140"/>
        <w:rPr>
          <w:lang w:eastAsia="zh-CN"/>
        </w:rPr>
      </w:pPr>
      <w:r w:rsidRPr="00A82773">
        <w:rPr>
          <w:lang w:eastAsia="zh-CN"/>
        </w:rPr>
        <w:t>Utrustning</w:t>
      </w:r>
    </w:p>
    <w:p w14:paraId="2E62DCC6" w14:textId="77777777" w:rsidR="00072F02" w:rsidRPr="00072F02" w:rsidRDefault="00072F02" w:rsidP="00A82773">
      <w:pPr>
        <w:spacing w:after="0" w:line="240" w:lineRule="auto"/>
        <w:ind w:right="140"/>
        <w:rPr>
          <w:szCs w:val="20"/>
        </w:rPr>
      </w:pPr>
      <w:r w:rsidRPr="00072F02">
        <w:rPr>
          <w:sz w:val="23"/>
          <w:szCs w:val="23"/>
        </w:rPr>
        <w:t xml:space="preserve">Standard/basmonitorering. Patientvärmare. </w:t>
      </w:r>
      <w:r w:rsidRPr="00072F02">
        <w:rPr>
          <w:szCs w:val="20"/>
        </w:rPr>
        <w:t>Blodtomtsapparat. Rutin</w:t>
      </w:r>
      <w:r w:rsidRPr="00072F02">
        <w:rPr>
          <w:sz w:val="23"/>
          <w:szCs w:val="23"/>
        </w:rPr>
        <w:t xml:space="preserve">: </w:t>
      </w:r>
      <w:hyperlink r:id="rId17" w:history="1">
        <w:r w:rsidRPr="00072F02">
          <w:rPr>
            <w:i/>
            <w:color w:val="0000FF"/>
            <w:sz w:val="23"/>
            <w:szCs w:val="23"/>
            <w:u w:val="single"/>
          </w:rPr>
          <w:t>Blodtomt fält</w:t>
        </w:r>
      </w:hyperlink>
    </w:p>
    <w:p w14:paraId="21BC62EF" w14:textId="77777777" w:rsidR="00072F02" w:rsidRPr="00A82773" w:rsidRDefault="00072F02" w:rsidP="00A82773">
      <w:pPr>
        <w:pStyle w:val="Rubrik2"/>
        <w:ind w:right="140"/>
        <w:rPr>
          <w:lang w:eastAsia="zh-CN"/>
        </w:rPr>
      </w:pPr>
      <w:r w:rsidRPr="00A82773">
        <w:rPr>
          <w:lang w:eastAsia="zh-CN"/>
        </w:rPr>
        <w:t>Blodgruppering/bastest</w:t>
      </w:r>
    </w:p>
    <w:p w14:paraId="532C3DD8" w14:textId="77777777" w:rsidR="00072F02" w:rsidRPr="00072F02" w:rsidRDefault="00072F02" w:rsidP="00A82773">
      <w:pPr>
        <w:spacing w:after="0" w:line="240" w:lineRule="auto"/>
        <w:ind w:right="140"/>
        <w:rPr>
          <w:sz w:val="23"/>
          <w:szCs w:val="23"/>
        </w:rPr>
      </w:pPr>
      <w:r w:rsidRPr="00072F02">
        <w:rPr>
          <w:sz w:val="23"/>
          <w:szCs w:val="23"/>
        </w:rPr>
        <w:t>Nej/nej</w:t>
      </w:r>
    </w:p>
    <w:p w14:paraId="634D6B32" w14:textId="77777777" w:rsidR="00072F02" w:rsidRPr="00072F02" w:rsidRDefault="00072F02" w:rsidP="00A82773">
      <w:pPr>
        <w:spacing w:after="0" w:line="240" w:lineRule="auto"/>
        <w:ind w:right="140"/>
        <w:rPr>
          <w:sz w:val="23"/>
          <w:szCs w:val="23"/>
        </w:rPr>
      </w:pPr>
    </w:p>
    <w:p w14:paraId="2C16544D" w14:textId="77777777" w:rsidR="00072F02" w:rsidRPr="00A82773" w:rsidRDefault="00072F02" w:rsidP="00A82773">
      <w:pPr>
        <w:pStyle w:val="Rubrik2"/>
        <w:ind w:right="140"/>
        <w:rPr>
          <w:lang w:eastAsia="zh-CN"/>
        </w:rPr>
      </w:pPr>
      <w:r w:rsidRPr="00A82773">
        <w:rPr>
          <w:lang w:eastAsia="zh-CN"/>
        </w:rPr>
        <w:t>Praktiska råd</w:t>
      </w:r>
    </w:p>
    <w:p w14:paraId="6FACE077" w14:textId="77777777" w:rsidR="00072F02" w:rsidRPr="00072F02" w:rsidRDefault="00072F02" w:rsidP="00A82773">
      <w:pPr>
        <w:spacing w:after="0" w:line="240" w:lineRule="auto"/>
        <w:ind w:right="140"/>
        <w:rPr>
          <w:szCs w:val="20"/>
        </w:rPr>
      </w:pPr>
      <w:r w:rsidRPr="00072F02">
        <w:rPr>
          <w:sz w:val="23"/>
          <w:szCs w:val="23"/>
        </w:rPr>
        <w:t xml:space="preserve">Använd gärna Mobilizer vid överflytt till operationsbord om patienten inte kan flytta själv. </w:t>
      </w:r>
    </w:p>
    <w:p w14:paraId="562C34E8" w14:textId="77777777" w:rsidR="00072F02" w:rsidRPr="00A82773" w:rsidRDefault="00072F02" w:rsidP="00A82773">
      <w:pPr>
        <w:pStyle w:val="Rubrik2"/>
        <w:ind w:right="140"/>
        <w:rPr>
          <w:lang w:eastAsia="zh-CN"/>
        </w:rPr>
      </w:pPr>
      <w:r w:rsidRPr="00A82773">
        <w:rPr>
          <w:lang w:eastAsia="zh-CN"/>
        </w:rPr>
        <w:t>Operationsbord/läge</w:t>
      </w:r>
    </w:p>
    <w:p w14:paraId="78F695E6" w14:textId="77777777" w:rsidR="00072F02" w:rsidRPr="00072F02" w:rsidRDefault="00072F02" w:rsidP="00A82773">
      <w:pPr>
        <w:autoSpaceDE w:val="0"/>
        <w:spacing w:after="0" w:line="240" w:lineRule="auto"/>
        <w:ind w:right="140"/>
        <w:rPr>
          <w:sz w:val="23"/>
          <w:szCs w:val="23"/>
        </w:rPr>
      </w:pPr>
      <w:r w:rsidRPr="00072F02">
        <w:rPr>
          <w:rFonts w:ascii="LMEAC J+ Times New" w:hAnsi="LMEAC J+ Times New" w:cs="LMEAC J+ Times New"/>
          <w:color w:val="000000"/>
          <w:sz w:val="23"/>
          <w:szCs w:val="23"/>
        </w:rPr>
        <w:t>Kolfibertoppen/planläge.</w:t>
      </w:r>
    </w:p>
    <w:p w14:paraId="26E18ECB" w14:textId="77777777" w:rsidR="00072F02" w:rsidRPr="00072F02" w:rsidRDefault="00072F02" w:rsidP="00A82773">
      <w:pPr>
        <w:tabs>
          <w:tab w:val="center" w:pos="3685"/>
        </w:tabs>
        <w:spacing w:after="0" w:line="240" w:lineRule="auto"/>
        <w:ind w:right="140"/>
        <w:rPr>
          <w:sz w:val="15"/>
          <w:szCs w:val="23"/>
        </w:rPr>
      </w:pPr>
    </w:p>
    <w:p w14:paraId="362FCD80" w14:textId="77777777" w:rsidR="00072F02" w:rsidRPr="00072F02" w:rsidRDefault="00072F02" w:rsidP="00A82773">
      <w:pPr>
        <w:spacing w:after="0" w:line="240" w:lineRule="auto"/>
        <w:ind w:right="140"/>
      </w:pPr>
      <w:r w:rsidRPr="00072F02">
        <w:rPr>
          <w:b/>
          <w:i/>
        </w:rPr>
        <w:t>Före anestesistart</w:t>
      </w:r>
    </w:p>
    <w:p w14:paraId="62EB737A" w14:textId="77777777" w:rsidR="00072F02" w:rsidRPr="00072F02" w:rsidRDefault="00072F02" w:rsidP="00A82773">
      <w:pPr>
        <w:spacing w:after="0" w:line="240" w:lineRule="auto"/>
        <w:ind w:right="140"/>
        <w:rPr>
          <w:rFonts w:ascii="Arial" w:hAnsi="Arial" w:cs="Arial"/>
          <w:b/>
          <w:bCs/>
          <w:iCs/>
          <w:sz w:val="26"/>
          <w:szCs w:val="28"/>
        </w:rPr>
      </w:pPr>
      <w:r w:rsidRPr="00072F02">
        <w:t xml:space="preserve">Har patienten värk, stelhet och/eller domningar i kroppen, framför allt i nacke, axlar och armar? Något med hudkostymen som ska beaktas? Annat? Planera i teamet i fall </w:t>
      </w:r>
      <w:r w:rsidRPr="00072F02">
        <w:rPr>
          <w:i/>
        </w:rPr>
        <w:t>särskilda</w:t>
      </w:r>
      <w:r w:rsidRPr="00072F02">
        <w:t xml:space="preserve"> åtgärder ska vidtas för att undvika smärta och skador. Dokumentera i operationssköterskejournalen.  </w:t>
      </w:r>
    </w:p>
    <w:p w14:paraId="7DB9F033" w14:textId="77777777" w:rsidR="00072F02" w:rsidRPr="00072F02" w:rsidRDefault="00072F02" w:rsidP="00A82773">
      <w:pPr>
        <w:spacing w:after="0" w:line="240" w:lineRule="auto"/>
        <w:ind w:right="140"/>
        <w:rPr>
          <w:rFonts w:ascii="Arial" w:hAnsi="Arial" w:cs="Arial"/>
          <w:b/>
          <w:bCs/>
          <w:iCs/>
          <w:sz w:val="18"/>
          <w:szCs w:val="28"/>
        </w:rPr>
      </w:pPr>
    </w:p>
    <w:p w14:paraId="6140CF68" w14:textId="77777777" w:rsidR="00072F02" w:rsidRPr="00072F02" w:rsidRDefault="00072F02" w:rsidP="00A82773">
      <w:pPr>
        <w:spacing w:after="0" w:line="240" w:lineRule="auto"/>
        <w:ind w:right="140"/>
        <w:rPr>
          <w:i/>
          <w:szCs w:val="20"/>
        </w:rPr>
      </w:pPr>
      <w:r w:rsidRPr="00072F02">
        <w:t xml:space="preserve">Vaken patient deltar i att finna ett bekvämt läge på operationsbordet, </w:t>
      </w:r>
      <w:r w:rsidRPr="00072F02">
        <w:rPr>
          <w:i/>
          <w:szCs w:val="20"/>
        </w:rPr>
        <w:t xml:space="preserve">men även vaken patient kan drabbas av tryckskador och nervskador! </w:t>
      </w:r>
    </w:p>
    <w:p w14:paraId="0E61C4CA" w14:textId="77777777" w:rsidR="00072F02" w:rsidRPr="00072F02" w:rsidRDefault="00072F02" w:rsidP="00A82773">
      <w:pPr>
        <w:spacing w:after="0" w:line="240" w:lineRule="auto"/>
        <w:ind w:right="140"/>
        <w:rPr>
          <w:i/>
          <w:szCs w:val="20"/>
        </w:rPr>
      </w:pPr>
    </w:p>
    <w:p w14:paraId="57C74476" w14:textId="77777777" w:rsidR="00072F02" w:rsidRPr="00072F02" w:rsidRDefault="00072F02" w:rsidP="00A82773">
      <w:pPr>
        <w:numPr>
          <w:ilvl w:val="0"/>
          <w:numId w:val="21"/>
        </w:numPr>
        <w:tabs>
          <w:tab w:val="clear" w:pos="0"/>
        </w:tabs>
        <w:suppressAutoHyphens/>
        <w:spacing w:after="0" w:line="240" w:lineRule="auto"/>
        <w:ind w:left="1418" w:right="140"/>
      </w:pPr>
      <w:r w:rsidRPr="00072F02">
        <w:t xml:space="preserve">Huvud och nacke i ett neutralt läge på en kudde. </w:t>
      </w:r>
    </w:p>
    <w:p w14:paraId="129A3CDC" w14:textId="77777777" w:rsidR="00072F02" w:rsidRPr="00072F02" w:rsidRDefault="00072F02" w:rsidP="00A82773">
      <w:pPr>
        <w:numPr>
          <w:ilvl w:val="0"/>
          <w:numId w:val="21"/>
        </w:numPr>
        <w:tabs>
          <w:tab w:val="clear" w:pos="0"/>
        </w:tabs>
        <w:suppressAutoHyphens/>
        <w:spacing w:after="0" w:line="240" w:lineRule="auto"/>
        <w:ind w:left="1418" w:right="140"/>
      </w:pPr>
      <w:r w:rsidRPr="00072F02">
        <w:t>Kontrollera att ögonlocken är slutna vid sedering.</w:t>
      </w:r>
    </w:p>
    <w:p w14:paraId="421D7D2B" w14:textId="77777777" w:rsidR="00072F02" w:rsidRPr="00072F02" w:rsidRDefault="00072F02" w:rsidP="00A82773">
      <w:pPr>
        <w:numPr>
          <w:ilvl w:val="0"/>
          <w:numId w:val="21"/>
        </w:numPr>
        <w:tabs>
          <w:tab w:val="clear" w:pos="0"/>
        </w:tabs>
        <w:suppressAutoHyphens/>
        <w:spacing w:after="0" w:line="240" w:lineRule="auto"/>
        <w:ind w:left="1418" w:right="140"/>
      </w:pPr>
      <w:r w:rsidRPr="00072F02">
        <w:t xml:space="preserve">Armarna ska vila på armstöd i ett neutralt läge eller med handflatorna ned mot underlaget. Översträck inte armarnas leder! – Max 90 grader ut från kroppen. Skydda insidan av armbågslederna från tryck! Polstra området runt armbågarna vid behov. </w:t>
      </w:r>
    </w:p>
    <w:p w14:paraId="0057ABC6" w14:textId="77777777" w:rsidR="00072F02" w:rsidRPr="00072F02" w:rsidRDefault="00072F02" w:rsidP="00A82773">
      <w:pPr>
        <w:numPr>
          <w:ilvl w:val="0"/>
          <w:numId w:val="21"/>
        </w:numPr>
        <w:tabs>
          <w:tab w:val="clear" w:pos="0"/>
        </w:tabs>
        <w:suppressAutoHyphens/>
        <w:spacing w:after="0" w:line="240" w:lineRule="auto"/>
        <w:ind w:left="1418" w:right="140"/>
      </w:pPr>
      <w:r w:rsidRPr="00072F02">
        <w:t>Kontrollera att textilier och underlag inte orsakar skador pga. sömmar och veck. Patientskjortan ska ligga ”ledigt” runt kroppen.</w:t>
      </w:r>
    </w:p>
    <w:p w14:paraId="3E65738B" w14:textId="77777777" w:rsidR="00072F02" w:rsidRPr="00072F02" w:rsidRDefault="00072F02" w:rsidP="00A82773">
      <w:pPr>
        <w:numPr>
          <w:ilvl w:val="0"/>
          <w:numId w:val="21"/>
        </w:numPr>
        <w:tabs>
          <w:tab w:val="clear" w:pos="0"/>
        </w:tabs>
        <w:suppressAutoHyphens/>
        <w:spacing w:after="0" w:line="240" w:lineRule="auto"/>
        <w:ind w:left="1418" w:right="140"/>
        <w:rPr>
          <w:i/>
        </w:rPr>
      </w:pPr>
      <w:r w:rsidRPr="00072F02">
        <w:t xml:space="preserve">Placera EKG-elektroder, kablar/sladdar/slangar och övrig utrustning så att de inte orsakar skador. Byt ibland placering av pulsoximeterproben. </w:t>
      </w:r>
    </w:p>
    <w:p w14:paraId="550E6035" w14:textId="77777777" w:rsidR="00072F02" w:rsidRPr="00072F02" w:rsidRDefault="00072F02" w:rsidP="00A82773">
      <w:pPr>
        <w:numPr>
          <w:ilvl w:val="0"/>
          <w:numId w:val="21"/>
        </w:numPr>
        <w:tabs>
          <w:tab w:val="clear" w:pos="0"/>
        </w:tabs>
        <w:suppressAutoHyphens/>
        <w:spacing w:after="0" w:line="240" w:lineRule="auto"/>
        <w:ind w:left="1418" w:right="140"/>
      </w:pPr>
      <w:r w:rsidRPr="00072F02">
        <w:rPr>
          <w:i/>
        </w:rPr>
        <w:t>Skydda särskilt utsatta ställen</w:t>
      </w:r>
      <w:r w:rsidRPr="00072F02">
        <w:t xml:space="preserve"> - där som ben och brosk ligger ytligt; öron, skallben, skulderblad, armbågar, sacrum och hälar. </w:t>
      </w:r>
    </w:p>
    <w:p w14:paraId="238DA8C6" w14:textId="77777777" w:rsidR="00072F02" w:rsidRPr="00A82773" w:rsidRDefault="00072F02" w:rsidP="00A82773">
      <w:pPr>
        <w:pStyle w:val="Rubrik2"/>
        <w:ind w:right="140"/>
        <w:rPr>
          <w:lang w:eastAsia="zh-CN"/>
        </w:rPr>
      </w:pPr>
      <w:r w:rsidRPr="00A82773">
        <w:rPr>
          <w:lang w:eastAsia="zh-CN"/>
        </w:rPr>
        <w:lastRenderedPageBreak/>
        <w:t>Håravkortning</w:t>
      </w:r>
    </w:p>
    <w:p w14:paraId="0C906D67" w14:textId="77777777" w:rsidR="00072F02" w:rsidRPr="00072F02" w:rsidRDefault="00072F02" w:rsidP="00A82773">
      <w:pPr>
        <w:spacing w:after="0" w:line="240" w:lineRule="auto"/>
        <w:ind w:right="140"/>
        <w:rPr>
          <w:szCs w:val="20"/>
        </w:rPr>
      </w:pPr>
      <w:r w:rsidRPr="00072F02">
        <w:rPr>
          <w:rFonts w:ascii="LMEAC J+ Times New" w:hAnsi="LMEAC J+ Times New" w:cs="LMEAC J+ Times New"/>
          <w:color w:val="000000"/>
          <w:sz w:val="23"/>
          <w:szCs w:val="23"/>
        </w:rPr>
        <w:t>Halva låret ner till halva underbenet.</w:t>
      </w:r>
    </w:p>
    <w:p w14:paraId="1BC1C81C" w14:textId="77777777" w:rsidR="00072F02" w:rsidRPr="00A82773" w:rsidRDefault="00072F02" w:rsidP="00A82773">
      <w:pPr>
        <w:pStyle w:val="Rubrik2"/>
        <w:ind w:right="140"/>
        <w:rPr>
          <w:lang w:eastAsia="zh-CN"/>
        </w:rPr>
      </w:pPr>
      <w:r w:rsidRPr="00A82773">
        <w:rPr>
          <w:lang w:eastAsia="zh-CN"/>
        </w:rPr>
        <w:t>KAD</w:t>
      </w:r>
    </w:p>
    <w:p w14:paraId="74269CC8" w14:textId="77777777" w:rsidR="00072F02" w:rsidRPr="00072F02" w:rsidRDefault="00072F02" w:rsidP="00A82773">
      <w:pPr>
        <w:spacing w:after="0" w:line="240" w:lineRule="auto"/>
        <w:ind w:right="140"/>
        <w:rPr>
          <w:szCs w:val="20"/>
        </w:rPr>
      </w:pPr>
      <w:r w:rsidRPr="00072F02">
        <w:rPr>
          <w:szCs w:val="20"/>
        </w:rPr>
        <w:t>Nej. Blåskontroll enligt gällande rutin.</w:t>
      </w:r>
    </w:p>
    <w:p w14:paraId="085990DB" w14:textId="77777777" w:rsidR="00072F02" w:rsidRPr="00A82773" w:rsidRDefault="00072F02" w:rsidP="00A82773">
      <w:pPr>
        <w:pStyle w:val="Rubrik2"/>
        <w:ind w:right="140"/>
        <w:rPr>
          <w:lang w:eastAsia="zh-CN"/>
        </w:rPr>
      </w:pPr>
      <w:r w:rsidRPr="00A82773">
        <w:rPr>
          <w:lang w:eastAsia="zh-CN"/>
        </w:rPr>
        <w:t>Risker</w:t>
      </w:r>
    </w:p>
    <w:p w14:paraId="6F16E01F" w14:textId="77777777" w:rsidR="00072F02" w:rsidRPr="00072F02" w:rsidRDefault="00072F02" w:rsidP="00A82773">
      <w:pPr>
        <w:numPr>
          <w:ilvl w:val="0"/>
          <w:numId w:val="22"/>
        </w:numPr>
        <w:suppressAutoHyphens/>
        <w:spacing w:after="0" w:line="240" w:lineRule="auto"/>
        <w:ind w:left="1418" w:right="140"/>
      </w:pPr>
      <w:r w:rsidRPr="00072F02">
        <w:rPr>
          <w:b/>
        </w:rPr>
        <w:t xml:space="preserve">Risk för skador orsakad av positioneringen! </w:t>
      </w:r>
    </w:p>
    <w:p w14:paraId="5BA0F8CD" w14:textId="77777777" w:rsidR="00072F02" w:rsidRPr="00072F02" w:rsidRDefault="00072F02" w:rsidP="00A82773">
      <w:pPr>
        <w:spacing w:after="0" w:line="240" w:lineRule="auto"/>
        <w:ind w:left="1418" w:right="140"/>
      </w:pPr>
      <w:r w:rsidRPr="00072F02">
        <w:t>Gör kontinuerliga lägeskontroller och åtgärda sådant som kan innebära en risk. Dokumentera kontroller och åtgärder!</w:t>
      </w:r>
    </w:p>
    <w:p w14:paraId="4975ADE8" w14:textId="77777777" w:rsidR="00072F02" w:rsidRPr="00072F02" w:rsidRDefault="00072F02" w:rsidP="00A82773">
      <w:pPr>
        <w:spacing w:after="0" w:line="240" w:lineRule="auto"/>
        <w:ind w:left="1418" w:right="140"/>
        <w:rPr>
          <w:b/>
        </w:rPr>
      </w:pPr>
      <w:r w:rsidRPr="00072F02">
        <w:t>Ju längre tid som patienten är positionerad på operationsbordet desto större risk.</w:t>
      </w:r>
      <w:r w:rsidRPr="00072F02">
        <w:rPr>
          <w:i/>
        </w:rPr>
        <w:t xml:space="preserve"> </w:t>
      </w:r>
      <w:r w:rsidRPr="00072F02">
        <w:rPr>
          <w:b/>
        </w:rPr>
        <w:t xml:space="preserve">Hypotermi är en riskfaktor! </w:t>
      </w:r>
      <w:r w:rsidRPr="00072F02">
        <w:t xml:space="preserve">Äldre personer, överviktiga, magra, diabetiker, kärlsjuka och rökare löper en ökad risk. </w:t>
      </w:r>
    </w:p>
    <w:p w14:paraId="429D8A87" w14:textId="77777777" w:rsidR="00072F02" w:rsidRPr="00072F02" w:rsidRDefault="00072F02" w:rsidP="00A82773">
      <w:pPr>
        <w:numPr>
          <w:ilvl w:val="0"/>
          <w:numId w:val="22"/>
        </w:numPr>
        <w:suppressAutoHyphens/>
        <w:spacing w:after="0" w:line="240" w:lineRule="auto"/>
        <w:ind w:left="1418" w:right="140"/>
      </w:pPr>
      <w:r w:rsidRPr="00072F02">
        <w:rPr>
          <w:b/>
        </w:rPr>
        <w:t xml:space="preserve">Risk för skador orsakad av blodtomt fält! </w:t>
      </w:r>
      <w:r w:rsidRPr="00072F02">
        <w:t xml:space="preserve"> </w:t>
      </w:r>
    </w:p>
    <w:p w14:paraId="30D83070" w14:textId="77777777" w:rsidR="00072F02" w:rsidRPr="00A82773" w:rsidRDefault="00072F02" w:rsidP="00A82773">
      <w:pPr>
        <w:pStyle w:val="Rubrik2"/>
        <w:ind w:right="140"/>
        <w:rPr>
          <w:lang w:eastAsia="zh-CN"/>
        </w:rPr>
      </w:pPr>
      <w:r w:rsidRPr="00A82773">
        <w:rPr>
          <w:lang w:eastAsia="zh-CN"/>
        </w:rPr>
        <w:t>Avslutning/Postoperativt</w:t>
      </w:r>
    </w:p>
    <w:p w14:paraId="70C718E5" w14:textId="77777777" w:rsidR="00072F02" w:rsidRPr="00072F02" w:rsidRDefault="00072F02" w:rsidP="00A82773">
      <w:pPr>
        <w:spacing w:after="0" w:line="240" w:lineRule="auto"/>
        <w:ind w:right="140"/>
        <w:rPr>
          <w:szCs w:val="20"/>
        </w:rPr>
      </w:pPr>
      <w:r w:rsidRPr="00072F02">
        <w:t xml:space="preserve">Inspektera huden; särskilt områden som har varit utsatta för tryck och där ben sticker ut/ligger ytligt. Vid tecken på skada – dokumentera i operationssköterskejournalen och rapportera omgående till samtliga som har varit delaktiga i operationen, sektionsledare samt till UVA-personalen.  </w:t>
      </w:r>
    </w:p>
    <w:p w14:paraId="6DE9ECA6" w14:textId="77777777" w:rsidR="00072F02" w:rsidRPr="00A82773" w:rsidRDefault="00072F02" w:rsidP="00A82773">
      <w:pPr>
        <w:pStyle w:val="Rubrik2"/>
        <w:ind w:right="140"/>
        <w:rPr>
          <w:lang w:eastAsia="zh-CN"/>
        </w:rPr>
      </w:pPr>
      <w:r w:rsidRPr="00A82773">
        <w:rPr>
          <w:lang w:eastAsia="zh-CN"/>
        </w:rPr>
        <w:t>Källa och lästips</w:t>
      </w:r>
    </w:p>
    <w:p w14:paraId="42289158" w14:textId="77777777" w:rsidR="00072F02" w:rsidRPr="00072F02" w:rsidRDefault="00072F02" w:rsidP="00A82773">
      <w:pPr>
        <w:spacing w:after="0" w:line="240" w:lineRule="auto"/>
        <w:ind w:right="140"/>
        <w:rPr>
          <w:rFonts w:ascii="Arial" w:hAnsi="Arial" w:cs="Arial"/>
          <w:b/>
          <w:sz w:val="28"/>
          <w:szCs w:val="28"/>
        </w:rPr>
      </w:pPr>
    </w:p>
    <w:p w14:paraId="295CAC52" w14:textId="77777777" w:rsidR="00072F02" w:rsidRPr="00072F02" w:rsidRDefault="00072F02" w:rsidP="00A82773">
      <w:pPr>
        <w:spacing w:after="0" w:line="240" w:lineRule="auto"/>
        <w:ind w:right="140"/>
        <w:rPr>
          <w:lang w:val="en-GB"/>
        </w:rPr>
      </w:pPr>
      <w:r w:rsidRPr="00072F02">
        <w:t xml:space="preserve">Adedeji, R., Oragui, E., Wasim, K., &amp; Maruthainar, N. (2010). </w:t>
      </w:r>
      <w:r w:rsidRPr="00072F02">
        <w:rPr>
          <w:lang w:val="en-GB"/>
        </w:rPr>
        <w:t xml:space="preserve">The importance of correct patient positioning in theatre and implications of mal-positioning. </w:t>
      </w:r>
      <w:r w:rsidRPr="00072F02">
        <w:rPr>
          <w:i/>
          <w:lang w:val="en-GB"/>
        </w:rPr>
        <w:t>Open learning Zone, 20</w:t>
      </w:r>
      <w:r w:rsidRPr="00072F02">
        <w:rPr>
          <w:lang w:val="en-GB"/>
        </w:rPr>
        <w:t>(4), 143-147.</w:t>
      </w:r>
    </w:p>
    <w:p w14:paraId="634B86FA" w14:textId="77777777" w:rsidR="00072F02" w:rsidRPr="00C25140" w:rsidRDefault="00072F02" w:rsidP="00A82773">
      <w:pPr>
        <w:spacing w:after="0" w:line="240" w:lineRule="auto"/>
        <w:ind w:right="140"/>
        <w:rPr>
          <w:sz w:val="8"/>
          <w:szCs w:val="8"/>
          <w:lang w:val="en-GB"/>
        </w:rPr>
      </w:pPr>
    </w:p>
    <w:p w14:paraId="6385FFB5" w14:textId="77777777" w:rsidR="00072F02" w:rsidRDefault="00072F02" w:rsidP="00A82773">
      <w:pPr>
        <w:spacing w:after="0" w:line="240" w:lineRule="auto"/>
        <w:ind w:right="140"/>
        <w:rPr>
          <w:color w:val="0000FF"/>
          <w:u w:val="single"/>
        </w:rPr>
      </w:pPr>
      <w:r w:rsidRPr="00072F02">
        <w:rPr>
          <w:lang w:val="en-GB"/>
        </w:rPr>
        <w:t xml:space="preserve">American Academy of Orthopaedic Surgeons. American Association of Orthopaedic Surgeons. (2013). </w:t>
      </w:r>
      <w:r w:rsidRPr="00072F02">
        <w:rPr>
          <w:i/>
          <w:lang w:val="en-GB"/>
        </w:rPr>
        <w:t xml:space="preserve">Preventing Positioning Injuries: An Anesthesiologist´s Perspectives. </w:t>
      </w:r>
      <w:r w:rsidRPr="00072F02">
        <w:t xml:space="preserve">Hämtad 2015-01-21 från </w:t>
      </w:r>
      <w:hyperlink r:id="rId18" w:history="1">
        <w:r w:rsidRPr="00072F02">
          <w:rPr>
            <w:color w:val="0000FF"/>
            <w:u w:val="single"/>
          </w:rPr>
          <w:t>http://www.aaos.org/news/aaosnow/jan13/managing7.asp</w:t>
        </w:r>
      </w:hyperlink>
    </w:p>
    <w:p w14:paraId="7DB22F09" w14:textId="77777777" w:rsidR="00C25140" w:rsidRPr="00C25140" w:rsidRDefault="00C25140" w:rsidP="00A82773">
      <w:pPr>
        <w:spacing w:after="0" w:line="240" w:lineRule="auto"/>
        <w:ind w:right="140"/>
        <w:rPr>
          <w:sz w:val="8"/>
          <w:szCs w:val="8"/>
        </w:rPr>
      </w:pPr>
    </w:p>
    <w:p w14:paraId="26AFA942" w14:textId="77777777" w:rsidR="00072F02" w:rsidRPr="00C25140" w:rsidRDefault="00072F02" w:rsidP="00A82773">
      <w:pPr>
        <w:spacing w:after="0" w:line="240" w:lineRule="auto"/>
        <w:ind w:right="140"/>
        <w:rPr>
          <w:sz w:val="6"/>
          <w:szCs w:val="6"/>
        </w:rPr>
      </w:pPr>
    </w:p>
    <w:p w14:paraId="3BFD0F09" w14:textId="77777777" w:rsidR="00072F02" w:rsidRPr="00072F02" w:rsidRDefault="00072F02" w:rsidP="00A82773">
      <w:pPr>
        <w:spacing w:after="0" w:line="240" w:lineRule="auto"/>
        <w:ind w:right="140"/>
        <w:rPr>
          <w:lang w:val="en-GB"/>
        </w:rPr>
      </w:pPr>
      <w:r w:rsidRPr="00072F02">
        <w:rPr>
          <w:lang w:val="en-GB"/>
        </w:rPr>
        <w:t xml:space="preserve">Bonnaig, N., Dailey, S., &amp; Archdeacon, M. (2014). Proper Patient Positioning and Complication Prevention in Orthopaedic Surgery. </w:t>
      </w:r>
      <w:r w:rsidRPr="00072F02">
        <w:rPr>
          <w:i/>
          <w:lang w:val="en-GB"/>
        </w:rPr>
        <w:t>The Journal of Bone &amp; Joint Surgery, Jul 02;96</w:t>
      </w:r>
      <w:r w:rsidRPr="00072F02">
        <w:rPr>
          <w:lang w:val="en-GB"/>
        </w:rPr>
        <w:t>(13), 1135-1140.</w:t>
      </w:r>
      <w:r w:rsidRPr="00072F02">
        <w:rPr>
          <w:i/>
          <w:lang w:val="en-GB"/>
        </w:rPr>
        <w:t xml:space="preserve"> </w:t>
      </w:r>
    </w:p>
    <w:p w14:paraId="76369FBD" w14:textId="77777777" w:rsidR="00072F02" w:rsidRPr="00C25140" w:rsidRDefault="00072F02" w:rsidP="00A82773">
      <w:pPr>
        <w:spacing w:after="0" w:line="240" w:lineRule="auto"/>
        <w:ind w:right="140"/>
        <w:rPr>
          <w:sz w:val="10"/>
          <w:szCs w:val="10"/>
          <w:lang w:val="en-GB"/>
        </w:rPr>
      </w:pPr>
    </w:p>
    <w:p w14:paraId="289AFCD7" w14:textId="77777777" w:rsidR="00072F02" w:rsidRPr="00072F02" w:rsidRDefault="00072F02" w:rsidP="00A82773">
      <w:pPr>
        <w:spacing w:after="0" w:line="240" w:lineRule="auto"/>
        <w:ind w:right="140"/>
        <w:rPr>
          <w:b/>
          <w:lang w:val="en-US"/>
        </w:rPr>
      </w:pPr>
      <w:r w:rsidRPr="00072F02">
        <w:rPr>
          <w:lang w:val="en-GB"/>
        </w:rPr>
        <w:t xml:space="preserve">Bouyer-Ferullo, S. (2013). Preventing Perioperative Peripheral Nerve Injuries. </w:t>
      </w:r>
      <w:r w:rsidRPr="00072F02">
        <w:rPr>
          <w:i/>
          <w:lang w:val="en-GB"/>
        </w:rPr>
        <w:t>AORN Journal, 97</w:t>
      </w:r>
      <w:r w:rsidRPr="00072F02">
        <w:rPr>
          <w:lang w:val="en-GB"/>
        </w:rPr>
        <w:t>(1), 110-124.</w:t>
      </w:r>
    </w:p>
    <w:p w14:paraId="5CE27C3A" w14:textId="77777777" w:rsidR="00072F02" w:rsidRPr="00C25140" w:rsidRDefault="00072F02" w:rsidP="00A82773">
      <w:pPr>
        <w:spacing w:after="0" w:line="240" w:lineRule="auto"/>
        <w:ind w:right="140"/>
        <w:rPr>
          <w:b/>
          <w:sz w:val="8"/>
          <w:szCs w:val="8"/>
          <w:lang w:val="en-US"/>
        </w:rPr>
      </w:pPr>
    </w:p>
    <w:p w14:paraId="77C498C8" w14:textId="77777777" w:rsidR="00072F02" w:rsidRPr="00072F02" w:rsidRDefault="00072F02" w:rsidP="00A82773">
      <w:pPr>
        <w:spacing w:after="0" w:line="240" w:lineRule="auto"/>
        <w:ind w:right="140"/>
        <w:rPr>
          <w:lang w:val="en-US"/>
        </w:rPr>
      </w:pPr>
      <w:r w:rsidRPr="00072F02">
        <w:rPr>
          <w:lang w:val="en-US"/>
        </w:rPr>
        <w:t xml:space="preserve">Knight, David JW., &amp; Mahajan, Ravi P. (2004). Patient positioning in anaesthesia. </w:t>
      </w:r>
      <w:r w:rsidRPr="00072F02">
        <w:rPr>
          <w:i/>
          <w:lang w:val="en-US"/>
        </w:rPr>
        <w:t>Continuing Education in Anaesthesia, Critical Care &amp; Pain, 4</w:t>
      </w:r>
      <w:r w:rsidRPr="00072F02">
        <w:rPr>
          <w:lang w:val="en-US"/>
        </w:rPr>
        <w:t>(5), 160-163.</w:t>
      </w:r>
    </w:p>
    <w:p w14:paraId="4C261715" w14:textId="77777777" w:rsidR="00072F02" w:rsidRPr="00C25140" w:rsidRDefault="00072F02" w:rsidP="00A82773">
      <w:pPr>
        <w:spacing w:after="0" w:line="240" w:lineRule="auto"/>
        <w:ind w:right="140"/>
        <w:rPr>
          <w:sz w:val="8"/>
          <w:szCs w:val="8"/>
          <w:lang w:val="en-US"/>
        </w:rPr>
      </w:pPr>
    </w:p>
    <w:p w14:paraId="6C506628" w14:textId="77777777" w:rsidR="00072F02" w:rsidRPr="00072F02" w:rsidRDefault="00072F02" w:rsidP="00A82773">
      <w:pPr>
        <w:spacing w:after="0" w:line="240" w:lineRule="auto"/>
        <w:ind w:right="140"/>
      </w:pPr>
      <w:r w:rsidRPr="00072F02">
        <w:t xml:space="preserve">SFS 1982:763. </w:t>
      </w:r>
      <w:r w:rsidRPr="00072F02">
        <w:rPr>
          <w:i/>
        </w:rPr>
        <w:t xml:space="preserve">Hälso- och sjukvårdslag. </w:t>
      </w:r>
      <w:r w:rsidRPr="00072F02">
        <w:t>§ 2a och § 2e. Stockholm: Socialdepartementet.</w:t>
      </w:r>
    </w:p>
    <w:p w14:paraId="636BEB17" w14:textId="77777777" w:rsidR="00072F02" w:rsidRPr="00C25140" w:rsidRDefault="00072F02" w:rsidP="00A82773">
      <w:pPr>
        <w:spacing w:after="0" w:line="240" w:lineRule="auto"/>
        <w:ind w:right="140"/>
        <w:rPr>
          <w:sz w:val="8"/>
          <w:szCs w:val="8"/>
        </w:rPr>
      </w:pPr>
    </w:p>
    <w:p w14:paraId="3912F0F5" w14:textId="040E0865" w:rsidR="00072F02" w:rsidRPr="00072F02" w:rsidRDefault="00072F02" w:rsidP="00A82773">
      <w:pPr>
        <w:spacing w:after="0" w:line="240" w:lineRule="auto"/>
        <w:ind w:right="140"/>
        <w:rPr>
          <w:szCs w:val="20"/>
        </w:rPr>
      </w:pPr>
      <w:r w:rsidRPr="00072F02">
        <w:t xml:space="preserve">SFS 2010:659. </w:t>
      </w:r>
      <w:r w:rsidRPr="00072F02">
        <w:rPr>
          <w:i/>
        </w:rPr>
        <w:t xml:space="preserve">Patientsäkerhetslag. </w:t>
      </w:r>
      <w:r w:rsidRPr="00072F02">
        <w:t xml:space="preserve">3 kap. § 1 och 6 kap. § 1, § 2 och § 4. Stockholm: Socialdepartementet. </w:t>
      </w:r>
    </w:p>
    <w:bookmarkEnd w:id="0"/>
    <w:p w14:paraId="76B9F95B" w14:textId="24513497" w:rsidR="00536A5A" w:rsidRPr="00536A5A" w:rsidRDefault="00536A5A" w:rsidP="00A82773">
      <w:pPr>
        <w:spacing w:after="0" w:line="240" w:lineRule="auto"/>
        <w:ind w:right="140"/>
      </w:pPr>
    </w:p>
    <w:sectPr w:rsidR="00536A5A" w:rsidRPr="00536A5A" w:rsidSect="00072F0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CBB6B4" w14:textId="77777777" w:rsidR="0098055C" w:rsidRDefault="0098055C">
      <w:r>
        <w:separator/>
      </w:r>
    </w:p>
  </w:endnote>
  <w:endnote w:type="continuationSeparator" w:id="0">
    <w:p w14:paraId="6FCF5550" w14:textId="77777777" w:rsidR="0098055C" w:rsidRDefault="0098055C">
      <w:r>
        <w:continuationSeparator/>
      </w:r>
    </w:p>
  </w:endnote>
  <w:endnote w:type="continuationNotice" w:id="1">
    <w:p w14:paraId="6A7DFF7C" w14:textId="77777777" w:rsidR="0098055C" w:rsidRDefault="009805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2020803070505020304"/>
    <w:charset w:val="00"/>
    <w:family w:val="roman"/>
    <w:notTrueType/>
    <w:pitch w:val="default"/>
  </w:font>
  <w:font w:name="LMEAC J+ Times New">
    <w:altName w:val="Times New Roman"/>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F816D2" w14:textId="77777777" w:rsidR="0098055C" w:rsidRDefault="0098055C"/>
  </w:footnote>
  <w:footnote w:type="continuationSeparator" w:id="0">
    <w:p w14:paraId="5B338A17" w14:textId="77777777" w:rsidR="0098055C" w:rsidRDefault="0098055C">
      <w:r>
        <w:continuationSeparator/>
      </w:r>
    </w:p>
  </w:footnote>
  <w:footnote w:type="continuationNotice" w:id="1">
    <w:p w14:paraId="79DAC33F" w14:textId="77777777" w:rsidR="0098055C" w:rsidRDefault="009805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00000005"/>
    <w:multiLevelType w:val="singleLevel"/>
    <w:tmpl w:val="00000005"/>
    <w:name w:val="WW8Num15"/>
    <w:lvl w:ilvl="0">
      <w:start w:val="1"/>
      <w:numFmt w:val="bullet"/>
      <w:lvlText w:val=""/>
      <w:lvlJc w:val="left"/>
      <w:pPr>
        <w:tabs>
          <w:tab w:val="num" w:pos="0"/>
        </w:tabs>
        <w:ind w:left="720" w:hanging="360"/>
      </w:pPr>
      <w:rPr>
        <w:rFonts w:ascii="Symbol" w:hAnsi="Symbol" w:cs="Symbol"/>
      </w:rPr>
    </w:lvl>
  </w:abstractNum>
  <w:abstractNum w:abstractNumId="4" w15:restartNumberingAfterBreak="0">
    <w:nsid w:val="00000006"/>
    <w:multiLevelType w:val="singleLevel"/>
    <w:tmpl w:val="00000006"/>
    <w:name w:val="WW8Num18"/>
    <w:lvl w:ilvl="0">
      <w:start w:val="1"/>
      <w:numFmt w:val="bullet"/>
      <w:lvlText w:val=""/>
      <w:lvlJc w:val="left"/>
      <w:pPr>
        <w:tabs>
          <w:tab w:val="num" w:pos="0"/>
        </w:tabs>
        <w:ind w:left="720" w:hanging="360"/>
      </w:pPr>
      <w:rPr>
        <w:rFonts w:ascii="Symbol" w:hAnsi="Symbol" w:cs="Symbol"/>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003457">
    <w:abstractNumId w:val="20"/>
  </w:num>
  <w:num w:numId="2" w16cid:durableId="1873809224">
    <w:abstractNumId w:val="17"/>
  </w:num>
  <w:num w:numId="3" w16cid:durableId="1908345199">
    <w:abstractNumId w:val="0"/>
  </w:num>
  <w:num w:numId="4" w16cid:durableId="2121072879">
    <w:abstractNumId w:val="9"/>
  </w:num>
  <w:num w:numId="5" w16cid:durableId="1894997380">
    <w:abstractNumId w:val="18"/>
  </w:num>
  <w:num w:numId="6" w16cid:durableId="334574418">
    <w:abstractNumId w:val="5"/>
  </w:num>
  <w:num w:numId="7" w16cid:durableId="653728681">
    <w:abstractNumId w:val="14"/>
  </w:num>
  <w:num w:numId="8" w16cid:durableId="2044406472">
    <w:abstractNumId w:val="11"/>
  </w:num>
  <w:num w:numId="9" w16cid:durableId="344674370">
    <w:abstractNumId w:val="1"/>
  </w:num>
  <w:num w:numId="10" w16cid:durableId="1485203136">
    <w:abstractNumId w:val="1"/>
  </w:num>
  <w:num w:numId="11" w16cid:durableId="1806392987">
    <w:abstractNumId w:val="6"/>
  </w:num>
  <w:num w:numId="12" w16cid:durableId="1710295521">
    <w:abstractNumId w:val="7"/>
  </w:num>
  <w:num w:numId="13" w16cid:durableId="371152205">
    <w:abstractNumId w:val="16"/>
  </w:num>
  <w:num w:numId="14" w16cid:durableId="1709984055">
    <w:abstractNumId w:val="12"/>
  </w:num>
  <w:num w:numId="15" w16cid:durableId="1516572311">
    <w:abstractNumId w:val="10"/>
  </w:num>
  <w:num w:numId="16" w16cid:durableId="472722250">
    <w:abstractNumId w:val="15"/>
  </w:num>
  <w:num w:numId="17" w16cid:durableId="1616866204">
    <w:abstractNumId w:val="8"/>
  </w:num>
  <w:num w:numId="18" w16cid:durableId="612905935">
    <w:abstractNumId w:val="13"/>
  </w:num>
  <w:num w:numId="19" w16cid:durableId="902376522">
    <w:abstractNumId w:val="19"/>
  </w:num>
  <w:num w:numId="20" w16cid:durableId="73069190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28902057">
    <w:abstractNumId w:val="3"/>
  </w:num>
  <w:num w:numId="22" w16cid:durableId="11301274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2F02"/>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2A8A"/>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055C"/>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2773"/>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514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71FC"/>
    <w:rsid w:val="00D37E7F"/>
    <w:rsid w:val="00D47AD7"/>
    <w:rsid w:val="00D51529"/>
    <w:rsid w:val="00D85218"/>
    <w:rsid w:val="00D915B1"/>
    <w:rsid w:val="00DA299D"/>
    <w:rsid w:val="00DA65C4"/>
    <w:rsid w:val="00DD2BE0"/>
    <w:rsid w:val="00DD527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aaos.org/news/aaosnow/jan13/managing7.asp"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2557/Blodtomt%20f%c3%a4lt.pdf?a=false&amp;guest=tru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3</Pages>
  <Words>780</Words>
  <Characters>4138</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4909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Patellarfraktur</dc:title>
  <dc:subject/>
  <dc:creator>patrik.jens.johansson@vgregion.se</dc:creator>
  <keywords/>
  <lastModifiedBy>Caroline Edvardsson</lastModifiedBy>
  <revision>5</revision>
  <lastPrinted>2016-03-31T10:56:00.0000000Z</lastPrinted>
  <dcterms:created xsi:type="dcterms:W3CDTF">2022-05-23T03:23:00.0000000Z</dcterms:created>
  <dcterms:modified xsi:type="dcterms:W3CDTF">2026-01-05T11:39:00.0000000Z</dcterms:modified>
</coreProperties>
</file>