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7508E1" w:rsidP="002D6B38" w:rsidRDefault="007508E1" w14:paraId="25174BB2" w14:textId="77777777">
      <w:pPr>
        <w:pStyle w:val="Rubrik2"/>
        <w:ind w:right="282"/>
        <w:sectPr w:rsidR="007508E1" w:rsidSect="007508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508E1" w:rsidR="007508E1" w:rsidP="002D6B38" w:rsidRDefault="007508E1" w14:paraId="74CC972C" w14:textId="1EBE3E44">
      <w:pPr>
        <w:spacing w:after="0" w:line="240" w:lineRule="auto"/>
        <w:ind w:right="282"/>
        <w:rPr>
          <w:szCs w:val="20"/>
        </w:rPr>
      </w:pPr>
      <w:r w:rsidRPr="007508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FDE618" wp14:editId="7BB30B1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508E1" w:rsidP="007508E1" w:rsidRDefault="007508E1" w14:paraId="5F70F38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38112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8FDE61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508E1" w:rsidP="007508E1" w:rsidRDefault="007508E1" w14:paraId="5F70F38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38112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508E1" w:rsidR="007508E1" w:rsidTr="640593F1" w14:paraId="42DCEA6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508E1" w:rsidR="007508E1" w:rsidP="002D6B38" w:rsidRDefault="007508E1" w14:paraId="67D0731C" w14:textId="2B1C37F3">
            <w:pPr>
              <w:pStyle w:val="Rubrik1"/>
              <w:ind w:right="282"/>
            </w:pPr>
            <w:bookmarkStart w:name="_1314629194" w:id="1"/>
            <w:bookmarkStart w:name="Rubrik" w:id="2"/>
            <w:bookmarkEnd w:id="1"/>
            <w:bookmarkEnd w:id="2"/>
            <w:r w:rsidR="7FC56916">
              <w:rPr/>
              <w:t>Obesitas och generell anestesi</w:t>
            </w:r>
            <w:r w:rsidR="007508E1">
              <w:rPr/>
              <w:t xml:space="preserve">  </w:t>
            </w:r>
          </w:p>
        </w:tc>
      </w:tr>
    </w:tbl>
    <w:p w:rsidR="640593F1" w:rsidP="640593F1" w:rsidRDefault="640593F1" w14:paraId="64572476" w14:textId="05F24953">
      <w:pPr>
        <w:pStyle w:val="Rubrik2"/>
        <w:ind w:right="282"/>
      </w:pPr>
    </w:p>
    <w:p w:rsidR="002D6B38" w:rsidP="002D6B38" w:rsidRDefault="002D6B38" w14:paraId="0E357CA9" w14:textId="5958F218">
      <w:pPr>
        <w:pStyle w:val="Rubrik2"/>
        <w:ind w:right="282"/>
      </w:pPr>
      <w:r w:rsidR="002D6B38">
        <w:rPr/>
        <w:t>Revidering i denna version</w:t>
      </w:r>
    </w:p>
    <w:p w:rsidR="5345B84F" w:rsidP="6AD32FD7" w:rsidRDefault="5345B84F" w14:paraId="20D61907" w14:textId="68E6F4B9">
      <w:pPr>
        <w:spacing w:before="0" w:beforeAutospacing="off" w:after="0" w:afterAutospacing="off" w:line="288" w:lineRule="auto"/>
        <w:ind w:left="992" w:right="14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AD32FD7" w:rsidR="5345B84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De flesta stycken har reviderats samt ny rubrik</w:t>
      </w:r>
    </w:p>
    <w:p w:rsidR="6AD32FD7" w:rsidRDefault="6AD32FD7" w14:paraId="31AD36E6" w14:textId="078ED4F2"/>
    <w:p w:rsidRPr="007508E1" w:rsidR="007508E1" w:rsidP="002D6B38" w:rsidRDefault="007508E1" w14:paraId="3018C36A" w14:textId="4E5E2EC8">
      <w:pPr>
        <w:pStyle w:val="Rubrik2"/>
      </w:pPr>
      <w:r w:rsidR="007508E1">
        <w:rPr/>
        <w:t>Bakgrund</w:t>
      </w:r>
      <w:r w:rsidR="007508E1">
        <w:rPr/>
        <w:t xml:space="preserve"> </w:t>
      </w:r>
    </w:p>
    <w:p w:rsidR="346CBF1C" w:rsidP="6AD32FD7" w:rsidRDefault="346CBF1C" w14:paraId="3F6EE3D9" w14:textId="0F35D0EC">
      <w:pPr>
        <w:spacing w:before="0" w:beforeAutospacing="off" w:after="200" w:afterAutospacing="off" w:line="276" w:lineRule="auto"/>
      </w:pPr>
      <w:r w:rsidRPr="6AD32FD7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Patienter med obesitas har ökad förekomst av respiratorisk och kardiovaskulär komorbiditet, inklusive metabolt syndrom.</w:t>
      </w:r>
    </w:p>
    <w:p w:rsidR="346CBF1C" w:rsidP="6AD32FD7" w:rsidRDefault="346CBF1C" w14:paraId="23D629EC" w14:textId="59E2C3EC">
      <w:pPr>
        <w:spacing w:before="0" w:beforeAutospacing="off" w:after="200" w:afterAutospacing="off" w:line="276" w:lineRule="auto"/>
      </w:pPr>
      <w:r w:rsidRPr="6AD32FD7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ASA-klassificering stiger med ökat BMI:</w:t>
      </w:r>
    </w:p>
    <w:p w:rsidR="346CBF1C" w:rsidP="640593F1" w:rsidRDefault="346CBF1C" w14:paraId="08BBA939" w14:textId="7D54CE9F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Obesitas klass I–II (BMI 30–39,9 kg/m²) klassificeras som ASA II.</w:t>
      </w:r>
    </w:p>
    <w:p w:rsidR="346CBF1C" w:rsidP="640593F1" w:rsidRDefault="346CBF1C" w14:paraId="44BDF8B5" w14:textId="4E4D51BA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Obesitas klass III (BMI ≥ 40 kg/m²) klassificeras som ASA III, även i frånvaro av annan systemsjukdom.</w:t>
      </w:r>
    </w:p>
    <w:p w:rsidR="346CBF1C" w:rsidP="6AD32FD7" w:rsidRDefault="346CBF1C" w14:paraId="750A7F22" w14:textId="43AEB953">
      <w:pPr>
        <w:spacing w:before="0" w:beforeAutospacing="off" w:after="120" w:afterAutospacing="off" w:line="276" w:lineRule="auto"/>
      </w:pPr>
      <w:r w:rsidRPr="6AD32FD7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Fettfördelning har större betydelse än BMI avseende anestesiologisk risk. Central fetma är förknippad med generell ökad perioperativ risk, svår luftvägshantering, ventilationsproblematik samt ökad kardiovaskulär belastning.</w:t>
      </w:r>
    </w:p>
    <w:p w:rsidR="346CBF1C" w:rsidP="6AD32FD7" w:rsidRDefault="346CBF1C" w14:paraId="65B1B7EA" w14:textId="7D64AA29">
      <w:pPr>
        <w:spacing w:before="0" w:beforeAutospacing="off" w:after="0" w:afterAutospacing="off" w:line="276" w:lineRule="auto"/>
      </w:pPr>
      <w:r w:rsidRPr="6AD32FD7" w:rsidR="346CBF1C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Anatomiska, fysiologiska och farmakokinetiska förändringar påverkar anestesiplanering, genomförande och postoperativ vård.</w:t>
      </w:r>
    </w:p>
    <w:p w:rsidR="6AD32FD7" w:rsidP="6AD32FD7" w:rsidRDefault="6AD32FD7" w14:paraId="2046BBC1" w14:textId="345A9C63">
      <w:pPr>
        <w:spacing w:after="160" w:line="240" w:lineRule="auto"/>
        <w:ind w:right="282"/>
        <w:rPr>
          <w:rFonts w:eastAsia="Calibri"/>
          <w:lang w:eastAsia="en-US"/>
        </w:rPr>
      </w:pPr>
    </w:p>
    <w:p w:rsidRPr="007508E1" w:rsidR="007508E1" w:rsidP="002D6B38" w:rsidRDefault="007508E1" w14:paraId="72C629A8" w14:textId="25830722">
      <w:pPr>
        <w:pStyle w:val="Rubrik2"/>
        <w:ind w:right="282"/>
        <w:rPr>
          <w:rFonts w:ascii="Arial Fet" w:hAnsi="Arial Fet" w:cs="Arial"/>
          <w:b/>
          <w:bCs w:val="0"/>
          <w:iCs/>
          <w:sz w:val="28"/>
          <w:szCs w:val="28"/>
        </w:rPr>
      </w:pPr>
      <w:r w:rsidR="007508E1">
        <w:rPr/>
        <w:t>S</w:t>
      </w:r>
      <w:r w:rsidR="007508E1">
        <w:rPr/>
        <w:t>yfte</w:t>
      </w:r>
      <w:r w:rsidRPr="6AD32FD7" w:rsidR="007508E1">
        <w:rPr>
          <w:rFonts w:ascii="Arial Fet" w:hAnsi="Arial Fet" w:cs="Arial"/>
          <w:b w:val="1"/>
          <w:bCs w:val="1"/>
          <w:sz w:val="28"/>
          <w:szCs w:val="28"/>
        </w:rPr>
        <w:t xml:space="preserve"> </w:t>
      </w:r>
    </w:p>
    <w:p w:rsidR="4356D797" w:rsidP="6AD32FD7" w:rsidRDefault="4356D797" w14:paraId="6164A012" w14:textId="4AFB9C8A">
      <w:pPr>
        <w:spacing w:before="0" w:beforeAutospacing="off" w:after="0" w:afterAutospacing="off" w:line="276" w:lineRule="auto"/>
      </w:pPr>
      <w:r w:rsidRPr="6AD32FD7" w:rsidR="4356D797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Att säkerställa en likvärdig, effektiv och patientsäker</w:t>
      </w:r>
      <w:r w:rsidRPr="6AD32FD7" w:rsidR="4356D797">
        <w:rPr>
          <w:rFonts w:ascii="Aptos" w:hAnsi="Aptos" w:eastAsia="Aptos" w:cs="Aptos"/>
          <w:noProof w:val="0"/>
          <w:color w:val="EE0000"/>
          <w:sz w:val="22"/>
          <w:szCs w:val="22"/>
          <w:lang w:val="sv-SE"/>
        </w:rPr>
        <w:t xml:space="preserve"> </w:t>
      </w:r>
      <w:r w:rsidRPr="6AD32FD7" w:rsidR="4356D797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anestesi för patienter med obesitas inom NU-sjukvården.</w:t>
      </w:r>
    </w:p>
    <w:p w:rsidRPr="007508E1" w:rsidR="007508E1" w:rsidP="002D6B38" w:rsidRDefault="007508E1" w14:paraId="237D598C" w14:textId="77777777">
      <w:pPr>
        <w:pStyle w:val="Rubrik2"/>
        <w:ind w:right="282"/>
        <w:rPr>
          <w:bCs w:val="0"/>
        </w:rPr>
      </w:pPr>
      <w:r w:rsidR="007508E1">
        <w:rPr/>
        <w:t>Vilka</w:t>
      </w:r>
      <w:r w:rsidR="007508E1">
        <w:rPr/>
        <w:t xml:space="preserve"> </w:t>
      </w:r>
      <w:r w:rsidR="007508E1">
        <w:rPr/>
        <w:t>berörs</w:t>
      </w:r>
      <w:r w:rsidR="007508E1">
        <w:rPr/>
        <w:t xml:space="preserve">  </w:t>
      </w:r>
    </w:p>
    <w:p w:rsidRPr="007508E1" w:rsidR="007508E1" w:rsidP="6AD32FD7" w:rsidRDefault="007508E1" w14:paraId="4A79D7FB" w14:textId="7973CF37">
      <w:pPr>
        <w:spacing w:before="0" w:beforeAutospacing="off" w:after="240" w:afterAutospacing="off" w:line="276" w:lineRule="auto"/>
        <w:ind/>
      </w:pPr>
      <w:r w:rsidRPr="6AD32FD7" w:rsidR="70BF80A8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All personal inom ANOPIVA NÄL och Uddevalla.</w:t>
      </w:r>
    </w:p>
    <w:p w:rsidRPr="007508E1" w:rsidR="007508E1" w:rsidP="6AD32FD7" w:rsidRDefault="007508E1" w14:paraId="668134D7" w14:textId="5EB78B18">
      <w:pPr>
        <w:spacing w:after="160" w:line="240" w:lineRule="auto"/>
        <w:ind w:right="282"/>
        <w:rPr>
          <w:rFonts w:eastAsia="Calibri"/>
          <w:lang w:eastAsia="en-US"/>
        </w:rPr>
      </w:pPr>
    </w:p>
    <w:p w:rsidRPr="007508E1" w:rsidR="007508E1" w:rsidP="6AD32FD7" w:rsidRDefault="007508E1" w14:paraId="75D17D13" w14:textId="4E647E14">
      <w:pPr>
        <w:pStyle w:val="Rubrik3"/>
        <w:ind w:right="282"/>
        <w:rPr>
          <w:lang w:eastAsia="en-US"/>
        </w:rPr>
      </w:pPr>
    </w:p>
    <w:p w:rsidRPr="007508E1" w:rsidR="007508E1" w:rsidP="002D6B38" w:rsidRDefault="007508E1" w14:paraId="4643E0AA" w14:textId="5D927711">
      <w:pPr>
        <w:pStyle w:val="Rubrik3"/>
        <w:ind w:right="282"/>
        <w:rPr>
          <w:lang w:eastAsia="en-US"/>
        </w:rPr>
      </w:pPr>
      <w:r w:rsidRPr="6AD32FD7" w:rsidR="007508E1">
        <w:rPr>
          <w:lang w:eastAsia="en-US"/>
        </w:rPr>
        <w:t>Preoperativ</w:t>
      </w:r>
      <w:r w:rsidRPr="6AD32FD7" w:rsidR="29D24272">
        <w:rPr>
          <w:lang w:eastAsia="en-US"/>
        </w:rPr>
        <w:t xml:space="preserve"> bedömning</w:t>
      </w:r>
    </w:p>
    <w:p w:rsidR="6AD32FD7" w:rsidP="6AD32FD7" w:rsidRDefault="6AD32FD7" w14:paraId="643BDF01" w14:textId="23C63151">
      <w:pPr>
        <w:spacing w:after="160" w:line="240" w:lineRule="auto"/>
        <w:ind w:left="992" w:right="282"/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</w:pPr>
    </w:p>
    <w:p w:rsidR="086F64EF" w:rsidP="6AD32FD7" w:rsidRDefault="086F64EF" w14:paraId="226A8CF3" w14:textId="4DBC9A87">
      <w:pPr>
        <w:spacing w:after="160" w:line="240" w:lineRule="auto"/>
        <w:ind w:left="992" w:right="282"/>
        <w:rPr>
          <w:rFonts w:eastAsia="Calibri"/>
          <w:lang w:eastAsia="en-US"/>
        </w:rPr>
      </w:pPr>
      <w:r w:rsidRPr="6AD32FD7" w:rsidR="086F64EF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Luftväg</w:t>
      </w:r>
    </w:p>
    <w:p w:rsidR="086F64EF" w:rsidP="6AD32FD7" w:rsidRDefault="086F64EF" w14:paraId="577EC691" w14:textId="31321153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Ökad risk för svår maskventilation och svår intubation.</w:t>
      </w:r>
    </w:p>
    <w:p w:rsidR="086F64EF" w:rsidP="6AD32FD7" w:rsidRDefault="086F64EF" w14:paraId="55157A61" w14:textId="5A560BEC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Nackomfång&gt; 42 cm predikterar för ökad intubationssvårighet.</w:t>
      </w:r>
    </w:p>
    <w:p w:rsidR="086F64EF" w:rsidP="6AD32FD7" w:rsidRDefault="086F64EF" w14:paraId="105CBE1C" w14:textId="67C631BB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Ofta begränsad nackextension.</w:t>
      </w:r>
    </w:p>
    <w:p w:rsidR="086F64EF" w:rsidP="6AD32FD7" w:rsidRDefault="086F64EF" w14:paraId="0FD51213" w14:textId="0FDE302C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Obstruktiv sömnapné (OSA) är vanligt förekommande.</w:t>
      </w:r>
    </w:p>
    <w:p w:rsidR="6AD32FD7" w:rsidP="6AD32FD7" w:rsidRDefault="6AD32FD7" w14:paraId="79D2946C" w14:textId="18298588">
      <w:pPr>
        <w:pStyle w:val="Normal"/>
        <w:spacing w:before="160" w:beforeAutospacing="off" w:after="120" w:afterAutospacing="off" w:line="276" w:lineRule="auto"/>
        <w:ind w:lef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086F64EF" w:rsidP="6AD32FD7" w:rsidRDefault="086F64EF" w14:paraId="60F1C96C" w14:textId="0090CC9F">
      <w:pPr>
        <w:pStyle w:val="Normal"/>
        <w:spacing w:before="160" w:beforeAutospacing="off" w:after="120" w:afterAutospacing="off" w:line="276" w:lineRule="auto"/>
        <w:ind w:left="0" w:firstLine="1304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Bedöm OSA-risk (</w:t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t.ex.</w:t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STOP-BANG) vid oklar anamnes, se anestesirutin </w:t>
      </w:r>
      <w:r>
        <w:tab/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u w:val="single"/>
          <w:lang w:val="sv-SE"/>
        </w:rPr>
        <w:t>obstruktiv sömnapné</w:t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="086F64EF" w:rsidP="6AD32FD7" w:rsidRDefault="086F64EF" w14:paraId="5C919934" w14:textId="29BB9EF3">
      <w:pPr>
        <w:pStyle w:val="Normal"/>
        <w:spacing w:before="160" w:beforeAutospacing="off" w:after="200" w:afterAutospacing="off" w:line="276" w:lineRule="auto"/>
        <w:ind w:left="0" w:firstLine="1304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Upprätta en tydlig plan för luftvägshantering och ta ställning till </w:t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ev</w:t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RSI-</w:t>
      </w:r>
      <w:r>
        <w:tab/>
      </w:r>
      <w:r w:rsidRPr="6AD32FD7" w:rsidR="086F64EF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indikation.</w:t>
      </w:r>
    </w:p>
    <w:p w:rsidR="6AD32FD7" w:rsidP="6AD32FD7" w:rsidRDefault="6AD32FD7" w14:paraId="33A24BB9" w14:textId="2A190FD4">
      <w:pPr>
        <w:pStyle w:val="Normal"/>
        <w:spacing w:before="160" w:beforeAutospacing="off" w:after="200" w:afterAutospacing="off" w:line="276" w:lineRule="auto"/>
        <w:ind w:lef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5F0A625E" w14:textId="443739CC">
      <w:pPr>
        <w:spacing w:before="160" w:beforeAutospacing="off" w:after="200" w:afterAutospacing="off" w:line="276" w:lineRule="auto"/>
      </w:pPr>
      <w:r w:rsidRPr="6AD32FD7" w:rsidR="55AAA24D">
        <w:rPr>
          <w:rFonts w:ascii="Aptos Display" w:hAnsi="Aptos Display" w:eastAsia="Aptos Display" w:cs="Aptos Display"/>
          <w:noProof w:val="0"/>
          <w:color w:val="000000" w:themeColor="text2" w:themeTint="FF" w:themeShade="FF"/>
          <w:sz w:val="32"/>
          <w:szCs w:val="32"/>
          <w:lang w:val="sv-SE"/>
        </w:rPr>
        <w:t>Andning</w:t>
      </w:r>
    </w:p>
    <w:p w:rsidR="55AAA24D" w:rsidP="6AD32FD7" w:rsidRDefault="55AAA24D" w14:paraId="609D1EA7" w14:textId="74333F8B">
      <w:pPr>
        <w:spacing w:before="0" w:beforeAutospacing="off" w:after="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Att beakta hos patienter med obesitas:</w:t>
      </w:r>
    </w:p>
    <w:p w:rsidR="55AAA24D" w:rsidP="640593F1" w:rsidRDefault="55AAA24D" w14:paraId="1E3738A1" w14:textId="08844999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Patienter med obesitas har ofta en högre andningsfrekvens och lägre tidalvolymer än normalviktiga, vilket är förenat med ett ökat andningsarbete.</w:t>
      </w:r>
    </w:p>
    <w:p w:rsidR="55AAA24D" w:rsidP="640593F1" w:rsidRDefault="55AAA24D" w14:paraId="7DC73730" w14:textId="6A7EC958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Minskad funktionell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residualkapacitet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(FRC) och ökad syrgaskonsumtion ger snabb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desaturation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vid apné.</w:t>
      </w:r>
    </w:p>
    <w:p w:rsidR="55AAA24D" w:rsidP="640593F1" w:rsidRDefault="55AAA24D" w14:paraId="38FABE17" w14:textId="44C7A937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Ökad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bronkiell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reaktivitet och fettinlagring i nedre luftvägar kan ge upphov till obstruktiva symptom.</w:t>
      </w:r>
    </w:p>
    <w:p w:rsidR="6AD32FD7" w:rsidP="6AD32FD7" w:rsidRDefault="6AD32FD7" w14:paraId="0BBB2E59" w14:textId="60EC7020">
      <w:pPr>
        <w:spacing w:before="0" w:beforeAutospacing="off" w:after="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1E30D973" w14:textId="29925E2B">
      <w:pPr>
        <w:spacing w:before="0" w:beforeAutospacing="off" w:after="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Optimera behandling av eventuell astma/KOL.</w:t>
      </w:r>
    </w:p>
    <w:p w:rsidR="55AAA24D" w:rsidP="6AD32FD7" w:rsidRDefault="55AAA24D" w14:paraId="508652FE" w14:textId="04319A86">
      <w:pPr>
        <w:spacing w:before="0" w:beforeAutospacing="off" w:after="12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Överväg preoperativ spirometri vid klinisk indikation.</w:t>
      </w:r>
    </w:p>
    <w:p w:rsidR="6AD32FD7" w:rsidP="6AD32FD7" w:rsidRDefault="6AD32FD7" w14:paraId="60081E81" w14:textId="36312958">
      <w:pPr>
        <w:spacing w:before="0" w:beforeAutospacing="off" w:after="12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3FB351D5" w14:textId="5C8950F6">
      <w:pPr>
        <w:pStyle w:val="Rubrik2"/>
        <w:spacing w:before="160" w:beforeAutospacing="off" w:after="80" w:afterAutospacing="off" w:line="276" w:lineRule="auto"/>
      </w:pPr>
      <w:r w:rsidRPr="6AD32FD7" w:rsidR="55AAA24D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Cirkulation</w:t>
      </w:r>
    </w:p>
    <w:p w:rsidR="55AAA24D" w:rsidP="6AD32FD7" w:rsidRDefault="55AAA24D" w14:paraId="5BCDA84A" w14:textId="343FD43C">
      <w:pPr>
        <w:spacing w:before="0" w:beforeAutospacing="off" w:after="200" w:afterAutospacing="off" w:line="276" w:lineRule="auto"/>
        <w:ind w:left="360" w:right="0" w:hanging="0" w:firstLine="632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             Patienter med obesitas har ökad risk för samsjuklighet med:</w:t>
      </w:r>
    </w:p>
    <w:p w:rsidR="55AAA24D" w:rsidP="640593F1" w:rsidRDefault="55AAA24D" w14:paraId="46AB7ED9" w14:textId="46ECD4E4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Hypertoni</w:t>
      </w:r>
    </w:p>
    <w:p w:rsidR="55AAA24D" w:rsidP="640593F1" w:rsidRDefault="55AAA24D" w14:paraId="0B6682A2" w14:textId="41AA504B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Ischemisk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hjärtsjukdom</w:t>
      </w:r>
    </w:p>
    <w:p w:rsidR="55AAA24D" w:rsidP="640593F1" w:rsidRDefault="55AAA24D" w14:paraId="29A696A2" w14:textId="20836A8E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Hjärtsvikt</w:t>
      </w:r>
    </w:p>
    <w:p w:rsidR="55AAA24D" w:rsidP="640593F1" w:rsidRDefault="55AAA24D" w14:paraId="64E4A8AC" w14:textId="472BB92A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Pulmonell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hypertension</w:t>
      </w:r>
    </w:p>
    <w:p w:rsidR="55AAA24D" w:rsidP="640593F1" w:rsidRDefault="55AAA24D" w14:paraId="5BA0F242" w14:textId="0EF5A6B9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Venös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tromboembolism</w:t>
      </w:r>
    </w:p>
    <w:p w:rsidR="6AD32FD7" w:rsidP="6AD32FD7" w:rsidRDefault="6AD32FD7" w14:paraId="05DA5B44" w14:textId="1962F9B1">
      <w:pPr>
        <w:spacing w:before="0" w:beforeAutospacing="off" w:after="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60F8AC8B" w14:textId="6425BDC4">
      <w:pPr>
        <w:spacing w:before="0" w:beforeAutospacing="off" w:after="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Kompletterande utredning enligt rutin ”Preoperativ bedömning, riktlinjer”.</w:t>
      </w:r>
    </w:p>
    <w:p w:rsidR="55AAA24D" w:rsidP="6AD32FD7" w:rsidRDefault="55AAA24D" w14:paraId="1C5D9F0C" w14:textId="0347AA03">
      <w:pPr>
        <w:spacing w:before="0" w:beforeAutospacing="off" w:after="20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BMI  &gt; 40 utgör i sig inte indikation för utvidgad kardiell laboratorieutredning. Den ökade risken för hjärtkärlsjukdom i patientgruppen ska dock särskilt beaktas vid den preoperativa bedömningen. ProBNP tas enligt gällande perioperativa riktlinjer baserat på ålder, kardiovaskulära riskfaktorer, funktionsnivå och typ av kirurgi.</w:t>
      </w:r>
    </w:p>
    <w:p w:rsidR="6AD32FD7" w:rsidP="6AD32FD7" w:rsidRDefault="6AD32FD7" w14:paraId="0A3236F2" w14:textId="684F949A">
      <w:pPr>
        <w:spacing w:before="0" w:beforeAutospacing="off" w:after="12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2C44EB5B" w14:textId="29BA252D">
      <w:pPr>
        <w:pStyle w:val="Rubrik2"/>
        <w:spacing w:before="160" w:beforeAutospacing="off" w:after="80" w:afterAutospacing="off" w:line="276" w:lineRule="auto"/>
      </w:pPr>
      <w:r w:rsidRPr="6AD32FD7" w:rsidR="55AAA24D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Övrigt</w:t>
      </w:r>
    </w:p>
    <w:p w:rsidR="55AAA24D" w:rsidP="6AD32FD7" w:rsidRDefault="55AAA24D" w14:paraId="1FE0982F" w14:textId="56B4522C">
      <w:pPr>
        <w:spacing w:before="0" w:beforeAutospacing="off" w:after="200" w:afterAutospacing="off" w:line="276" w:lineRule="auto"/>
        <w:ind w:left="360" w:right="0" w:hanging="0" w:firstLine="632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             Patienter med obesitas har även en ökad risk för:</w:t>
      </w:r>
    </w:p>
    <w:p w:rsidR="55AAA24D" w:rsidP="640593F1" w:rsidRDefault="55AAA24D" w14:paraId="2AE785D8" w14:textId="2E93C953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Trycksår,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kompartmentsyndrom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,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rabdomyolys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och nervskador.</w:t>
      </w:r>
    </w:p>
    <w:p w:rsidR="55AAA24D" w:rsidP="640593F1" w:rsidRDefault="55AAA24D" w14:paraId="7EA73D6D" w14:textId="5DE5A525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Samsjuklighet med diabetes typ 2, hiatushernia och 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gastroesofageal</w:t>
      </w:r>
      <w:r w:rsidRPr="62D3A185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reflux.</w:t>
      </w:r>
    </w:p>
    <w:p w:rsidR="6AD32FD7" w:rsidP="6AD32FD7" w:rsidRDefault="6AD32FD7" w14:paraId="62B2F283" w14:textId="4DCC4D43">
      <w:pPr>
        <w:spacing w:before="0" w:beforeAutospacing="off" w:after="12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74170393" w14:textId="58B0457A">
      <w:pPr>
        <w:spacing w:before="0" w:beforeAutospacing="off" w:after="12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Undvik långverkande opioider i premedicineringen, särskilt vid OSA.</w:t>
      </w:r>
    </w:p>
    <w:p w:rsidR="55AAA24D" w:rsidP="6AD32FD7" w:rsidRDefault="55AAA24D" w14:paraId="4C8A20D9" w14:textId="7706DFC7">
      <w:pPr>
        <w:spacing w:before="0" w:beforeAutospacing="off" w:after="12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Överväg om möjligt att utföra operationen i regional anestesi. </w:t>
      </w:r>
    </w:p>
    <w:p w:rsidR="55AAA24D" w:rsidP="6AD32FD7" w:rsidRDefault="55AAA24D" w14:paraId="6AF80A19" w14:textId="6EDFDB7B">
      <w:pPr>
        <w:spacing w:before="0" w:beforeAutospacing="off" w:after="12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Patient som har CPAP-behandling ska ta med sin egen CPAP på operationsdagen.</w:t>
      </w:r>
    </w:p>
    <w:p w:rsidR="6AD32FD7" w:rsidP="6AD32FD7" w:rsidRDefault="6AD32FD7" w14:paraId="11C1FB12" w14:textId="7D5404F4">
      <w:pPr>
        <w:spacing w:before="0" w:beforeAutospacing="off" w:after="12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55AAA24D" w:rsidP="6AD32FD7" w:rsidRDefault="55AAA24D" w14:paraId="11AA9EA5" w14:textId="47119B97">
      <w:pPr>
        <w:pStyle w:val="Rubrik2"/>
        <w:spacing w:before="160" w:beforeAutospacing="off" w:after="80" w:afterAutospacing="off" w:line="276" w:lineRule="auto"/>
      </w:pPr>
      <w:r w:rsidRPr="6AD32FD7" w:rsidR="55AAA24D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Operationslokalisering inom NU-sjukvården</w:t>
      </w:r>
    </w:p>
    <w:p w:rsidR="55AAA24D" w:rsidP="6AD32FD7" w:rsidRDefault="55AAA24D" w14:paraId="59E09950" w14:textId="4D0F9BCB">
      <w:pPr>
        <w:spacing w:before="360" w:beforeAutospacing="off" w:after="20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Aktivt ställningstagande ska göras till operationsort (Uddevalla eller NÄL) baserat på peri- och postoperativt vårdbehov.</w:t>
      </w:r>
    </w:p>
    <w:p w:rsidR="55AAA24D" w:rsidP="6AD32FD7" w:rsidRDefault="55AAA24D" w14:paraId="06B76EF4" w14:textId="37A8635D">
      <w:pPr>
        <w:spacing w:before="360" w:beforeAutospacing="off" w:after="200" w:afterAutospacing="off" w:line="276" w:lineRule="auto"/>
      </w:pPr>
      <w:r w:rsidRPr="6AD32FD7" w:rsidR="55AAA24D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Som regel ska patienter med BMI &gt; 45 inte opereras i Uddevalla (se separat rutin).</w:t>
      </w:r>
    </w:p>
    <w:p w:rsidR="6AD32FD7" w:rsidP="6AD32FD7" w:rsidRDefault="6AD32FD7" w14:paraId="62591747" w14:textId="582CE0C0">
      <w:pPr>
        <w:pStyle w:val="Normal"/>
        <w:spacing w:before="0" w:beforeAutospacing="off" w:after="12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32069675" w14:textId="466724CE">
      <w:pPr>
        <w:pStyle w:val="Rubrik2"/>
        <w:ind w:right="282"/>
        <w:rPr>
          <w:rFonts w:ascii="Arial" w:hAnsi="Arial" w:eastAsia="Calibri" w:cs="Arial"/>
          <w:b w:val="1"/>
          <w:bCs w:val="1"/>
          <w:kern w:val="3"/>
          <w:lang w:eastAsia="en-US"/>
        </w:rPr>
      </w:pPr>
      <w:r w:rsidRPr="6AD32FD7" w:rsidR="007508E1">
        <w:rPr>
          <w:lang w:eastAsia="en-US"/>
        </w:rPr>
        <w:t>Per</w:t>
      </w:r>
      <w:r w:rsidRPr="6AD32FD7" w:rsidR="48E80094">
        <w:rPr>
          <w:lang w:eastAsia="en-US"/>
        </w:rPr>
        <w:t>i</w:t>
      </w:r>
      <w:r w:rsidRPr="6AD32FD7" w:rsidR="007508E1">
        <w:rPr>
          <w:lang w:eastAsia="en-US"/>
        </w:rPr>
        <w:t>operativ</w:t>
      </w:r>
      <w:r w:rsidRPr="6AD32FD7" w:rsidR="0EA7895B">
        <w:rPr>
          <w:lang w:eastAsia="en-US"/>
        </w:rPr>
        <w:t xml:space="preserve"> handläggning</w:t>
      </w:r>
    </w:p>
    <w:p w:rsidRPr="007508E1" w:rsidR="007508E1" w:rsidP="6AD32FD7" w:rsidRDefault="007508E1" w14:paraId="22E12822" w14:textId="0AD0C828">
      <w:pPr>
        <w:pStyle w:val="Normal"/>
      </w:pPr>
    </w:p>
    <w:p w:rsidRPr="007508E1" w:rsidR="007508E1" w:rsidP="6AD32FD7" w:rsidRDefault="007508E1" w14:paraId="430905FF" w14:textId="40E0B429">
      <w:pPr>
        <w:pStyle w:val="Rubrik2"/>
        <w:spacing w:before="16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Luftvägshantering</w:t>
      </w:r>
    </w:p>
    <w:p w:rsidRPr="007508E1" w:rsidR="007508E1" w:rsidP="640593F1" w:rsidRDefault="007508E1" w14:paraId="29DDF0CF" w14:textId="2246E87E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Planera för potentiellt svår luftväg.</w:t>
      </w:r>
    </w:p>
    <w:p w:rsidRPr="007508E1" w:rsidR="007508E1" w:rsidP="640593F1" w:rsidRDefault="007508E1" w14:paraId="65478934" w14:textId="2FA7E9B7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Specialistläkare ska vara involverad vid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BMI &gt;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40.</w:t>
      </w:r>
    </w:p>
    <w:p w:rsidRPr="007508E1" w:rsidR="007508E1" w:rsidP="640593F1" w:rsidRDefault="007508E1" w14:paraId="7162EB68" w14:textId="0171AA7B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RAMP-position (hörselgång i nivå med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sternum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), se bilaga 1. Obesitaskudde vid behov.</w:t>
      </w:r>
    </w:p>
    <w:p w:rsidRPr="007508E1" w:rsidR="007508E1" w:rsidP="640593F1" w:rsidRDefault="007508E1" w14:paraId="5EC04D89" w14:textId="7C526116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Höjd huvudända och eventuellt tiltat operationsbord för att optimera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apnétid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40593F1" w:rsidRDefault="007508E1" w14:paraId="74704326" w14:textId="3A4B5755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RSI vid aspirationsrisk.</w:t>
      </w:r>
    </w:p>
    <w:p w:rsidRPr="007508E1" w:rsidR="007508E1" w:rsidP="640593F1" w:rsidRDefault="007508E1" w14:paraId="7A6BE782" w14:textId="7F8A9568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Preoxygenering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, minst 3–5 min, mål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EtO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₂ 80 % (eftersträva ≥ 90 %).</w:t>
      </w:r>
    </w:p>
    <w:p w:rsidRPr="007508E1" w:rsidR="007508E1" w:rsidP="640593F1" w:rsidRDefault="007508E1" w14:paraId="4C6AAD33" w14:textId="20203013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Överväg att använda CPAP/PEEP vid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preoxigenering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, titrera efter tolerans och effekt, eller använd högflödesgrimma.</w:t>
      </w:r>
    </w:p>
    <w:p w:rsidRPr="007508E1" w:rsidR="007508E1" w:rsidP="640593F1" w:rsidRDefault="007508E1" w14:paraId="745AD8FE" w14:textId="65499052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Videolaryngoskop och annan alternativ luftvägsutrustning ska finnas tillgänglig.</w:t>
      </w:r>
    </w:p>
    <w:p w:rsidRPr="007508E1" w:rsidR="007508E1" w:rsidP="6AD32FD7" w:rsidRDefault="007508E1" w14:paraId="5369B73E" w14:textId="33AD3CBF">
      <w:pPr>
        <w:pStyle w:val="Normal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12AD40DF" w14:textId="655B821C">
      <w:pPr>
        <w:pStyle w:val="Rubrik2"/>
        <w:spacing w:before="16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Ventilation</w:t>
      </w:r>
    </w:p>
    <w:p w:rsidRPr="007508E1" w:rsidR="007508E1" w:rsidP="640593F1" w:rsidRDefault="007508E1" w14:paraId="7655A4B2" w14:textId="5610A3A0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Tidalvolym baseras på ideal kroppsvikt (6–8 ml/kg).</w:t>
      </w:r>
    </w:p>
    <w:p w:rsidRPr="007508E1" w:rsidR="007508E1" w:rsidP="640593F1" w:rsidRDefault="007508E1" w14:paraId="04C2F78F" w14:textId="74650A03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Eftersträva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Pplat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&lt; 30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cmH₂O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40593F1" w:rsidRDefault="007508E1" w14:paraId="477F2D68" w14:textId="3803B91C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Undvik högt drivtryck (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Pplat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-PEEP), eftersträva &lt;15 cmH2O.</w:t>
      </w:r>
    </w:p>
    <w:p w:rsidRPr="007508E1" w:rsidR="007508E1" w:rsidP="640593F1" w:rsidRDefault="007508E1" w14:paraId="6267C1EF" w14:textId="3234D4C8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Adekvat PEEP 8–10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cmH₂O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(ibland upp till 15 cmH2O), titreras mot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saturation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, respiratorisk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compliance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och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hemodynamik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40593F1" w:rsidRDefault="007508E1" w14:paraId="48CC6414" w14:textId="0592C6AA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Rekryteringsmanöver görs direkt efter intubation, upprepas därefter vid behov efter anestesiläkares bedömning.</w:t>
      </w:r>
    </w:p>
    <w:p w:rsidRPr="007508E1" w:rsidR="007508E1" w:rsidP="6AD32FD7" w:rsidRDefault="007508E1" w14:paraId="4928D7E9" w14:textId="09ECEDFA">
      <w:pPr>
        <w:pStyle w:val="Normal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10DF2FF0" w14:textId="421026DE">
      <w:pPr>
        <w:pStyle w:val="Rubrik2"/>
        <w:spacing w:before="16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Cirkulation och kärlaccess</w:t>
      </w:r>
    </w:p>
    <w:p w:rsidRPr="007508E1" w:rsidR="007508E1" w:rsidP="640593F1" w:rsidRDefault="007508E1" w14:paraId="0942600F" w14:textId="6650A332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Två venösa infarter, tillgång till långa kanyler.</w:t>
      </w:r>
    </w:p>
    <w:p w:rsidRPr="007508E1" w:rsidR="007508E1" w:rsidP="640593F1" w:rsidRDefault="007508E1" w14:paraId="32395EBB" w14:textId="32EEA04E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Låg tröskel för ultraljudsledd venös access.</w:t>
      </w:r>
    </w:p>
    <w:p w:rsidRPr="007508E1" w:rsidR="007508E1" w:rsidP="640593F1" w:rsidRDefault="007508E1" w14:paraId="2051E2FA" w14:textId="2A975FE9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Rätt storlek på blodtrycksmanschetten.</w:t>
      </w:r>
    </w:p>
    <w:p w:rsidRPr="007508E1" w:rsidR="007508E1" w:rsidP="640593F1" w:rsidRDefault="007508E1" w14:paraId="487DA289" w14:textId="4591CA61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Artärnål vid behov.</w:t>
      </w:r>
    </w:p>
    <w:p w:rsidRPr="007508E1" w:rsidR="007508E1" w:rsidP="640593F1" w:rsidRDefault="007508E1" w14:paraId="1FD7893A" w14:textId="2FCEF2EA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Överväg att ha noradrenalin tillgängligt före induktion</w:t>
      </w:r>
    </w:p>
    <w:p w:rsidRPr="007508E1" w:rsidR="007508E1" w:rsidP="640593F1" w:rsidRDefault="007508E1" w14:paraId="03CEE478" w14:textId="5B108D47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Volymtillförsel baserat på kliniskt svar.</w:t>
      </w:r>
    </w:p>
    <w:p w:rsidRPr="007508E1" w:rsidR="007508E1" w:rsidP="640593F1" w:rsidRDefault="007508E1" w14:paraId="20EA7425" w14:textId="19099D7F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Anestesiläkare bedömer cirkulation FÖRE rekryteringsmanövrar.</w:t>
      </w:r>
    </w:p>
    <w:p w:rsidRPr="007508E1" w:rsidR="007508E1" w:rsidP="6AD32FD7" w:rsidRDefault="007508E1" w14:paraId="047FF693" w14:textId="2256A26A">
      <w:pPr>
        <w:pStyle w:val="Normal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4C326387" w14:textId="2A76A83C">
      <w:pPr>
        <w:spacing w:before="0" w:beforeAutospacing="off" w:after="0" w:afterAutospacing="off"/>
        <w:ind/>
      </w:pPr>
      <w:r w:rsidRPr="6AD32FD7" w:rsidR="0EA7895B">
        <w:rPr>
          <w:rFonts w:ascii="Aptos Display" w:hAnsi="Aptos Display" w:eastAsia="Aptos Display" w:cs="Aptos Display"/>
          <w:noProof w:val="0"/>
          <w:color w:val="000000" w:themeColor="text2" w:themeTint="FF" w:themeShade="FF"/>
          <w:sz w:val="32"/>
          <w:szCs w:val="32"/>
          <w:lang w:val="sv-SE"/>
        </w:rPr>
        <w:t>Positionering</w:t>
      </w:r>
    </w:p>
    <w:p w:rsidRPr="007508E1" w:rsidR="007508E1" w:rsidP="6AD32FD7" w:rsidRDefault="007508E1" w14:paraId="48A5BC05" w14:textId="5A20BC5C">
      <w:pPr>
        <w:spacing w:before="120" w:beforeAutospacing="off" w:after="0" w:afterAutospacing="off"/>
        <w:ind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Noggrann positionering är avgörande för att minska risken för tryckskador, nervskador och </w:t>
      </w: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rabdomyolys</w:t>
      </w: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  <w:r>
        <w:br/>
      </w:r>
    </w:p>
    <w:p w:rsidRPr="007508E1" w:rsidR="007508E1" w:rsidP="640593F1" w:rsidRDefault="007508E1" w14:paraId="54982355" w14:textId="4CDACFE8">
      <w:pPr>
        <w:pStyle w:val="Liststycke"/>
        <w:spacing w:before="0" w:beforeAutospacing="off" w:after="0" w:afterAutospacing="off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Säkerställ adekvat avlastning av tryckpunkter (hälar,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sacrum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, armbågar).</w:t>
      </w:r>
    </w:p>
    <w:p w:rsidRPr="007508E1" w:rsidR="007508E1" w:rsidP="640593F1" w:rsidRDefault="007508E1" w14:paraId="677C0478" w14:textId="37FCDAB0">
      <w:pPr>
        <w:pStyle w:val="Liststycke"/>
        <w:spacing w:before="0" w:beforeAutospacing="off" w:after="0" w:afterAutospacing="off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Använd tryckavlastande madrass och extra polstring vid behov.</w:t>
      </w:r>
    </w:p>
    <w:p w:rsidRPr="007508E1" w:rsidR="007508E1" w:rsidP="640593F1" w:rsidRDefault="007508E1" w14:paraId="56DF141F" w14:textId="6F191DD8">
      <w:pPr>
        <w:pStyle w:val="Liststycke"/>
        <w:spacing w:before="0" w:beforeAutospacing="off" w:after="0" w:afterAutospacing="off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Var särskilt uppmärksam vid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Trendelenburg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- eller sidoläge.</w:t>
      </w:r>
    </w:p>
    <w:p w:rsidRPr="007508E1" w:rsidR="007508E1" w:rsidP="640593F1" w:rsidRDefault="007508E1" w14:paraId="392BF2E0" w14:textId="62D0AB01">
      <w:pPr>
        <w:pStyle w:val="Liststycke"/>
        <w:spacing w:before="0" w:beforeAutospacing="off" w:after="0" w:afterAutospacing="off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Vid längre operationer – överväg regelbunden kontroll av utsatta områden.</w:t>
      </w:r>
    </w:p>
    <w:p w:rsidRPr="007508E1" w:rsidR="007508E1" w:rsidP="6AD32FD7" w:rsidRDefault="007508E1" w14:paraId="58314B84" w14:textId="7C8A582C">
      <w:pPr>
        <w:pStyle w:val="Normal"/>
        <w:spacing w:before="0" w:beforeAutospacing="off" w:after="0" w:afterAutospacing="off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2F8C902C" w14:textId="7646E586">
      <w:pPr>
        <w:pStyle w:val="Rubrik1"/>
        <w:spacing w:before="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32"/>
          <w:szCs w:val="32"/>
          <w:lang w:val="sv-SE"/>
        </w:rPr>
        <w:t>Anestesimetod</w:t>
      </w:r>
    </w:p>
    <w:p w:rsidRPr="007508E1" w:rsidR="007508E1" w:rsidP="6AD32FD7" w:rsidRDefault="007508E1" w14:paraId="1EE607FF" w14:textId="737A4274">
      <w:pPr>
        <w:spacing w:before="0" w:beforeAutospacing="off" w:after="0" w:afterAutospacing="off" w:line="276" w:lineRule="auto"/>
        <w:ind/>
      </w:pP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Regional anestesi</w:t>
      </w:r>
    </w:p>
    <w:p w:rsidRPr="007508E1" w:rsidR="007508E1" w:rsidP="640593F1" w:rsidRDefault="007508E1" w14:paraId="57E438EA" w14:textId="3FADD568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Rekommenderas när möjlighet finns för att undvika manipulation av luftvägen.</w:t>
      </w:r>
    </w:p>
    <w:p w:rsidRPr="007508E1" w:rsidR="007508E1" w:rsidP="640593F1" w:rsidRDefault="007508E1" w14:paraId="73B0C77F" w14:textId="264E4860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Ger ofta bra peri- och postoperativ smärtlindring och kan minska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opioidbehov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40593F1" w:rsidRDefault="007508E1" w14:paraId="0ED3B78A" w14:textId="065CE80B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Kan vara teknisk svårare hos patienter med obesitas.</w:t>
      </w:r>
    </w:p>
    <w:p w:rsidRPr="007508E1" w:rsidR="007508E1" w:rsidP="6AD32FD7" w:rsidRDefault="007508E1" w14:paraId="1A8558AA" w14:textId="3BE05DFE">
      <w:pPr>
        <w:pStyle w:val="Rubrik1"/>
        <w:spacing w:before="0" w:beforeAutospacing="off" w:after="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22"/>
          <w:szCs w:val="22"/>
          <w:lang w:val="sv-SE"/>
        </w:rPr>
        <w:t>Generell anestesi</w:t>
      </w:r>
    </w:p>
    <w:p w:rsidRPr="007508E1" w:rsidR="007508E1" w:rsidP="640593F1" w:rsidRDefault="007508E1" w14:paraId="0EA2413B" w14:textId="4063AF26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Både inhalationsanestesi och TIVA/TCI kan användas. TIVA minskar sannolikt risken för PONV, men i övrigt finns inget tydligt vetenskapligt stöd för att den ena metoden skulle vara bättre än den andra.</w:t>
      </w:r>
    </w:p>
    <w:p w:rsidRPr="007508E1" w:rsidR="007508E1" w:rsidP="6AD32FD7" w:rsidRDefault="007508E1" w14:paraId="52C063D8" w14:textId="20148973">
      <w:pPr>
        <w:spacing w:before="0" w:beforeAutospacing="off" w:after="0" w:afterAutospacing="off" w:line="276" w:lineRule="auto"/>
        <w:ind/>
      </w:pP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TIVA</w:t>
      </w:r>
    </w:p>
    <w:p w:rsidRPr="007508E1" w:rsidR="007508E1" w:rsidP="640593F1" w:rsidRDefault="007508E1" w14:paraId="05156F98" w14:textId="49C291F0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TCI-modellerna är baserade på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Lean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Body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Mass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(LBM) motsvarande BMI 30. Högre inställningar kan därför behövas på patienter med högre BMI.</w:t>
      </w:r>
    </w:p>
    <w:p w:rsidRPr="007508E1" w:rsidR="007508E1" w:rsidP="640593F1" w:rsidRDefault="007508E1" w14:paraId="25246984" w14:textId="2C8EAA6E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BIS rekommenderas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pga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ökad risk för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awareness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2D3A185" w:rsidRDefault="007508E1" w14:paraId="1174B7EB" w14:textId="12814934">
      <w:pPr>
        <w:pStyle w:val="Liststycke"/>
        <w:numPr>
          <w:ilvl w:val="0"/>
          <w:numId w:val="0"/>
        </w:numPr>
        <w:spacing w:before="0" w:beforeAutospacing="off" w:after="0" w:afterAutospacing="off" w:line="276" w:lineRule="auto"/>
        <w:ind w:left="1440"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="62D3A185" w:rsidP="62D3A185" w:rsidRDefault="62D3A185" w14:paraId="14926AB7" w14:textId="3CE7D5C7">
      <w:pPr>
        <w:spacing w:before="0" w:beforeAutospacing="off" w:after="0" w:afterAutospacing="off" w:line="276" w:lineRule="auto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6961D2C0" w14:textId="55A21B43">
      <w:pPr>
        <w:spacing w:before="0" w:beforeAutospacing="off" w:after="0" w:afterAutospacing="off" w:line="276" w:lineRule="auto"/>
        <w:ind/>
      </w:pPr>
      <w:r w:rsidRPr="6AD32FD7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Dosering av läkemedel</w:t>
      </w:r>
    </w:p>
    <w:p w:rsidRPr="007508E1" w:rsidR="007508E1" w:rsidP="640593F1" w:rsidRDefault="007508E1" w14:paraId="0D6E755C" w14:textId="76F5305D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Anpassas efter ideal-,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lean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- eller faktisk vikt beroende på preparat.</w:t>
      </w:r>
    </w:p>
    <w:p w:rsidRPr="007508E1" w:rsidR="007508E1" w:rsidP="640593F1" w:rsidRDefault="007508E1" w14:paraId="6E83CE0C" w14:textId="31831A22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Titrera till effekt när det är möjligt.</w:t>
      </w:r>
    </w:p>
    <w:p w:rsidRPr="007508E1" w:rsidR="007508E1" w:rsidP="6AD32FD7" w:rsidRDefault="007508E1" w14:paraId="10389B65" w14:textId="5ACF67B1">
      <w:pPr>
        <w:pStyle w:val="Normal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7159DDDE" w14:textId="6153B5D1">
      <w:pPr>
        <w:pStyle w:val="Rubrik1"/>
        <w:spacing w:before="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Uppvaknande och extubation</w:t>
      </w:r>
    </w:p>
    <w:p w:rsidRPr="007508E1" w:rsidR="007508E1" w:rsidP="640593F1" w:rsidRDefault="007508E1" w14:paraId="5B877F0E" w14:textId="7AEA1652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Höjd huvudposition och vid behov tiltat operationsbord.</w:t>
      </w:r>
    </w:p>
    <w:p w:rsidRPr="007508E1" w:rsidR="007508E1" w:rsidP="640593F1" w:rsidRDefault="007508E1" w14:paraId="626CF4F5" w14:textId="4A6FA97D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Fullständigt reverserad neuromuskulär blockad (TOF-monitorering).</w:t>
      </w:r>
    </w:p>
    <w:p w:rsidRPr="007508E1" w:rsidR="007508E1" w:rsidP="640593F1" w:rsidRDefault="007508E1" w14:paraId="4F8F6AD2" w14:textId="1EDEBCA9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Patienten ska vara vaken.</w:t>
      </w:r>
    </w:p>
    <w:p w:rsidRPr="007508E1" w:rsidR="007508E1" w:rsidP="640593F1" w:rsidRDefault="007508E1" w14:paraId="26F2EC0F" w14:textId="2074A5DD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Stabil och adekvat spontanandning.</w:t>
      </w:r>
    </w:p>
    <w:p w:rsidRPr="007508E1" w:rsidR="007508E1" w:rsidP="640593F1" w:rsidRDefault="007508E1" w14:paraId="253F3222" w14:textId="79C4649F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Överväg CPAP eller högflödesgrimma direkt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postextubation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, särskilt vid OSA.</w:t>
      </w:r>
    </w:p>
    <w:p w:rsidRPr="007508E1" w:rsidR="007508E1" w:rsidP="6AD32FD7" w:rsidRDefault="007508E1" w14:paraId="4B88D5BC" w14:textId="5C4D3CC5">
      <w:pPr>
        <w:pStyle w:val="Normal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</w:p>
    <w:p w:rsidRPr="007508E1" w:rsidR="007508E1" w:rsidP="6AD32FD7" w:rsidRDefault="007508E1" w14:paraId="6CEA8477" w14:textId="427F9FD6">
      <w:pPr>
        <w:pStyle w:val="Rubrik1"/>
        <w:spacing w:before="360" w:beforeAutospacing="off" w:after="80" w:afterAutospacing="off" w:line="276" w:lineRule="auto"/>
        <w:ind/>
      </w:pPr>
      <w:r w:rsidRPr="6AD32FD7" w:rsidR="0EA7895B">
        <w:rPr>
          <w:rFonts w:ascii="Aptos Display" w:hAnsi="Aptos Display" w:eastAsia="Aptos Display" w:cs="Aptos Display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Postoperativ vård</w:t>
      </w:r>
    </w:p>
    <w:p w:rsidRPr="007508E1" w:rsidR="007508E1" w:rsidP="640593F1" w:rsidRDefault="007508E1" w14:paraId="329EC228" w14:textId="52F7E98B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Vårdnivå styrs av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komorbiditet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och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perioperativt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förlopp.</w:t>
      </w:r>
    </w:p>
    <w:p w:rsidRPr="007508E1" w:rsidR="007508E1" w:rsidP="640593F1" w:rsidRDefault="007508E1" w14:paraId="2D3C2B9D" w14:textId="256FAA34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Ökad risk för apné de första dygnen efter generell anestesi, se rutin för OSA för handläggning vid postoperativa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apneér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. </w:t>
      </w:r>
    </w:p>
    <w:p w:rsidRPr="007508E1" w:rsidR="007508E1" w:rsidP="640593F1" w:rsidRDefault="007508E1" w14:paraId="07DDFAC8" w14:textId="1B58CF01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Anestesiläkare ordinerar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saturationsmål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 utifrån patientens habituella tillstånd.</w:t>
      </w:r>
    </w:p>
    <w:p w:rsidRPr="007508E1" w:rsidR="007508E1" w:rsidP="640593F1" w:rsidRDefault="007508E1" w14:paraId="09771B6F" w14:textId="69FDB0FC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Överväg CPAP och/eller blåsa i PEEP-pipa på UVA utifrån patientens behov.</w:t>
      </w:r>
    </w:p>
    <w:p w:rsidRPr="007508E1" w:rsidR="007508E1" w:rsidP="640593F1" w:rsidRDefault="007508E1" w14:paraId="2B851C25" w14:textId="327FFE17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Multimodal smärtlindring – undvik långverkande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opioider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</w:p>
    <w:p w:rsidRPr="007508E1" w:rsidR="007508E1" w:rsidP="640593F1" w:rsidRDefault="007508E1" w14:paraId="12B5E6B7" w14:textId="13DD4814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Tidig mobilisering.</w:t>
      </w:r>
    </w:p>
    <w:p w:rsidRPr="007508E1" w:rsidR="007508E1" w:rsidP="640593F1" w:rsidRDefault="007508E1" w14:paraId="6C6D6F58" w14:textId="319BF7C6">
      <w:pPr>
        <w:pStyle w:val="Liststycke"/>
        <w:spacing w:before="0" w:beforeAutospacing="off" w:after="0" w:afterAutospacing="off" w:line="276" w:lineRule="auto"/>
        <w:ind w:right="0"/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Trombosprofylax dosjusteras efter vikt.</w:t>
      </w:r>
    </w:p>
    <w:p w:rsidRPr="007508E1" w:rsidR="007508E1" w:rsidP="640593F1" w:rsidRDefault="007508E1" w14:paraId="23441EB7" w14:textId="1026591B">
      <w:pPr>
        <w:pStyle w:val="Liststycke"/>
        <w:spacing w:before="0" w:beforeAutospacing="off" w:after="0" w:afterAutospacing="off" w:line="276" w:lineRule="auto"/>
        <w:ind w:right="0"/>
        <w:rPr>
          <w:sz w:val="24"/>
          <w:szCs w:val="24"/>
        </w:rPr>
      </w:pP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 xml:space="preserve">Höjd huvudända för optimal ventilation och 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oxygenering</w:t>
      </w:r>
      <w:r w:rsidRPr="62D3A185" w:rsidR="0EA7895B">
        <w:rPr>
          <w:rFonts w:ascii="Aptos" w:hAnsi="Aptos" w:eastAsia="Aptos" w:cs="Aptos"/>
          <w:noProof w:val="0"/>
          <w:color w:val="000000" w:themeColor="text2" w:themeTint="FF" w:themeShade="FF"/>
          <w:sz w:val="22"/>
          <w:szCs w:val="22"/>
          <w:lang w:val="sv-SE"/>
        </w:rPr>
        <w:t>.</w:t>
      </w:r>
      <w:r>
        <w:br/>
      </w:r>
    </w:p>
    <w:p w:rsidRPr="007508E1" w:rsidR="007508E1" w:rsidP="6AD32FD7" w:rsidRDefault="007508E1" w14:paraId="1AAEAA97" w14:textId="020DA58D">
      <w:pPr>
        <w:pStyle w:val="Rubrik2"/>
        <w:ind w:left="0" w:right="282" w:firstLine="992"/>
        <w:rPr>
          <w:rFonts w:ascii="Arial" w:hAnsi="Arial" w:eastAsia="Calibri" w:cs="Arial"/>
          <w:b w:val="1"/>
          <w:bCs w:val="1"/>
          <w:kern w:val="3"/>
          <w:sz w:val="22"/>
          <w:szCs w:val="22"/>
          <w:lang w:val="en-US" w:eastAsia="en-US"/>
        </w:rPr>
      </w:pPr>
      <w:r w:rsidR="007508E1">
        <w:rPr/>
        <w:t>R</w:t>
      </w:r>
      <w:r w:rsidR="31303BCC">
        <w:rPr/>
        <w:t>eferenser</w:t>
      </w:r>
    </w:p>
    <w:bookmarkEnd w:id="0"/>
    <w:p w:rsidRPr="00536A5A" w:rsidR="00536A5A" w:rsidP="6AD32FD7" w:rsidRDefault="00536A5A" w14:paraId="11E2996C" w14:textId="0841EDA2">
      <w:pPr>
        <w:spacing w:before="0" w:beforeAutospacing="off" w:after="200" w:afterAutospacing="off" w:line="276" w:lineRule="auto"/>
        <w:ind/>
      </w:pPr>
      <w:r>
        <w:br/>
      </w: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>A. Wynn-Hebden and D.C. Bouch “</w:t>
      </w: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>Anaesthesia</w:t>
      </w: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for the obese patient” BJA Education, 20(11): 388e395 (2020) </w:t>
      </w:r>
    </w:p>
    <w:p w:rsidRPr="00536A5A" w:rsidR="00536A5A" w:rsidP="6AD32FD7" w:rsidRDefault="00536A5A" w14:paraId="30EC0654" w14:textId="0F4F4831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Seyni‑Boureima et al; “A review on the anesthetic management of obese patients undergoing surgery” BMC Anesthesiology (2022) 22:98 </w:t>
      </w:r>
    </w:p>
    <w:p w:rsidRPr="00536A5A" w:rsidR="00536A5A" w:rsidP="6AD32FD7" w:rsidRDefault="00536A5A" w14:paraId="6FA2DF3A" w14:textId="47CC3263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Christoph Boesing et al; “Positive end-expiratory pressure optimisation during general anaesthesia in patients with obesity: a narrative review of respiratory and cardiovascular outcomes” BJA (2025) </w:t>
      </w:r>
    </w:p>
    <w:p w:rsidRPr="00536A5A" w:rsidR="00536A5A" w:rsidP="6AD32FD7" w:rsidRDefault="00536A5A" w14:paraId="5BF6EF5E" w14:textId="203ECC75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Society for Obesity &amp; Bariatric Anaesthesia. Anaesthesia for the obese patient. Available from: </w:t>
      </w:r>
      <w:hyperlink r:id="Rac2f99045a254700">
        <w:r w:rsidRPr="6AD32FD7" w:rsidR="31303BCC">
          <w:rPr>
            <w:rStyle w:val="Hyperlnk"/>
            <w:rFonts w:ascii="Aptos" w:hAnsi="Aptos" w:eastAsia="Aptos" w:cs="Aptos"/>
            <w:noProof w:val="0"/>
            <w:sz w:val="22"/>
            <w:szCs w:val="22"/>
            <w:lang w:val="en-US"/>
          </w:rPr>
          <w:t>https://www</w:t>
        </w:r>
      </w:hyperlink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. sobauk.co.uk/guidelines-1. [Accessed 30 january 2026] </w:t>
      </w:r>
    </w:p>
    <w:p w:rsidRPr="00536A5A" w:rsidR="00536A5A" w:rsidP="6AD32FD7" w:rsidRDefault="00536A5A" w14:paraId="733A3F89" w14:textId="229D74AD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Anesthesia for the patient with obesity - UpToDate [Accessed 2 february 2026] </w:t>
      </w:r>
      <w:hyperlink r:id="R7a8006777b914896">
        <w:r w:rsidRPr="6AD32FD7" w:rsidR="31303BCC">
          <w:rPr>
            <w:rStyle w:val="Hyperlnk"/>
            <w:rFonts w:ascii="Aptos" w:hAnsi="Aptos" w:eastAsia="Aptos" w:cs="Aptos"/>
            <w:noProof w:val="0"/>
            <w:sz w:val="22"/>
            <w:szCs w:val="22"/>
            <w:lang w:val="en-US"/>
          </w:rPr>
          <w:t>www.Asahq.org</w:t>
        </w:r>
      </w:hyperlink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American Society of Anesthesiologists (ASA) [Accessed 2 february 2026]</w:t>
      </w:r>
    </w:p>
    <w:p w:rsidRPr="00536A5A" w:rsidR="00536A5A" w:rsidP="6AD32FD7" w:rsidRDefault="00536A5A" w14:paraId="19B5031C" w14:textId="17160548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</w:p>
    <w:p w:rsidRPr="00536A5A" w:rsidR="00536A5A" w:rsidP="6AD32FD7" w:rsidRDefault="00536A5A" w14:paraId="587245C3" w14:textId="1B34B71B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32"/>
          <w:szCs w:val="32"/>
          <w:lang w:val="en-US"/>
        </w:rPr>
        <w:t xml:space="preserve">Bilaga 1 </w:t>
      </w:r>
    </w:p>
    <w:p w:rsidRPr="00536A5A" w:rsidR="00536A5A" w:rsidP="6AD32FD7" w:rsidRDefault="00536A5A" w14:paraId="01874571" w14:textId="0A72CECD">
      <w:pPr>
        <w:spacing w:before="0" w:beforeAutospacing="off" w:after="200" w:afterAutospacing="off" w:line="276" w:lineRule="auto"/>
        <w:ind/>
      </w:pPr>
      <w:r w:rsidRPr="6AD32FD7" w:rsidR="31303BCC">
        <w:rPr>
          <w:rFonts w:ascii="Aptos" w:hAnsi="Aptos" w:eastAsia="Aptos" w:cs="Aptos"/>
          <w:noProof w:val="0"/>
          <w:sz w:val="22"/>
          <w:szCs w:val="22"/>
          <w:lang w:val="en-US"/>
        </w:rPr>
        <w:t>RAMP position (Hörselgång i nivå med sternum)</w:t>
      </w:r>
    </w:p>
    <w:p w:rsidRPr="00536A5A" w:rsidR="00536A5A" w:rsidP="6AD32FD7" w:rsidRDefault="00536A5A" w14:paraId="2877867A" w14:textId="46DD50BA">
      <w:pPr>
        <w:spacing w:after="160" w:line="240" w:lineRule="auto"/>
        <w:ind w:right="282"/>
        <w:rPr>
          <w:rFonts w:eastAsia="Calibri"/>
          <w:color w:val="0000FF"/>
          <w:sz w:val="23"/>
          <w:szCs w:val="23"/>
          <w:u w:val="single"/>
          <w:lang w:val="en-US" w:eastAsia="en-US"/>
        </w:rPr>
      </w:pPr>
    </w:p>
    <w:p w:rsidRPr="00536A5A" w:rsidR="00536A5A" w:rsidP="6AD32FD7" w:rsidRDefault="00536A5A" w14:paraId="76B9F95B" w14:textId="7BFA9E61">
      <w:pPr>
        <w:pStyle w:val="Normal"/>
        <w:spacing w:after="0" w:line="240" w:lineRule="auto"/>
        <w:ind w:right="282"/>
      </w:pPr>
      <w:r w:rsidR="31303BCC">
        <w:drawing>
          <wp:inline wp14:editId="4818CC60" wp14:anchorId="74A59A5C">
            <wp:extent cx="3420153" cy="1938696"/>
            <wp:effectExtent l="0" t="0" r="0" b="0"/>
            <wp:docPr id="200234983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02349832" name="Picture 2002349832"/>
                    <pic:cNvPicPr/>
                  </pic:nvPicPr>
                  <pic:blipFill>
                    <a:blip xmlns:r="http://schemas.openxmlformats.org/officeDocument/2006/relationships" r:embed="rId212383206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0153" cy="1938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Pr="00536A5A" w:rsidR="00536A5A" w:rsidSect="007508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78">
    <w:nsid w:val="59a942a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7">
    <w:nsid w:val="3ad7435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6">
    <w:nsid w:val="469de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4f73c0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58d5e1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3">
    <w:nsid w:val="5e7cfa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2">
    <w:nsid w:val="6f6581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1">
    <w:nsid w:val="7bc0ac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d08c2e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9">
    <w:nsid w:val="447eeb6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8">
    <w:nsid w:val="308055b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7">
    <w:nsid w:val="37f3641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94a89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3b83f1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1948bb7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388d9e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2bae31f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1">
    <w:nsid w:val="462c30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5e5ed2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64ff15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8">
    <w:nsid w:val="1d5e6fa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5a6bde8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6">
    <w:nsid w:val="5f3116b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5">
    <w:nsid w:val="6229e8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4">
    <w:nsid w:val="4724f3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3">
    <w:nsid w:val="5e8ffa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7c0fd3d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1">
    <w:nsid w:val="49efb30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2920af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9">
    <w:nsid w:val="457daa1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8">
    <w:nsid w:val="6c35094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1ae8191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6">
    <w:nsid w:val="708396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5">
    <w:nsid w:val="76d17d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4">
    <w:nsid w:val="69c57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3">
    <w:nsid w:val="6b433d3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3e2ee55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42dbde4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0">
    <w:nsid w:val="5c45ac9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51c7625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232a5e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15d445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e0842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3dfb1ab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7669961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7544233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1132a1f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124b18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1c54a4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b4cb0e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2569b9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115a49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87597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63473e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7a5c03e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7fbd37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6c5bc0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225fc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d7f9f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5b2161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243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55090B"/>
    <w:multiLevelType w:val="multilevel"/>
    <w:tmpl w:val="266ECB8C"/>
    <w:lvl w:ilvl="0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w:ilvl="1"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80">
    <w:abstractNumId w:val="78"/>
  </w:num>
  <w:num w:numId="79">
    <w:abstractNumId w:val="77"/>
  </w:num>
  <w:num w:numId="78">
    <w:abstractNumId w:val="76"/>
  </w:num>
  <w:num w:numId="77">
    <w:abstractNumId w:val="75"/>
  </w:num>
  <w:num w:numId="76">
    <w:abstractNumId w:val="74"/>
  </w:num>
  <w:num w:numId="75">
    <w:abstractNumId w:val="73"/>
  </w:num>
  <w:num w:numId="74">
    <w:abstractNumId w:val="72"/>
  </w:num>
  <w:num w:numId="73">
    <w:abstractNumId w:val="71"/>
  </w:num>
  <w:num w:numId="72">
    <w:abstractNumId w:val="70"/>
  </w:num>
  <w:num w:numId="71">
    <w:abstractNumId w:val="69"/>
  </w:num>
  <w:num w:numId="70">
    <w:abstractNumId w:val="68"/>
  </w:num>
  <w:num w:numId="69">
    <w:abstractNumId w:val="67"/>
  </w:num>
  <w:num w:numId="68">
    <w:abstractNumId w:val="66"/>
  </w:num>
  <w:num w:numId="67">
    <w:abstractNumId w:val="65"/>
  </w:num>
  <w:num w:numId="66">
    <w:abstractNumId w:val="64"/>
  </w:num>
  <w:num w:numId="65">
    <w:abstractNumId w:val="63"/>
  </w:num>
  <w:num w:numId="64">
    <w:abstractNumId w:val="62"/>
  </w:num>
  <w:num w:numId="63">
    <w:abstractNumId w:val="61"/>
  </w:num>
  <w:num w:numId="62">
    <w:abstractNumId w:val="60"/>
  </w:num>
  <w:num w:numId="61">
    <w:abstractNumId w:val="59"/>
  </w:num>
  <w:num w:numId="60">
    <w:abstractNumId w:val="58"/>
  </w:num>
  <w:num w:numId="59">
    <w:abstractNumId w:val="57"/>
  </w:num>
  <w:num w:numId="58">
    <w:abstractNumId w:val="56"/>
  </w:num>
  <w:num w:numId="57">
    <w:abstractNumId w:val="55"/>
  </w:num>
  <w:num w:numId="56">
    <w:abstractNumId w:val="54"/>
  </w:num>
  <w:num w:numId="55">
    <w:abstractNumId w:val="53"/>
  </w:num>
  <w:num w:numId="54">
    <w:abstractNumId w:val="52"/>
  </w:num>
  <w:num w:numId="53">
    <w:abstractNumId w:val="51"/>
  </w:num>
  <w:num w:numId="52">
    <w:abstractNumId w:val="50"/>
  </w:num>
  <w:num w:numId="51">
    <w:abstractNumId w:val="49"/>
  </w:num>
  <w:num w:numId="50">
    <w:abstractNumId w:val="48"/>
  </w:num>
  <w:num w:numId="49">
    <w:abstractNumId w:val="47"/>
  </w:num>
  <w:num w:numId="48">
    <w:abstractNumId w:val="46"/>
  </w:num>
  <w:num w:numId="47">
    <w:abstractNumId w:val="45"/>
  </w:num>
  <w:num w:numId="46">
    <w:abstractNumId w:val="44"/>
  </w:num>
  <w:num w:numId="45">
    <w:abstractNumId w:val="43"/>
  </w:num>
  <w:num w:numId="44">
    <w:abstractNumId w:val="42"/>
  </w:num>
  <w:num w:numId="43">
    <w:abstractNumId w:val="41"/>
  </w:num>
  <w:num w:numId="42">
    <w:abstractNumId w:val="40"/>
  </w:num>
  <w:num w:numId="41">
    <w:abstractNumId w:val="39"/>
  </w: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29">
    <w:abstractNumId w:val="27"/>
  </w:num>
  <w:num w:numId="28">
    <w:abstractNumId w:val="26"/>
  </w: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1" w16cid:durableId="79183999">
    <w:abstractNumId w:val="18"/>
  </w:num>
  <w:num w:numId="2" w16cid:durableId="643781783">
    <w:abstractNumId w:val="15"/>
  </w:num>
  <w:num w:numId="3" w16cid:durableId="377095842">
    <w:abstractNumId w:val="0"/>
  </w:num>
  <w:num w:numId="4" w16cid:durableId="1398363375">
    <w:abstractNumId w:val="7"/>
  </w:num>
  <w:num w:numId="5" w16cid:durableId="1647658509">
    <w:abstractNumId w:val="16"/>
  </w:num>
  <w:num w:numId="6" w16cid:durableId="284892700">
    <w:abstractNumId w:val="2"/>
  </w:num>
  <w:num w:numId="7" w16cid:durableId="864711386">
    <w:abstractNumId w:val="12"/>
  </w:num>
  <w:num w:numId="8" w16cid:durableId="1297417010">
    <w:abstractNumId w:val="9"/>
  </w:num>
  <w:num w:numId="9" w16cid:durableId="1870796474">
    <w:abstractNumId w:val="1"/>
  </w:num>
  <w:num w:numId="10" w16cid:durableId="233785167">
    <w:abstractNumId w:val="1"/>
  </w:num>
  <w:num w:numId="11" w16cid:durableId="344283294">
    <w:abstractNumId w:val="4"/>
  </w:num>
  <w:num w:numId="12" w16cid:durableId="1070031887">
    <w:abstractNumId w:val="5"/>
  </w:num>
  <w:num w:numId="13" w16cid:durableId="1486969036">
    <w:abstractNumId w:val="14"/>
  </w:num>
  <w:num w:numId="14" w16cid:durableId="928081801">
    <w:abstractNumId w:val="10"/>
  </w:num>
  <w:num w:numId="15" w16cid:durableId="1001852103">
    <w:abstractNumId w:val="8"/>
  </w:num>
  <w:num w:numId="16" w16cid:durableId="1609003811">
    <w:abstractNumId w:val="13"/>
  </w:num>
  <w:num w:numId="17" w16cid:durableId="53436897">
    <w:abstractNumId w:val="6"/>
  </w:num>
  <w:num w:numId="18" w16cid:durableId="554588423">
    <w:abstractNumId w:val="11"/>
  </w:num>
  <w:num w:numId="19" w16cid:durableId="2013802427">
    <w:abstractNumId w:val="17"/>
  </w:num>
  <w:num w:numId="20" w16cid:durableId="1663387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B38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DA96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8E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84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9D4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2F1AD0"/>
    <w:rsid w:val="086F64EF"/>
    <w:rsid w:val="09CC9D2E"/>
    <w:rsid w:val="0EA7895B"/>
    <w:rsid w:val="10525959"/>
    <w:rsid w:val="119E6E45"/>
    <w:rsid w:val="17AB1B7B"/>
    <w:rsid w:val="1A3950AB"/>
    <w:rsid w:val="1CF1252F"/>
    <w:rsid w:val="24AB2B95"/>
    <w:rsid w:val="27563118"/>
    <w:rsid w:val="29D24272"/>
    <w:rsid w:val="2AADB7A5"/>
    <w:rsid w:val="2E9D83C1"/>
    <w:rsid w:val="3021581B"/>
    <w:rsid w:val="31303BCC"/>
    <w:rsid w:val="334E465B"/>
    <w:rsid w:val="338D21D4"/>
    <w:rsid w:val="346CBF1C"/>
    <w:rsid w:val="3D636A2E"/>
    <w:rsid w:val="42822AD7"/>
    <w:rsid w:val="4356D797"/>
    <w:rsid w:val="47AE794C"/>
    <w:rsid w:val="48C9150C"/>
    <w:rsid w:val="48E80094"/>
    <w:rsid w:val="4D1B5EC1"/>
    <w:rsid w:val="4E537B0A"/>
    <w:rsid w:val="50537F8C"/>
    <w:rsid w:val="5345B84F"/>
    <w:rsid w:val="53C3711B"/>
    <w:rsid w:val="55AAA24D"/>
    <w:rsid w:val="55F336C7"/>
    <w:rsid w:val="5736BD91"/>
    <w:rsid w:val="5745CD7E"/>
    <w:rsid w:val="62561D21"/>
    <w:rsid w:val="62A48F5E"/>
    <w:rsid w:val="62D3A185"/>
    <w:rsid w:val="640593F1"/>
    <w:rsid w:val="647B2B65"/>
    <w:rsid w:val="6A3789E3"/>
    <w:rsid w:val="6AD32FD7"/>
    <w:rsid w:val="6B2CF8ED"/>
    <w:rsid w:val="70BF80A8"/>
    <w:rsid w:val="730A03D3"/>
    <w:rsid w:val="7C6CD36B"/>
    <w:rsid w:val="7FC56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openxmlformats.org/officeDocument/2006/relationships/hyperlink" Target="https://www" TargetMode="External" Id="Rac2f99045a254700" /><Relationship Type="http://schemas.openxmlformats.org/officeDocument/2006/relationships/hyperlink" Target="https://www.Asahq.org" TargetMode="External" Id="R7a8006777b914896" /><Relationship Type="http://schemas.openxmlformats.org/officeDocument/2006/relationships/image" Target="/media/image2.png" Id="rId212383206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Obesitas och generell anestesi</dc:title>
  <dc:subject/>
  <dc:creator>patrik.jens.johansson@vgregion.se</dc:creator>
  <keywords/>
  <lastModifiedBy>Caroline Edvardsson</lastModifiedBy>
  <revision>9</revision>
  <lastPrinted>2016-03-31T10:56:00.0000000Z</lastPrinted>
  <dcterms:created xsi:type="dcterms:W3CDTF">2022-05-25T11:45:00.0000000Z</dcterms:created>
  <dcterms:modified xsi:type="dcterms:W3CDTF">2026-04-30T12:10:05.0000000Z</dcterms:modified>
</coreProperties>
</file>