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174BB2" w14:textId="77777777" w:rsidR="007508E1" w:rsidRDefault="007508E1" w:rsidP="002D6B38">
      <w:pPr>
        <w:pStyle w:val="Rubrik2"/>
        <w:ind w:right="282"/>
        <w:sectPr w:rsidR="007508E1" w:rsidSect="007508E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4CC972C" w14:textId="1EBE3E44" w:rsidR="007508E1" w:rsidRPr="007508E1" w:rsidRDefault="007508E1" w:rsidP="002D6B38">
      <w:pPr>
        <w:spacing w:after="0" w:line="240" w:lineRule="auto"/>
        <w:ind w:right="282"/>
        <w:rPr>
          <w:szCs w:val="20"/>
        </w:rPr>
      </w:pPr>
      <w:r w:rsidRPr="007508E1">
        <w:rPr>
          <w:noProof/>
          <w:szCs w:val="20"/>
        </w:rPr>
        <mc:AlternateContent>
          <mc:Choice Requires="wps">
            <w:drawing>
              <wp:anchor distT="0" distB="0" distL="114300" distR="114300" simplePos="0" relativeHeight="251659264" behindDoc="0" locked="0" layoutInCell="1" allowOverlap="1" wp14:anchorId="18FDE618" wp14:editId="7BB30B1C">
                <wp:simplePos x="0" y="0"/>
                <wp:positionH relativeFrom="column">
                  <wp:posOffset>6518275</wp:posOffset>
                </wp:positionH>
                <wp:positionV relativeFrom="paragraph">
                  <wp:posOffset>78740</wp:posOffset>
                </wp:positionV>
                <wp:extent cx="1244600" cy="222885"/>
                <wp:effectExtent l="0" t="1905" r="0" b="381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70F385" w14:textId="77777777" w:rsidR="007508E1" w:rsidRPr="003D37FD" w:rsidRDefault="007508E1" w:rsidP="007508E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38112</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8FDE618"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F70F385" w14:textId="77777777" w:rsidR="007508E1" w:rsidRPr="003D37FD" w:rsidRDefault="007508E1" w:rsidP="007508E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38112</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7508E1" w:rsidRPr="007508E1" w14:paraId="42DCEA64" w14:textId="77777777" w:rsidTr="0069472E">
        <w:trPr>
          <w:cantSplit/>
          <w:trHeight w:val="570"/>
        </w:trPr>
        <w:tc>
          <w:tcPr>
            <w:tcW w:w="9039" w:type="dxa"/>
            <w:tcBorders>
              <w:bottom w:val="single" w:sz="8" w:space="0" w:color="auto"/>
            </w:tcBorders>
            <w:tcMar>
              <w:left w:w="0" w:type="dxa"/>
              <w:right w:w="0" w:type="dxa"/>
            </w:tcMar>
            <w:vAlign w:val="bottom"/>
          </w:tcPr>
          <w:p w14:paraId="67D0731C" w14:textId="77777777" w:rsidR="007508E1" w:rsidRPr="007508E1" w:rsidRDefault="007508E1" w:rsidP="002D6B38">
            <w:pPr>
              <w:pStyle w:val="Rubrik1"/>
              <w:ind w:right="282"/>
            </w:pPr>
            <w:bookmarkStart w:id="1" w:name="_1314629194"/>
            <w:bookmarkStart w:id="2" w:name="Rubrik"/>
            <w:bookmarkEnd w:id="1"/>
            <w:bookmarkEnd w:id="2"/>
            <w:r w:rsidRPr="007508E1">
              <w:t xml:space="preserve">Anestesi för obesa patienter  </w:t>
            </w:r>
          </w:p>
        </w:tc>
      </w:tr>
    </w:tbl>
    <w:p w14:paraId="0E357CA9" w14:textId="5958F218" w:rsidR="002D6B38" w:rsidRDefault="002D6B38" w:rsidP="002D6B38">
      <w:pPr>
        <w:pStyle w:val="Rubrik2"/>
        <w:ind w:right="282"/>
      </w:pPr>
      <w:r>
        <w:t>Revidering i denna version</w:t>
      </w:r>
    </w:p>
    <w:p w14:paraId="433C6C74" w14:textId="674C42C5" w:rsidR="002D6B38" w:rsidRPr="002D6B38" w:rsidRDefault="002D6B38" w:rsidP="002D6B38">
      <w:r>
        <w:t>Ingen revidering</w:t>
      </w:r>
    </w:p>
    <w:p w14:paraId="3018C36A" w14:textId="4E5E2EC8" w:rsidR="007508E1" w:rsidRPr="007508E1" w:rsidRDefault="007508E1" w:rsidP="002D6B38">
      <w:pPr>
        <w:pStyle w:val="Rubrik2"/>
      </w:pPr>
      <w:r w:rsidRPr="002D6B38">
        <w:t>Bakgrund</w:t>
      </w:r>
      <w:r w:rsidRPr="007508E1">
        <w:t xml:space="preserve"> </w:t>
      </w:r>
    </w:p>
    <w:p w14:paraId="410D7F1E" w14:textId="77777777" w:rsidR="007508E1" w:rsidRPr="007508E1" w:rsidRDefault="007508E1" w:rsidP="002D6B38">
      <w:pPr>
        <w:suppressAutoHyphens/>
        <w:autoSpaceDN w:val="0"/>
        <w:spacing w:after="160" w:line="240" w:lineRule="auto"/>
        <w:ind w:right="282"/>
        <w:textAlignment w:val="baseline"/>
        <w:rPr>
          <w:rFonts w:eastAsia="Calibri"/>
          <w:kern w:val="3"/>
          <w:lang w:eastAsia="en-US"/>
        </w:rPr>
      </w:pPr>
      <w:r w:rsidRPr="007508E1">
        <w:rPr>
          <w:rFonts w:eastAsia="Calibri"/>
          <w:kern w:val="3"/>
          <w:lang w:eastAsia="en-US"/>
        </w:rPr>
        <w:t xml:space="preserve">Obesa individer med BMI&gt; 35 har en ökad förekomst av co morbiditet och metabola syndromet. Därför behöver man ta särskilda hänsynstagande inför anestesi. ASA klassificeringen stiger med ökat BMI, BMI 30–39 är ASA 2 och BMI över 40 är ASA 3. </w:t>
      </w:r>
    </w:p>
    <w:p w14:paraId="3DD271EC" w14:textId="77777777" w:rsidR="007508E1" w:rsidRPr="007508E1" w:rsidRDefault="007508E1" w:rsidP="002D6B38">
      <w:pPr>
        <w:suppressAutoHyphens/>
        <w:autoSpaceDN w:val="0"/>
        <w:spacing w:after="160" w:line="240" w:lineRule="auto"/>
        <w:ind w:right="282"/>
        <w:textAlignment w:val="baseline"/>
        <w:rPr>
          <w:rFonts w:eastAsia="Calibri"/>
          <w:kern w:val="3"/>
          <w:lang w:eastAsia="en-US"/>
        </w:rPr>
      </w:pPr>
      <w:r w:rsidRPr="007508E1">
        <w:rPr>
          <w:rFonts w:eastAsia="Calibri"/>
          <w:kern w:val="3"/>
          <w:lang w:eastAsia="en-US"/>
        </w:rPr>
        <w:t xml:space="preserve"> Man vet att det finns en ökad risk för svår luftväg och intubation och en högre risk att hamna i Can`t oxygenate, can`t intubate situationen. Detta pga. att området kring luftvägen, så som nacke, tunga och käke är förstorat, det finns fettinlagring i larynx samt minskad muskeltonus i svalget. Obesitas i sig är inte en indikation för RSI.</w:t>
      </w:r>
    </w:p>
    <w:p w14:paraId="4D694446" w14:textId="77777777" w:rsidR="007508E1" w:rsidRPr="007508E1" w:rsidRDefault="007508E1" w:rsidP="002D6B38">
      <w:pPr>
        <w:suppressAutoHyphens/>
        <w:autoSpaceDN w:val="0"/>
        <w:spacing w:after="160" w:line="240" w:lineRule="auto"/>
        <w:ind w:right="282"/>
        <w:textAlignment w:val="baseline"/>
        <w:rPr>
          <w:rFonts w:eastAsia="Calibri"/>
          <w:kern w:val="3"/>
          <w:lang w:eastAsia="en-US"/>
        </w:rPr>
      </w:pPr>
      <w:r w:rsidRPr="007508E1">
        <w:rPr>
          <w:rFonts w:eastAsia="Calibri"/>
          <w:kern w:val="3"/>
          <w:lang w:eastAsia="en-US"/>
        </w:rPr>
        <w:t>Obesa individer har en ökad syrgaskonsumtion och därmed en minskad apnétolerans, Compliance i bröstkorgen är sänkt och de har en nedsatt FRC. Det finns även ett ökat andningsarbete och risk för atelektasbildning. Hypoventilation förekommer hos 30 % av obesa individer med BMI &gt;35 och en nedsatt CO2 drive. Sömnapné är fyra gånger vanligare hos patienter med BMI&gt;40.</w:t>
      </w:r>
    </w:p>
    <w:p w14:paraId="5A6D0D97" w14:textId="77777777" w:rsidR="007508E1" w:rsidRPr="007508E1" w:rsidRDefault="007508E1" w:rsidP="002D6B38">
      <w:pPr>
        <w:suppressAutoHyphens/>
        <w:autoSpaceDN w:val="0"/>
        <w:spacing w:after="160" w:line="240" w:lineRule="auto"/>
        <w:ind w:right="282"/>
        <w:textAlignment w:val="baseline"/>
        <w:rPr>
          <w:rFonts w:eastAsia="Calibri"/>
          <w:kern w:val="3"/>
          <w:lang w:eastAsia="en-US"/>
        </w:rPr>
      </w:pPr>
      <w:r w:rsidRPr="007508E1">
        <w:rPr>
          <w:rFonts w:eastAsia="Calibri"/>
          <w:kern w:val="3"/>
          <w:lang w:eastAsia="en-US"/>
        </w:rPr>
        <w:t xml:space="preserve">Den stora kroppsmassan gör att det behövs en större cirkulerande blodvolym, därav ett ökat cardiac output(CO). De har oftare en större slagvolym vilket kan leda till vänstersidig ventrikelhypertrofi och vänstersidig hjärtsvikt. Hypoxi och Sömnapné leder till ökad förekomst av pulmonell hypertension till följd av pulmonell vasokonstriktion. Det kan som konsekvens leda till högerkammarbelastning och högerkammarsvikt. </w:t>
      </w:r>
    </w:p>
    <w:p w14:paraId="24AF43BB" w14:textId="77777777" w:rsidR="007508E1" w:rsidRPr="007508E1" w:rsidRDefault="007508E1" w:rsidP="002D6B38">
      <w:pPr>
        <w:suppressAutoHyphens/>
        <w:autoSpaceDN w:val="0"/>
        <w:spacing w:after="160" w:line="240" w:lineRule="auto"/>
        <w:ind w:right="282"/>
        <w:textAlignment w:val="baseline"/>
        <w:rPr>
          <w:rFonts w:eastAsia="Calibri"/>
          <w:kern w:val="3"/>
          <w:lang w:eastAsia="en-US"/>
        </w:rPr>
      </w:pPr>
      <w:r w:rsidRPr="007508E1">
        <w:rPr>
          <w:rFonts w:eastAsia="Calibri"/>
          <w:kern w:val="3"/>
          <w:lang w:eastAsia="en-US"/>
        </w:rPr>
        <w:t>Eftersom obesa patienter är en riskgrupp vad gäller anestesi och kirurgi krävs det van personal och goda förberedelser för att säkert ta hand om dessa patienter.</w:t>
      </w:r>
    </w:p>
    <w:p w14:paraId="72C629A8" w14:textId="25830722" w:rsidR="007508E1" w:rsidRPr="007508E1" w:rsidRDefault="007508E1" w:rsidP="002D6B38">
      <w:pPr>
        <w:pStyle w:val="Rubrik2"/>
        <w:ind w:right="282"/>
        <w:rPr>
          <w:rFonts w:ascii="Arial Fet" w:hAnsi="Arial Fet" w:cs="Arial"/>
          <w:b/>
          <w:bCs w:val="0"/>
          <w:iCs/>
          <w:sz w:val="28"/>
          <w:szCs w:val="28"/>
        </w:rPr>
      </w:pPr>
      <w:r w:rsidRPr="00C32841">
        <w:lastRenderedPageBreak/>
        <w:t>S</w:t>
      </w:r>
      <w:r w:rsidRPr="002D6B38">
        <w:t>yfte</w:t>
      </w:r>
      <w:r w:rsidRPr="007508E1">
        <w:rPr>
          <w:rFonts w:ascii="Arial Fet" w:hAnsi="Arial Fet" w:cs="Arial"/>
          <w:b/>
          <w:iCs/>
          <w:sz w:val="28"/>
          <w:szCs w:val="28"/>
        </w:rPr>
        <w:t xml:space="preserve"> </w:t>
      </w:r>
    </w:p>
    <w:p w14:paraId="3739123C" w14:textId="77777777" w:rsidR="007508E1" w:rsidRPr="007508E1" w:rsidRDefault="007508E1" w:rsidP="002D6B38">
      <w:pPr>
        <w:suppressAutoHyphens/>
        <w:autoSpaceDN w:val="0"/>
        <w:spacing w:after="160" w:line="240" w:lineRule="auto"/>
        <w:ind w:right="282"/>
        <w:textAlignment w:val="baseline"/>
        <w:rPr>
          <w:rFonts w:eastAsia="Calibri"/>
          <w:kern w:val="3"/>
          <w:lang w:eastAsia="en-US"/>
        </w:rPr>
      </w:pPr>
      <w:r w:rsidRPr="007508E1">
        <w:rPr>
          <w:rFonts w:eastAsia="Calibri"/>
          <w:kern w:val="3"/>
          <w:lang w:eastAsia="en-US"/>
        </w:rPr>
        <w:t>Att förbättra omhändertagandet, ge bästa möjliga behandling och säker vård till patienter med obesitas.</w:t>
      </w:r>
    </w:p>
    <w:p w14:paraId="237D598C" w14:textId="77777777" w:rsidR="007508E1" w:rsidRPr="007508E1" w:rsidRDefault="007508E1" w:rsidP="002D6B38">
      <w:pPr>
        <w:pStyle w:val="Rubrik2"/>
        <w:ind w:right="282"/>
        <w:rPr>
          <w:bCs w:val="0"/>
        </w:rPr>
      </w:pPr>
      <w:r w:rsidRPr="002D6B38">
        <w:t>Vilka</w:t>
      </w:r>
      <w:r w:rsidRPr="007508E1">
        <w:t xml:space="preserve"> </w:t>
      </w:r>
      <w:r w:rsidRPr="00C32841">
        <w:t>berörs</w:t>
      </w:r>
      <w:r w:rsidRPr="007508E1">
        <w:t xml:space="preserve">  </w:t>
      </w:r>
    </w:p>
    <w:p w14:paraId="1AE109DB" w14:textId="77777777" w:rsidR="007508E1" w:rsidRPr="007508E1" w:rsidRDefault="007508E1" w:rsidP="002D6B38">
      <w:pPr>
        <w:suppressAutoHyphens/>
        <w:autoSpaceDN w:val="0"/>
        <w:spacing w:after="160" w:line="240" w:lineRule="auto"/>
        <w:ind w:right="282"/>
        <w:textAlignment w:val="baseline"/>
        <w:rPr>
          <w:rFonts w:eastAsia="Calibri"/>
          <w:kern w:val="3"/>
          <w:lang w:eastAsia="en-US"/>
        </w:rPr>
      </w:pPr>
      <w:r w:rsidRPr="007508E1">
        <w:rPr>
          <w:rFonts w:eastAsia="Calibri"/>
          <w:kern w:val="3"/>
          <w:lang w:eastAsia="en-US"/>
        </w:rPr>
        <w:t xml:space="preserve">All personal som arbetar på ANOPIVA NÄL och Uddevalla. </w:t>
      </w:r>
    </w:p>
    <w:p w14:paraId="4643E0AA" w14:textId="002088E4" w:rsidR="007508E1" w:rsidRPr="007508E1" w:rsidRDefault="007508E1" w:rsidP="002D6B38">
      <w:pPr>
        <w:pStyle w:val="Rubrik3"/>
        <w:ind w:right="282"/>
        <w:rPr>
          <w:lang w:eastAsia="en-US"/>
        </w:rPr>
      </w:pPr>
      <w:r w:rsidRPr="007508E1">
        <w:rPr>
          <w:lang w:eastAsia="en-US"/>
        </w:rPr>
        <w:t>Pre-operativt</w:t>
      </w:r>
    </w:p>
    <w:p w14:paraId="350EA5E3" w14:textId="77777777" w:rsidR="007508E1" w:rsidRPr="007508E1" w:rsidRDefault="007508E1" w:rsidP="00CD29D4">
      <w:pPr>
        <w:numPr>
          <w:ilvl w:val="0"/>
          <w:numId w:val="20"/>
        </w:numPr>
        <w:suppressAutoHyphens/>
        <w:autoSpaceDN w:val="0"/>
        <w:spacing w:after="160" w:line="240" w:lineRule="auto"/>
        <w:ind w:left="1418" w:right="282"/>
        <w:textAlignment w:val="baseline"/>
        <w:rPr>
          <w:rFonts w:eastAsia="Calibri"/>
          <w:kern w:val="3"/>
          <w:lang w:eastAsia="en-US"/>
        </w:rPr>
      </w:pPr>
      <w:r w:rsidRPr="007508E1">
        <w:rPr>
          <w:rFonts w:eastAsia="Calibri"/>
          <w:kern w:val="3"/>
          <w:lang w:eastAsia="en-US"/>
        </w:rPr>
        <w:t xml:space="preserve">BMI &gt;40 är inte en dagkirurgisk patient och ska i god tid bedömas på anestesimottagningen. Se rutin: </w:t>
      </w:r>
      <w:hyperlink r:id="rId17" w:history="1">
        <w:r w:rsidRPr="007508E1">
          <w:rPr>
            <w:rFonts w:eastAsia="Calibri"/>
            <w:color w:val="0000FF"/>
            <w:kern w:val="3"/>
            <w:u w:val="single"/>
            <w:lang w:eastAsia="en-US"/>
          </w:rPr>
          <w:t>Patientgrupper som inte ska opereras på Uddevalla sjukhus</w:t>
        </w:r>
      </w:hyperlink>
      <w:r w:rsidRPr="007508E1">
        <w:rPr>
          <w:rFonts w:eastAsia="Calibri"/>
          <w:kern w:val="3"/>
          <w:lang w:eastAsia="en-US"/>
        </w:rPr>
        <w:t xml:space="preserve"> </w:t>
      </w:r>
    </w:p>
    <w:p w14:paraId="0DFEBDED" w14:textId="77777777" w:rsidR="007508E1" w:rsidRPr="007508E1" w:rsidRDefault="007508E1" w:rsidP="00CD29D4">
      <w:pPr>
        <w:numPr>
          <w:ilvl w:val="0"/>
          <w:numId w:val="20"/>
        </w:numPr>
        <w:suppressAutoHyphens/>
        <w:autoSpaceDN w:val="0"/>
        <w:spacing w:after="160" w:line="240" w:lineRule="auto"/>
        <w:ind w:left="1418" w:right="282"/>
        <w:textAlignment w:val="baseline"/>
        <w:rPr>
          <w:rFonts w:eastAsia="Calibri"/>
          <w:kern w:val="3"/>
          <w:lang w:eastAsia="en-US"/>
        </w:rPr>
      </w:pPr>
      <w:r w:rsidRPr="007508E1">
        <w:rPr>
          <w:rFonts w:eastAsia="Calibri"/>
          <w:kern w:val="3"/>
          <w:lang w:eastAsia="en-US"/>
        </w:rPr>
        <w:t>Undvik premedicinering som är sederande. Opioider bör användas med försiktighet, detta pga. ackumulations risken. Det är bättre att ge det intravenöst för att förutse effekten än ex intramuskelärt eller subcutant. Ska dessutom ges i god tid innan väckning/extubation (30–40 min).</w:t>
      </w:r>
    </w:p>
    <w:p w14:paraId="00C8D304" w14:textId="77777777" w:rsidR="007508E1" w:rsidRPr="007508E1" w:rsidRDefault="007508E1" w:rsidP="00CD29D4">
      <w:pPr>
        <w:numPr>
          <w:ilvl w:val="0"/>
          <w:numId w:val="20"/>
        </w:numPr>
        <w:suppressAutoHyphens/>
        <w:autoSpaceDN w:val="0"/>
        <w:spacing w:after="160" w:line="240" w:lineRule="auto"/>
        <w:ind w:left="1418" w:right="282"/>
        <w:textAlignment w:val="baseline"/>
        <w:rPr>
          <w:rFonts w:eastAsia="Calibri"/>
          <w:kern w:val="3"/>
          <w:lang w:eastAsia="en-US"/>
        </w:rPr>
      </w:pPr>
      <w:r w:rsidRPr="007508E1">
        <w:rPr>
          <w:rFonts w:eastAsia="Calibri"/>
          <w:kern w:val="3"/>
          <w:lang w:eastAsia="en-US"/>
        </w:rPr>
        <w:t xml:space="preserve">Tänk på NSAID, Dynastat och Paracetamol samt Catapressan i stället för Opiater.  </w:t>
      </w:r>
    </w:p>
    <w:p w14:paraId="3353F07C" w14:textId="77777777" w:rsidR="007508E1" w:rsidRPr="007508E1" w:rsidRDefault="007508E1" w:rsidP="00CD29D4">
      <w:pPr>
        <w:numPr>
          <w:ilvl w:val="0"/>
          <w:numId w:val="20"/>
        </w:numPr>
        <w:suppressAutoHyphens/>
        <w:autoSpaceDN w:val="0"/>
        <w:spacing w:after="160" w:line="240" w:lineRule="auto"/>
        <w:ind w:left="1418" w:right="282"/>
        <w:textAlignment w:val="baseline"/>
        <w:rPr>
          <w:rFonts w:eastAsia="Calibri"/>
          <w:kern w:val="3"/>
          <w:lang w:eastAsia="en-US"/>
        </w:rPr>
      </w:pPr>
      <w:r w:rsidRPr="007508E1">
        <w:rPr>
          <w:rFonts w:eastAsia="Calibri"/>
          <w:kern w:val="3"/>
          <w:lang w:eastAsia="en-US"/>
        </w:rPr>
        <w:t>Patienten ska ta med CPAP hemifrån och informera om CPAP post-operativt med början redan efter extubation.</w:t>
      </w:r>
    </w:p>
    <w:p w14:paraId="363D8915" w14:textId="77777777" w:rsidR="007508E1" w:rsidRPr="007508E1" w:rsidRDefault="007508E1" w:rsidP="00CD29D4">
      <w:pPr>
        <w:numPr>
          <w:ilvl w:val="0"/>
          <w:numId w:val="20"/>
        </w:numPr>
        <w:suppressAutoHyphens/>
        <w:autoSpaceDN w:val="0"/>
        <w:spacing w:after="160" w:line="240" w:lineRule="auto"/>
        <w:ind w:left="1418" w:right="282"/>
        <w:textAlignment w:val="baseline"/>
        <w:rPr>
          <w:rFonts w:eastAsia="Calibri"/>
          <w:kern w:val="3"/>
          <w:lang w:eastAsia="en-US"/>
        </w:rPr>
      </w:pPr>
      <w:r w:rsidRPr="007508E1">
        <w:rPr>
          <w:rFonts w:eastAsia="Calibri"/>
          <w:kern w:val="3"/>
          <w:lang w:eastAsia="en-US"/>
        </w:rPr>
        <w:t xml:space="preserve">Blodtryck och EKG på alla pat. Blodgas vb för att upptäcka hypoventilation. UCG utförs på samma indikation som normalviktiga. ArbetsEKG är ofta svårt att genomföra. Vid misstanke om svår OSAS ska remiss skickas för polysomnografi. Se rutin: </w:t>
      </w:r>
      <w:hyperlink r:id="rId18" w:history="1">
        <w:r w:rsidRPr="007508E1">
          <w:rPr>
            <w:rFonts w:eastAsia="Calibri"/>
            <w:color w:val="0000FF"/>
            <w:kern w:val="3"/>
            <w:u w:val="single"/>
            <w:lang w:eastAsia="en-US"/>
          </w:rPr>
          <w:t>Perioperativt omhändertagande av patienter med obstruktiv sömnapné</w:t>
        </w:r>
      </w:hyperlink>
      <w:r w:rsidRPr="007508E1">
        <w:rPr>
          <w:rFonts w:eastAsia="Calibri"/>
          <w:kern w:val="3"/>
          <w:lang w:eastAsia="en-US"/>
        </w:rPr>
        <w:t xml:space="preserve">   </w:t>
      </w:r>
    </w:p>
    <w:p w14:paraId="71C0CD45" w14:textId="77777777" w:rsidR="007508E1" w:rsidRPr="007508E1" w:rsidRDefault="007508E1" w:rsidP="00CD29D4">
      <w:pPr>
        <w:numPr>
          <w:ilvl w:val="0"/>
          <w:numId w:val="20"/>
        </w:numPr>
        <w:suppressAutoHyphens/>
        <w:autoSpaceDN w:val="0"/>
        <w:spacing w:after="160" w:line="240" w:lineRule="auto"/>
        <w:ind w:left="1418" w:right="282"/>
        <w:textAlignment w:val="baseline"/>
        <w:rPr>
          <w:rFonts w:eastAsia="Calibri"/>
          <w:kern w:val="3"/>
          <w:lang w:eastAsia="en-US"/>
        </w:rPr>
      </w:pPr>
      <w:r w:rsidRPr="007508E1">
        <w:rPr>
          <w:rFonts w:eastAsia="Calibri"/>
          <w:kern w:val="3"/>
          <w:lang w:eastAsia="en-US"/>
        </w:rPr>
        <w:t>Ökad risk för trycksår, kompartment, rhabdomyolys och nervskador peroperativt.</w:t>
      </w:r>
    </w:p>
    <w:p w14:paraId="0C8FC21C" w14:textId="77777777" w:rsidR="007508E1" w:rsidRPr="007508E1" w:rsidRDefault="007508E1" w:rsidP="00CD29D4">
      <w:pPr>
        <w:numPr>
          <w:ilvl w:val="0"/>
          <w:numId w:val="20"/>
        </w:numPr>
        <w:suppressAutoHyphens/>
        <w:autoSpaceDN w:val="0"/>
        <w:spacing w:after="160" w:line="240" w:lineRule="auto"/>
        <w:ind w:left="1418" w:right="282"/>
        <w:textAlignment w:val="baseline"/>
        <w:rPr>
          <w:rFonts w:eastAsia="Calibri"/>
          <w:kern w:val="3"/>
          <w:lang w:eastAsia="en-US"/>
        </w:rPr>
      </w:pPr>
      <w:r w:rsidRPr="007508E1">
        <w:rPr>
          <w:rFonts w:eastAsia="Calibri"/>
          <w:kern w:val="3"/>
          <w:lang w:eastAsia="en-US"/>
        </w:rPr>
        <w:t>Regional anestesi är rekommenderad. Detta för att undvika Manipulation av luftvägen.  Det ger även en bra smärtlindring per-och postoperativt vilket minskar tillförseln av opiater.</w:t>
      </w:r>
    </w:p>
    <w:p w14:paraId="02167156" w14:textId="77777777" w:rsidR="007508E1" w:rsidRPr="007508E1" w:rsidRDefault="007508E1" w:rsidP="00CD29D4">
      <w:pPr>
        <w:numPr>
          <w:ilvl w:val="0"/>
          <w:numId w:val="20"/>
        </w:numPr>
        <w:suppressAutoHyphens/>
        <w:autoSpaceDN w:val="0"/>
        <w:spacing w:after="160" w:line="240" w:lineRule="auto"/>
        <w:ind w:left="1418" w:right="282"/>
        <w:textAlignment w:val="baseline"/>
        <w:rPr>
          <w:rFonts w:eastAsia="Calibri"/>
          <w:kern w:val="3"/>
          <w:lang w:eastAsia="en-US"/>
        </w:rPr>
      </w:pPr>
      <w:r w:rsidRPr="007508E1">
        <w:rPr>
          <w:rFonts w:eastAsia="Calibri"/>
          <w:kern w:val="3"/>
          <w:lang w:eastAsia="en-US"/>
        </w:rPr>
        <w:t xml:space="preserve">Obesa individer har en ökad risk för refluxsjukdom och förekomst av Hiatus hernia.  Därför rekommenderas i dessa fall behandling med antacid profylax. </w:t>
      </w:r>
    </w:p>
    <w:p w14:paraId="32069675" w14:textId="2EB56E6E" w:rsidR="007508E1" w:rsidRPr="007508E1" w:rsidRDefault="007508E1" w:rsidP="002D6B38">
      <w:pPr>
        <w:pStyle w:val="Rubrik2"/>
        <w:ind w:right="282"/>
        <w:rPr>
          <w:rFonts w:ascii="Arial" w:eastAsia="Calibri" w:hAnsi="Arial" w:cs="Arial"/>
          <w:b/>
          <w:kern w:val="3"/>
          <w:lang w:eastAsia="en-US"/>
        </w:rPr>
      </w:pPr>
      <w:r w:rsidRPr="00C32841">
        <w:rPr>
          <w:lang w:eastAsia="en-US"/>
        </w:rPr>
        <w:t>Peroperativt</w:t>
      </w:r>
    </w:p>
    <w:p w14:paraId="41C6D269" w14:textId="015A4BF4" w:rsidR="007508E1" w:rsidRPr="007508E1" w:rsidRDefault="007508E1" w:rsidP="002D6B38">
      <w:pPr>
        <w:pStyle w:val="Rubrik3"/>
        <w:ind w:right="282"/>
        <w:rPr>
          <w:rFonts w:ascii="Arial" w:eastAsia="Calibri" w:hAnsi="Arial" w:cs="Arial"/>
          <w:kern w:val="3"/>
          <w:lang w:eastAsia="en-US"/>
        </w:rPr>
      </w:pPr>
      <w:r w:rsidRPr="00C32841">
        <w:rPr>
          <w:lang w:eastAsia="en-US"/>
        </w:rPr>
        <w:t>Induktion</w:t>
      </w:r>
    </w:p>
    <w:p w14:paraId="0382D0B4" w14:textId="77777777" w:rsidR="007508E1" w:rsidRPr="007508E1" w:rsidRDefault="007508E1" w:rsidP="00CD29D4">
      <w:pPr>
        <w:numPr>
          <w:ilvl w:val="0"/>
          <w:numId w:val="20"/>
        </w:numPr>
        <w:suppressAutoHyphens/>
        <w:autoSpaceDN w:val="0"/>
        <w:spacing w:after="160" w:line="240" w:lineRule="auto"/>
        <w:ind w:left="1418" w:right="282"/>
        <w:textAlignment w:val="baseline"/>
        <w:rPr>
          <w:rFonts w:eastAsia="Calibri"/>
          <w:kern w:val="3"/>
          <w:lang w:eastAsia="en-US"/>
        </w:rPr>
      </w:pPr>
      <w:r w:rsidRPr="007508E1">
        <w:rPr>
          <w:rFonts w:eastAsia="Calibri"/>
          <w:kern w:val="3"/>
          <w:lang w:eastAsia="en-US"/>
        </w:rPr>
        <w:t>Specialist i anestesi bör vara närvarande vid induktion och extubation, särskilt vid befarad risk för svår luftväg.</w:t>
      </w:r>
    </w:p>
    <w:p w14:paraId="4C8D329A" w14:textId="77777777" w:rsidR="007508E1" w:rsidRPr="007508E1" w:rsidRDefault="007508E1" w:rsidP="00CD29D4">
      <w:pPr>
        <w:numPr>
          <w:ilvl w:val="0"/>
          <w:numId w:val="20"/>
        </w:numPr>
        <w:suppressAutoHyphens/>
        <w:autoSpaceDN w:val="0"/>
        <w:spacing w:after="160" w:line="240" w:lineRule="auto"/>
        <w:ind w:left="1418" w:right="282"/>
        <w:textAlignment w:val="baseline"/>
        <w:rPr>
          <w:rFonts w:eastAsia="Calibri"/>
          <w:kern w:val="3"/>
          <w:lang w:eastAsia="en-US"/>
        </w:rPr>
      </w:pPr>
      <w:r w:rsidRPr="007508E1">
        <w:rPr>
          <w:rFonts w:eastAsia="Calibri"/>
          <w:kern w:val="3"/>
          <w:lang w:eastAsia="en-US"/>
        </w:rPr>
        <w:t>2 venösa infarter.</w:t>
      </w:r>
    </w:p>
    <w:p w14:paraId="5FDB1409" w14:textId="77777777" w:rsidR="007508E1" w:rsidRPr="007508E1" w:rsidRDefault="007508E1" w:rsidP="00CD29D4">
      <w:pPr>
        <w:numPr>
          <w:ilvl w:val="0"/>
          <w:numId w:val="20"/>
        </w:numPr>
        <w:suppressAutoHyphens/>
        <w:autoSpaceDN w:val="0"/>
        <w:spacing w:after="160" w:line="240" w:lineRule="auto"/>
        <w:ind w:left="1418" w:right="282"/>
        <w:textAlignment w:val="baseline"/>
        <w:rPr>
          <w:rFonts w:eastAsia="Calibri"/>
          <w:kern w:val="3"/>
          <w:lang w:eastAsia="en-US"/>
        </w:rPr>
      </w:pPr>
      <w:r w:rsidRPr="007508E1">
        <w:rPr>
          <w:rFonts w:eastAsia="Calibri"/>
          <w:kern w:val="3"/>
          <w:lang w:eastAsia="en-US"/>
        </w:rPr>
        <w:t>Ha utrustning för svår luftväg tillgänglig. Gärna Videolaryngoskop på operationssalen.</w:t>
      </w:r>
    </w:p>
    <w:p w14:paraId="729C9228" w14:textId="77777777" w:rsidR="007508E1" w:rsidRPr="007508E1" w:rsidRDefault="007508E1" w:rsidP="00CD29D4">
      <w:pPr>
        <w:numPr>
          <w:ilvl w:val="0"/>
          <w:numId w:val="20"/>
        </w:numPr>
        <w:suppressAutoHyphens/>
        <w:autoSpaceDN w:val="0"/>
        <w:spacing w:after="160" w:line="240" w:lineRule="auto"/>
        <w:ind w:left="1418" w:right="282"/>
        <w:textAlignment w:val="baseline"/>
        <w:rPr>
          <w:rFonts w:eastAsia="Calibri"/>
          <w:kern w:val="3"/>
          <w:lang w:eastAsia="en-US"/>
        </w:rPr>
      </w:pPr>
      <w:r w:rsidRPr="007508E1">
        <w:rPr>
          <w:rFonts w:eastAsia="Calibri"/>
          <w:kern w:val="3"/>
          <w:lang w:eastAsia="en-US"/>
        </w:rPr>
        <w:lastRenderedPageBreak/>
        <w:t>Generös med invasiv blodtrycksmätning, ex artärnål, pga. Större risk för felvärden med non-invasiv mätning.</w:t>
      </w:r>
    </w:p>
    <w:p w14:paraId="7B9FF027" w14:textId="77777777" w:rsidR="007508E1" w:rsidRPr="007508E1" w:rsidRDefault="007508E1" w:rsidP="00CD29D4">
      <w:pPr>
        <w:numPr>
          <w:ilvl w:val="0"/>
          <w:numId w:val="20"/>
        </w:numPr>
        <w:suppressAutoHyphens/>
        <w:autoSpaceDN w:val="0"/>
        <w:spacing w:after="160" w:line="240" w:lineRule="auto"/>
        <w:ind w:left="1418" w:right="282"/>
        <w:textAlignment w:val="baseline"/>
        <w:rPr>
          <w:rFonts w:eastAsia="Calibri"/>
          <w:kern w:val="3"/>
          <w:lang w:eastAsia="en-US"/>
        </w:rPr>
      </w:pPr>
      <w:r w:rsidRPr="007508E1">
        <w:rPr>
          <w:rFonts w:eastAsia="Calibri"/>
          <w:kern w:val="3"/>
          <w:lang w:eastAsia="en-US"/>
        </w:rPr>
        <w:t xml:space="preserve">Generös med monitorering av anestesidjup, BIS. Det finns en förhöjd risk för awarness varför sömndjupsmätare och repetition av induktionsmedel rekommenderas. </w:t>
      </w:r>
      <w:r w:rsidRPr="007508E1">
        <w:rPr>
          <w:rFonts w:eastAsia="Calibri"/>
          <w:kern w:val="3"/>
          <w:lang w:eastAsia="en-US"/>
        </w:rPr>
        <w:tab/>
      </w:r>
    </w:p>
    <w:p w14:paraId="41CD1076" w14:textId="77777777" w:rsidR="007508E1" w:rsidRPr="007508E1" w:rsidRDefault="007508E1" w:rsidP="00CD29D4">
      <w:pPr>
        <w:numPr>
          <w:ilvl w:val="0"/>
          <w:numId w:val="20"/>
        </w:numPr>
        <w:suppressAutoHyphens/>
        <w:autoSpaceDN w:val="0"/>
        <w:spacing w:after="160" w:line="240" w:lineRule="auto"/>
        <w:ind w:left="1418" w:right="282"/>
        <w:textAlignment w:val="baseline"/>
        <w:rPr>
          <w:rFonts w:eastAsia="Calibri"/>
          <w:kern w:val="3"/>
          <w:lang w:eastAsia="en-US"/>
        </w:rPr>
      </w:pPr>
      <w:r w:rsidRPr="007508E1">
        <w:rPr>
          <w:rFonts w:eastAsia="Calibri"/>
          <w:kern w:val="3"/>
          <w:lang w:eastAsia="en-US"/>
        </w:rPr>
        <w:t xml:space="preserve">Positionering: Pillow ”ramp” (RAMP-position) minskar risken för misslyckad intubation. Finns TEP- kudde (Troop elevation pillow) som hjälmedel vid intubation. Vidare kan man tänka sig örat i samma höjd som bröstbenet för en mer optimal position inför intubation. 30 grader head –up.  </w:t>
      </w:r>
    </w:p>
    <w:p w14:paraId="72FD684A" w14:textId="77777777" w:rsidR="007508E1" w:rsidRPr="007508E1" w:rsidRDefault="007508E1" w:rsidP="00CD29D4">
      <w:pPr>
        <w:numPr>
          <w:ilvl w:val="0"/>
          <w:numId w:val="20"/>
        </w:numPr>
        <w:suppressAutoHyphens/>
        <w:autoSpaceDN w:val="0"/>
        <w:spacing w:after="160" w:line="240" w:lineRule="auto"/>
        <w:ind w:left="1418" w:right="282"/>
        <w:textAlignment w:val="baseline"/>
        <w:rPr>
          <w:rFonts w:eastAsia="Calibri"/>
          <w:kern w:val="3"/>
          <w:lang w:eastAsia="en-US"/>
        </w:rPr>
      </w:pPr>
      <w:r w:rsidRPr="007508E1">
        <w:rPr>
          <w:rFonts w:eastAsia="Calibri"/>
          <w:kern w:val="3"/>
          <w:lang w:eastAsia="en-US"/>
        </w:rPr>
        <w:t xml:space="preserve">Patienten ska själv inneha en position på op-bordet som känns bekväm. Det minskar risken att förflytta en sövd pat på op-bordet. </w:t>
      </w:r>
    </w:p>
    <w:p w14:paraId="7E96CE86" w14:textId="77777777" w:rsidR="007508E1" w:rsidRPr="007508E1" w:rsidRDefault="007508E1" w:rsidP="00CD29D4">
      <w:pPr>
        <w:numPr>
          <w:ilvl w:val="0"/>
          <w:numId w:val="20"/>
        </w:numPr>
        <w:suppressAutoHyphens/>
        <w:autoSpaceDN w:val="0"/>
        <w:spacing w:after="160" w:line="240" w:lineRule="auto"/>
        <w:ind w:left="1418" w:right="282"/>
        <w:textAlignment w:val="baseline"/>
        <w:rPr>
          <w:rFonts w:eastAsia="Calibri"/>
          <w:kern w:val="3"/>
          <w:lang w:eastAsia="en-US"/>
        </w:rPr>
      </w:pPr>
      <w:r w:rsidRPr="007508E1">
        <w:rPr>
          <w:rFonts w:eastAsia="Calibri"/>
          <w:kern w:val="3"/>
          <w:lang w:eastAsia="en-US"/>
        </w:rPr>
        <w:t xml:space="preserve"> I första hand Induktion med manuell injektion av Propofol iv och infusion av Remifentanil iv i TCI-mode. TCI-mode uträknat med Lean Body Mass (LBM). LBM är uträknad vikt vid BMI 30. </w:t>
      </w:r>
    </w:p>
    <w:p w14:paraId="7A7DDD64" w14:textId="77777777" w:rsidR="007508E1" w:rsidRPr="007508E1" w:rsidRDefault="007508E1" w:rsidP="00CD29D4">
      <w:pPr>
        <w:numPr>
          <w:ilvl w:val="0"/>
          <w:numId w:val="20"/>
        </w:numPr>
        <w:suppressAutoHyphens/>
        <w:autoSpaceDN w:val="0"/>
        <w:spacing w:after="160" w:line="240" w:lineRule="auto"/>
        <w:ind w:left="1418" w:right="282"/>
        <w:textAlignment w:val="baseline"/>
        <w:rPr>
          <w:rFonts w:eastAsia="Calibri"/>
          <w:kern w:val="3"/>
          <w:lang w:eastAsia="en-US"/>
        </w:rPr>
      </w:pPr>
      <w:r w:rsidRPr="007508E1">
        <w:rPr>
          <w:rFonts w:eastAsia="Calibri"/>
          <w:kern w:val="3"/>
          <w:lang w:eastAsia="en-US"/>
        </w:rPr>
        <w:t>Underhållsanestesi med Remifentanil och Sevofluran, MAC 0,8.</w:t>
      </w:r>
    </w:p>
    <w:p w14:paraId="49A34920" w14:textId="77777777" w:rsidR="007508E1" w:rsidRPr="007508E1" w:rsidRDefault="007508E1" w:rsidP="00CD29D4">
      <w:pPr>
        <w:numPr>
          <w:ilvl w:val="0"/>
          <w:numId w:val="20"/>
        </w:numPr>
        <w:suppressAutoHyphens/>
        <w:autoSpaceDN w:val="0"/>
        <w:spacing w:after="160" w:line="240" w:lineRule="auto"/>
        <w:ind w:left="1418" w:right="282"/>
        <w:textAlignment w:val="baseline"/>
        <w:rPr>
          <w:rFonts w:eastAsia="Calibri"/>
          <w:kern w:val="3"/>
          <w:lang w:eastAsia="en-US"/>
        </w:rPr>
      </w:pPr>
      <w:r w:rsidRPr="007508E1">
        <w:rPr>
          <w:rFonts w:eastAsia="Calibri"/>
          <w:kern w:val="3"/>
          <w:lang w:eastAsia="en-US"/>
        </w:rPr>
        <w:t>PEEP 5–15 cmH2O vid induktion, god pre-oxygenering, gärna 5–10 min med tät mask, 100 % O2 tillförsel. Alternativt kan Optiflow användas vid pre-oxygenering och under intubationen ge apnoisk oxygenering.</w:t>
      </w:r>
    </w:p>
    <w:p w14:paraId="18393DF3" w14:textId="77777777" w:rsidR="007508E1" w:rsidRPr="007508E1" w:rsidRDefault="007508E1" w:rsidP="00CD29D4">
      <w:pPr>
        <w:numPr>
          <w:ilvl w:val="0"/>
          <w:numId w:val="20"/>
        </w:numPr>
        <w:suppressAutoHyphens/>
        <w:autoSpaceDN w:val="0"/>
        <w:spacing w:after="160" w:line="240" w:lineRule="auto"/>
        <w:ind w:left="1418" w:right="282"/>
        <w:textAlignment w:val="baseline"/>
        <w:rPr>
          <w:rFonts w:eastAsia="Calibri"/>
          <w:kern w:val="3"/>
          <w:lang w:eastAsia="en-US"/>
        </w:rPr>
      </w:pPr>
      <w:r w:rsidRPr="007508E1">
        <w:rPr>
          <w:rFonts w:eastAsia="Calibri"/>
          <w:kern w:val="3"/>
          <w:lang w:eastAsia="en-US"/>
        </w:rPr>
        <w:t>Kvarhållande PEEP peroperativt på 8–10 cmH2O under anestesin.</w:t>
      </w:r>
    </w:p>
    <w:p w14:paraId="670A4747" w14:textId="77777777" w:rsidR="007508E1" w:rsidRPr="007508E1" w:rsidRDefault="007508E1" w:rsidP="00CD29D4">
      <w:pPr>
        <w:numPr>
          <w:ilvl w:val="0"/>
          <w:numId w:val="20"/>
        </w:numPr>
        <w:suppressAutoHyphens/>
        <w:autoSpaceDN w:val="0"/>
        <w:spacing w:after="160" w:line="240" w:lineRule="auto"/>
        <w:ind w:left="1418" w:right="282"/>
        <w:textAlignment w:val="baseline"/>
        <w:rPr>
          <w:rFonts w:eastAsia="Calibri"/>
          <w:kern w:val="3"/>
          <w:lang w:eastAsia="en-US"/>
        </w:rPr>
      </w:pPr>
      <w:r w:rsidRPr="007508E1">
        <w:rPr>
          <w:rFonts w:eastAsia="Calibri"/>
          <w:kern w:val="3"/>
          <w:lang w:eastAsia="en-US"/>
        </w:rPr>
        <w:t>Lungrekrytering kan göras efter behov förutsatt cirkulatoriskt stabil patient. Förslagsvis genom att långsamt öka PEEP stegvis från 12 till 35 och kvarhålla PEEP i 3–5 andetag och därefter sakta sänka PEEP.</w:t>
      </w:r>
    </w:p>
    <w:p w14:paraId="105D4AE2" w14:textId="7B303D9C" w:rsidR="007508E1" w:rsidRPr="007508E1" w:rsidRDefault="007508E1" w:rsidP="002D6B38">
      <w:pPr>
        <w:pStyle w:val="Rubrik3"/>
        <w:ind w:right="282"/>
        <w:rPr>
          <w:rFonts w:ascii="Arial" w:eastAsia="Calibri" w:hAnsi="Arial" w:cs="Arial"/>
          <w:kern w:val="3"/>
          <w:lang w:eastAsia="en-US"/>
        </w:rPr>
      </w:pPr>
      <w:r w:rsidRPr="00C32841">
        <w:rPr>
          <w:lang w:eastAsia="en-US"/>
        </w:rPr>
        <w:t>Extubation</w:t>
      </w:r>
      <w:r w:rsidRPr="007508E1">
        <w:rPr>
          <w:rFonts w:ascii="Arial" w:eastAsia="Calibri" w:hAnsi="Arial" w:cs="Arial"/>
          <w:kern w:val="3"/>
          <w:lang w:eastAsia="en-US"/>
        </w:rPr>
        <w:t xml:space="preserve"> </w:t>
      </w:r>
    </w:p>
    <w:p w14:paraId="660E7CA4" w14:textId="77777777" w:rsidR="007508E1" w:rsidRPr="007508E1" w:rsidRDefault="007508E1" w:rsidP="00CD29D4">
      <w:pPr>
        <w:numPr>
          <w:ilvl w:val="0"/>
          <w:numId w:val="20"/>
        </w:numPr>
        <w:suppressAutoHyphens/>
        <w:autoSpaceDN w:val="0"/>
        <w:spacing w:after="160" w:line="240" w:lineRule="auto"/>
        <w:ind w:left="1418" w:right="282"/>
        <w:textAlignment w:val="baseline"/>
        <w:rPr>
          <w:rFonts w:eastAsia="Calibri"/>
          <w:kern w:val="3"/>
          <w:lang w:eastAsia="en-US"/>
        </w:rPr>
      </w:pPr>
      <w:r w:rsidRPr="007508E1">
        <w:rPr>
          <w:rFonts w:eastAsia="Calibri"/>
          <w:kern w:val="3"/>
          <w:lang w:eastAsia="en-US"/>
        </w:rPr>
        <w:t xml:space="preserve">Patienten skall vara helt vaken. Bra tidal-och minutvolymer som innan sövningen. </w:t>
      </w:r>
    </w:p>
    <w:p w14:paraId="54D096CA" w14:textId="77777777" w:rsidR="007508E1" w:rsidRPr="007508E1" w:rsidRDefault="007508E1" w:rsidP="00CD29D4">
      <w:pPr>
        <w:numPr>
          <w:ilvl w:val="0"/>
          <w:numId w:val="20"/>
        </w:numPr>
        <w:suppressAutoHyphens/>
        <w:autoSpaceDN w:val="0"/>
        <w:spacing w:after="160" w:line="240" w:lineRule="auto"/>
        <w:ind w:left="1418" w:right="282"/>
        <w:textAlignment w:val="baseline"/>
        <w:rPr>
          <w:rFonts w:eastAsia="Calibri"/>
          <w:kern w:val="3"/>
          <w:lang w:eastAsia="en-US"/>
        </w:rPr>
      </w:pPr>
      <w:r w:rsidRPr="007508E1">
        <w:rPr>
          <w:rFonts w:eastAsia="Calibri"/>
          <w:kern w:val="3"/>
          <w:lang w:eastAsia="en-US"/>
        </w:rPr>
        <w:t xml:space="preserve"> Halvsittande patient (Exempelvis TEP-kudde, UNO-bord alt Kilkudde). </w:t>
      </w:r>
    </w:p>
    <w:p w14:paraId="61359CD8" w14:textId="77777777" w:rsidR="007508E1" w:rsidRPr="007508E1" w:rsidRDefault="007508E1" w:rsidP="00CD29D4">
      <w:pPr>
        <w:numPr>
          <w:ilvl w:val="0"/>
          <w:numId w:val="20"/>
        </w:numPr>
        <w:suppressAutoHyphens/>
        <w:autoSpaceDN w:val="0"/>
        <w:spacing w:after="160" w:line="240" w:lineRule="auto"/>
        <w:ind w:left="1418" w:right="282"/>
        <w:textAlignment w:val="baseline"/>
        <w:rPr>
          <w:rFonts w:eastAsia="Calibri"/>
          <w:kern w:val="3"/>
          <w:lang w:eastAsia="en-US"/>
        </w:rPr>
      </w:pPr>
      <w:r w:rsidRPr="007508E1">
        <w:rPr>
          <w:rFonts w:eastAsia="Calibri"/>
          <w:kern w:val="3"/>
          <w:lang w:eastAsia="en-US"/>
        </w:rPr>
        <w:t>Extubation till CPAP.</w:t>
      </w:r>
    </w:p>
    <w:p w14:paraId="60CF0606" w14:textId="77777777" w:rsidR="007508E1" w:rsidRPr="007508E1" w:rsidRDefault="007508E1" w:rsidP="00CD29D4">
      <w:pPr>
        <w:numPr>
          <w:ilvl w:val="0"/>
          <w:numId w:val="20"/>
        </w:numPr>
        <w:suppressAutoHyphens/>
        <w:autoSpaceDN w:val="0"/>
        <w:spacing w:after="160" w:line="240" w:lineRule="auto"/>
        <w:ind w:left="1418" w:right="282"/>
        <w:textAlignment w:val="baseline"/>
        <w:rPr>
          <w:rFonts w:eastAsia="Calibri"/>
          <w:kern w:val="3"/>
          <w:lang w:eastAsia="en-US"/>
        </w:rPr>
      </w:pPr>
      <w:r w:rsidRPr="007508E1">
        <w:rPr>
          <w:rFonts w:eastAsia="Calibri"/>
          <w:kern w:val="3"/>
          <w:lang w:eastAsia="en-US"/>
        </w:rPr>
        <w:t>Extubera när TOF-ratio är 95 %. Restkurarisering på dessa patienter kan vara kliniskt betydelsefullt.</w:t>
      </w:r>
    </w:p>
    <w:p w14:paraId="0127022E" w14:textId="04B88A83" w:rsidR="007508E1" w:rsidRPr="007508E1" w:rsidRDefault="007508E1" w:rsidP="002D6B38">
      <w:pPr>
        <w:pStyle w:val="Rubrik3"/>
        <w:ind w:right="282"/>
        <w:rPr>
          <w:lang w:eastAsia="en-US"/>
        </w:rPr>
      </w:pPr>
      <w:r w:rsidRPr="007508E1">
        <w:rPr>
          <w:lang w:eastAsia="en-US"/>
        </w:rPr>
        <w:t>POST-operativt</w:t>
      </w:r>
    </w:p>
    <w:p w14:paraId="508B44B3" w14:textId="77777777" w:rsidR="007508E1" w:rsidRPr="007508E1" w:rsidRDefault="007508E1" w:rsidP="00CD29D4">
      <w:pPr>
        <w:numPr>
          <w:ilvl w:val="0"/>
          <w:numId w:val="20"/>
        </w:numPr>
        <w:suppressAutoHyphens/>
        <w:autoSpaceDN w:val="0"/>
        <w:spacing w:after="160" w:line="240" w:lineRule="auto"/>
        <w:ind w:left="1418" w:right="282"/>
        <w:textAlignment w:val="baseline"/>
        <w:rPr>
          <w:rFonts w:eastAsia="Calibri"/>
          <w:kern w:val="3"/>
          <w:lang w:eastAsia="en-US"/>
        </w:rPr>
      </w:pPr>
      <w:r w:rsidRPr="007508E1">
        <w:rPr>
          <w:rFonts w:eastAsia="Calibri"/>
          <w:kern w:val="3"/>
          <w:lang w:eastAsia="en-US"/>
        </w:rPr>
        <w:t>Patientens co morbiditet styr den postoperativa vårdnivån i första hand</w:t>
      </w:r>
      <w:r w:rsidRPr="00CD29D4">
        <w:rPr>
          <w:rFonts w:eastAsia="Calibri"/>
          <w:kern w:val="3"/>
          <w:lang w:eastAsia="en-US"/>
        </w:rPr>
        <w:t xml:space="preserve">. </w:t>
      </w:r>
    </w:p>
    <w:p w14:paraId="09D76465" w14:textId="77777777" w:rsidR="007508E1" w:rsidRPr="007508E1" w:rsidRDefault="007508E1" w:rsidP="00CD29D4">
      <w:pPr>
        <w:numPr>
          <w:ilvl w:val="0"/>
          <w:numId w:val="20"/>
        </w:numPr>
        <w:suppressAutoHyphens/>
        <w:autoSpaceDN w:val="0"/>
        <w:spacing w:after="160" w:line="240" w:lineRule="auto"/>
        <w:ind w:left="1418" w:right="282"/>
        <w:textAlignment w:val="baseline"/>
        <w:rPr>
          <w:rFonts w:eastAsia="Calibri"/>
          <w:kern w:val="3"/>
          <w:lang w:eastAsia="en-US"/>
        </w:rPr>
      </w:pPr>
      <w:r w:rsidRPr="007508E1">
        <w:rPr>
          <w:rFonts w:eastAsia="Calibri"/>
          <w:kern w:val="3"/>
          <w:lang w:eastAsia="en-US"/>
        </w:rPr>
        <w:t>Bibehållen saturation över 94 %.</w:t>
      </w:r>
    </w:p>
    <w:p w14:paraId="27331BB5" w14:textId="77777777" w:rsidR="007508E1" w:rsidRPr="007508E1" w:rsidRDefault="007508E1" w:rsidP="00CD29D4">
      <w:pPr>
        <w:numPr>
          <w:ilvl w:val="0"/>
          <w:numId w:val="20"/>
        </w:numPr>
        <w:suppressAutoHyphens/>
        <w:autoSpaceDN w:val="0"/>
        <w:spacing w:after="160" w:line="240" w:lineRule="auto"/>
        <w:ind w:left="1418" w:right="282"/>
        <w:textAlignment w:val="baseline"/>
        <w:rPr>
          <w:rFonts w:eastAsia="Calibri"/>
          <w:kern w:val="3"/>
          <w:lang w:eastAsia="en-US"/>
        </w:rPr>
      </w:pPr>
      <w:r w:rsidRPr="007508E1">
        <w:rPr>
          <w:rFonts w:eastAsia="Calibri"/>
          <w:kern w:val="3"/>
          <w:lang w:eastAsia="en-US"/>
        </w:rPr>
        <w:t xml:space="preserve">Ökad risk för Apné föreligger främst 3 dygn efter generellanestesi. Störst risk för respiratorisk insufficiens de första 72 h. 24 h övervakning post-op anses vara tillräcklig. Om apné förekommer och/eller saturation under 90 % förlängs UVA tiden med 4 tim.  </w:t>
      </w:r>
    </w:p>
    <w:p w14:paraId="6EBABE40" w14:textId="77777777" w:rsidR="007508E1" w:rsidRPr="007508E1" w:rsidRDefault="007508E1" w:rsidP="00CD29D4">
      <w:pPr>
        <w:numPr>
          <w:ilvl w:val="0"/>
          <w:numId w:val="20"/>
        </w:numPr>
        <w:suppressAutoHyphens/>
        <w:autoSpaceDN w:val="0"/>
        <w:spacing w:after="160" w:line="240" w:lineRule="auto"/>
        <w:ind w:left="1418" w:right="282"/>
        <w:textAlignment w:val="baseline"/>
        <w:rPr>
          <w:rFonts w:eastAsia="Calibri"/>
          <w:kern w:val="3"/>
          <w:lang w:eastAsia="en-US"/>
        </w:rPr>
      </w:pPr>
      <w:r w:rsidRPr="007508E1">
        <w:rPr>
          <w:rFonts w:eastAsia="Calibri"/>
          <w:kern w:val="3"/>
          <w:lang w:eastAsia="en-US"/>
        </w:rPr>
        <w:t xml:space="preserve">CPAP bör användas på UVA, särskilt vid OSAS.  </w:t>
      </w:r>
    </w:p>
    <w:p w14:paraId="0D2192BE" w14:textId="77777777" w:rsidR="007508E1" w:rsidRPr="007508E1" w:rsidRDefault="007508E1" w:rsidP="00CD29D4">
      <w:pPr>
        <w:numPr>
          <w:ilvl w:val="0"/>
          <w:numId w:val="20"/>
        </w:numPr>
        <w:suppressAutoHyphens/>
        <w:autoSpaceDN w:val="0"/>
        <w:spacing w:after="160" w:line="240" w:lineRule="auto"/>
        <w:ind w:left="1418" w:right="282"/>
        <w:textAlignment w:val="baseline"/>
        <w:rPr>
          <w:rFonts w:eastAsia="Calibri"/>
          <w:kern w:val="3"/>
          <w:lang w:eastAsia="en-US"/>
        </w:rPr>
      </w:pPr>
      <w:r w:rsidRPr="007508E1">
        <w:rPr>
          <w:rFonts w:eastAsia="Calibri"/>
          <w:kern w:val="3"/>
          <w:lang w:eastAsia="en-US"/>
        </w:rPr>
        <w:lastRenderedPageBreak/>
        <w:t>För att minska risken för tromboembolism, tänk på att ta ställning till Fragmin (LMWH), om patienten är normovolem samt tidig mobilisering.</w:t>
      </w:r>
    </w:p>
    <w:p w14:paraId="5C072F4E" w14:textId="77777777" w:rsidR="007508E1" w:rsidRPr="007508E1" w:rsidRDefault="007508E1" w:rsidP="00CD29D4">
      <w:pPr>
        <w:numPr>
          <w:ilvl w:val="0"/>
          <w:numId w:val="20"/>
        </w:numPr>
        <w:suppressAutoHyphens/>
        <w:autoSpaceDN w:val="0"/>
        <w:spacing w:after="160" w:line="240" w:lineRule="auto"/>
        <w:ind w:left="1418" w:right="282"/>
        <w:textAlignment w:val="baseline"/>
        <w:rPr>
          <w:rFonts w:eastAsia="Calibri"/>
          <w:kern w:val="3"/>
          <w:lang w:eastAsia="en-US"/>
        </w:rPr>
      </w:pPr>
      <w:r w:rsidRPr="007508E1">
        <w:rPr>
          <w:rFonts w:eastAsia="Calibri"/>
          <w:kern w:val="3"/>
          <w:lang w:eastAsia="en-US"/>
        </w:rPr>
        <w:t>Hjärt-sängläge.</w:t>
      </w:r>
    </w:p>
    <w:p w14:paraId="1AAEAA97" w14:textId="77777777" w:rsidR="007508E1" w:rsidRPr="007508E1" w:rsidRDefault="007508E1" w:rsidP="002D6B38">
      <w:pPr>
        <w:pStyle w:val="Rubrik2"/>
        <w:ind w:right="282"/>
        <w:rPr>
          <w:rFonts w:ascii="Arial" w:eastAsia="Calibri" w:hAnsi="Arial" w:cs="Arial"/>
          <w:b/>
          <w:bCs w:val="0"/>
          <w:kern w:val="3"/>
          <w:sz w:val="22"/>
          <w:szCs w:val="22"/>
          <w:lang w:val="en-US" w:eastAsia="en-US"/>
        </w:rPr>
      </w:pPr>
      <w:r w:rsidRPr="00C32841">
        <w:t>REFERENS</w:t>
      </w:r>
    </w:p>
    <w:p w14:paraId="39D321DF" w14:textId="77777777" w:rsidR="007508E1" w:rsidRPr="007508E1" w:rsidRDefault="007508E1" w:rsidP="002D6B38">
      <w:pPr>
        <w:suppressAutoHyphens/>
        <w:autoSpaceDN w:val="0"/>
        <w:spacing w:after="160" w:line="240" w:lineRule="auto"/>
        <w:ind w:right="282"/>
        <w:textAlignment w:val="baseline"/>
        <w:rPr>
          <w:rFonts w:eastAsia="Calibri"/>
          <w:kern w:val="3"/>
          <w:sz w:val="23"/>
          <w:szCs w:val="23"/>
          <w:lang w:val="en-US" w:eastAsia="en-US"/>
        </w:rPr>
      </w:pPr>
      <w:r w:rsidRPr="007508E1">
        <w:rPr>
          <w:rFonts w:eastAsia="Calibri"/>
          <w:kern w:val="3"/>
          <w:sz w:val="23"/>
          <w:szCs w:val="23"/>
          <w:lang w:val="en-US" w:eastAsia="en-US"/>
        </w:rPr>
        <w:t xml:space="preserve">Adams, J.P. 2000. Obesity in anaesthesia and intensive care. </w:t>
      </w:r>
      <w:r w:rsidRPr="007508E1">
        <w:rPr>
          <w:rFonts w:eastAsia="Calibri"/>
          <w:i/>
          <w:iCs/>
          <w:kern w:val="3"/>
          <w:sz w:val="23"/>
          <w:szCs w:val="23"/>
          <w:lang w:val="en-US" w:eastAsia="en-US"/>
        </w:rPr>
        <w:t>British Journal of Anaesthesia</w:t>
      </w:r>
      <w:r w:rsidRPr="007508E1">
        <w:rPr>
          <w:rFonts w:eastAsia="Calibri"/>
          <w:kern w:val="3"/>
          <w:sz w:val="23"/>
          <w:szCs w:val="23"/>
          <w:lang w:val="en-US" w:eastAsia="en-US"/>
        </w:rPr>
        <w:t>. 85 (1): 91–108</w:t>
      </w:r>
    </w:p>
    <w:p w14:paraId="73C738A2" w14:textId="77777777" w:rsidR="007508E1" w:rsidRPr="007508E1" w:rsidRDefault="007508E1" w:rsidP="002D6B38">
      <w:pPr>
        <w:suppressAutoHyphens/>
        <w:autoSpaceDN w:val="0"/>
        <w:spacing w:after="160" w:line="240" w:lineRule="auto"/>
        <w:ind w:right="282"/>
        <w:textAlignment w:val="baseline"/>
        <w:rPr>
          <w:rFonts w:eastAsia="Calibri"/>
          <w:kern w:val="3"/>
          <w:sz w:val="23"/>
          <w:szCs w:val="23"/>
          <w:lang w:val="en-US" w:eastAsia="en-US"/>
        </w:rPr>
      </w:pPr>
      <w:r w:rsidRPr="007508E1">
        <w:rPr>
          <w:rFonts w:eastAsia="Calibri"/>
          <w:kern w:val="3"/>
          <w:sz w:val="23"/>
          <w:szCs w:val="23"/>
          <w:lang w:val="en-US" w:eastAsia="en-US"/>
        </w:rPr>
        <w:t xml:space="preserve">Clayton, Rhys. 2017. Anaesthesia for obesity surgery. </w:t>
      </w:r>
      <w:r w:rsidRPr="007508E1">
        <w:rPr>
          <w:rFonts w:eastAsia="Calibri"/>
          <w:i/>
          <w:iCs/>
          <w:kern w:val="3"/>
          <w:sz w:val="23"/>
          <w:szCs w:val="23"/>
          <w:lang w:val="en-US" w:eastAsia="en-US"/>
        </w:rPr>
        <w:t>Endocrinology</w:t>
      </w:r>
      <w:r w:rsidRPr="007508E1">
        <w:rPr>
          <w:rFonts w:eastAsia="Calibri"/>
          <w:kern w:val="3"/>
          <w:sz w:val="23"/>
          <w:szCs w:val="23"/>
          <w:lang w:val="en-US" w:eastAsia="en-US"/>
        </w:rPr>
        <w:t>. 18 (10): 477–480</w:t>
      </w:r>
    </w:p>
    <w:p w14:paraId="3CD489C6" w14:textId="77777777" w:rsidR="007508E1" w:rsidRPr="007508E1" w:rsidRDefault="007508E1" w:rsidP="002D6B38">
      <w:pPr>
        <w:suppressAutoHyphens/>
        <w:autoSpaceDN w:val="0"/>
        <w:spacing w:after="160" w:line="240" w:lineRule="auto"/>
        <w:ind w:right="282"/>
        <w:textAlignment w:val="baseline"/>
        <w:rPr>
          <w:rFonts w:eastAsia="Calibri"/>
          <w:kern w:val="3"/>
          <w:sz w:val="23"/>
          <w:szCs w:val="23"/>
          <w:lang w:val="en-US" w:eastAsia="en-US"/>
        </w:rPr>
      </w:pPr>
      <w:r w:rsidRPr="007508E1">
        <w:rPr>
          <w:rFonts w:eastAsia="Calibri"/>
          <w:kern w:val="3"/>
          <w:sz w:val="23"/>
          <w:szCs w:val="23"/>
          <w:lang w:val="en-US" w:eastAsia="en-US"/>
        </w:rPr>
        <w:t xml:space="preserve"> Lotia, Sharmeen.2008. Anaesthesia and morbid obesity. </w:t>
      </w:r>
      <w:r w:rsidRPr="007508E1">
        <w:rPr>
          <w:rFonts w:eastAsia="Calibri"/>
          <w:i/>
          <w:iCs/>
          <w:kern w:val="3"/>
          <w:sz w:val="23"/>
          <w:szCs w:val="23"/>
          <w:lang w:val="en-US" w:eastAsia="en-US"/>
        </w:rPr>
        <w:t>Continuing Education in Anaesthesia, Critical Care and Pain</w:t>
      </w:r>
      <w:r w:rsidRPr="007508E1">
        <w:rPr>
          <w:rFonts w:eastAsia="Calibri"/>
          <w:kern w:val="3"/>
          <w:sz w:val="23"/>
          <w:szCs w:val="23"/>
          <w:lang w:val="en-US" w:eastAsia="en-US"/>
        </w:rPr>
        <w:t>. 5(8) :151–156</w:t>
      </w:r>
    </w:p>
    <w:p w14:paraId="40B65290" w14:textId="77777777" w:rsidR="007508E1" w:rsidRPr="007508E1" w:rsidRDefault="007508E1" w:rsidP="002D6B38">
      <w:pPr>
        <w:suppressAutoHyphens/>
        <w:autoSpaceDN w:val="0"/>
        <w:spacing w:after="160" w:line="240" w:lineRule="auto"/>
        <w:ind w:right="282"/>
        <w:textAlignment w:val="baseline"/>
        <w:rPr>
          <w:rFonts w:eastAsia="Calibri"/>
          <w:kern w:val="3"/>
          <w:sz w:val="23"/>
          <w:szCs w:val="23"/>
          <w:lang w:val="en-US" w:eastAsia="en-US"/>
        </w:rPr>
      </w:pPr>
      <w:r w:rsidRPr="007508E1">
        <w:rPr>
          <w:rFonts w:eastAsia="Calibri"/>
          <w:kern w:val="3"/>
          <w:sz w:val="23"/>
          <w:szCs w:val="23"/>
          <w:lang w:val="en-US" w:eastAsia="en-US"/>
        </w:rPr>
        <w:t xml:space="preserve">The Society for Obesity and Bariatric Anaesthesia UK: </w:t>
      </w:r>
      <w:hyperlink r:id="rId19">
        <w:r w:rsidRPr="007508E1">
          <w:rPr>
            <w:rFonts w:eastAsia="Calibri"/>
            <w:color w:val="0000FF"/>
            <w:kern w:val="3"/>
            <w:sz w:val="23"/>
            <w:szCs w:val="23"/>
            <w:u w:val="single"/>
            <w:lang w:val="en-US" w:eastAsia="en-US"/>
          </w:rPr>
          <w:t>www.sobauk.com</w:t>
        </w:r>
      </w:hyperlink>
    </w:p>
    <w:p w14:paraId="2D8A2BCA" w14:textId="77777777" w:rsidR="007508E1" w:rsidRPr="007508E1" w:rsidRDefault="007508E1" w:rsidP="002D6B38">
      <w:pPr>
        <w:suppressAutoHyphens/>
        <w:autoSpaceDN w:val="0"/>
        <w:spacing w:after="160" w:line="240" w:lineRule="auto"/>
        <w:ind w:right="282"/>
        <w:textAlignment w:val="baseline"/>
        <w:rPr>
          <w:rFonts w:eastAsia="Calibri"/>
          <w:kern w:val="3"/>
          <w:lang w:val="en-US" w:eastAsia="en-US"/>
        </w:rPr>
      </w:pPr>
      <w:r w:rsidRPr="007508E1">
        <w:rPr>
          <w:rFonts w:eastAsia="Calibri"/>
          <w:kern w:val="3"/>
          <w:sz w:val="23"/>
          <w:szCs w:val="23"/>
          <w:lang w:val="en-US" w:eastAsia="en-US"/>
        </w:rPr>
        <w:t xml:space="preserve">The Society for Metabolic and Bariatric Surgery: </w:t>
      </w:r>
      <w:hyperlink r:id="rId20">
        <w:r w:rsidRPr="007508E1">
          <w:rPr>
            <w:rFonts w:eastAsia="Calibri"/>
            <w:color w:val="0000FF"/>
            <w:kern w:val="3"/>
            <w:sz w:val="23"/>
            <w:szCs w:val="23"/>
            <w:u w:val="single"/>
            <w:lang w:val="en-US" w:eastAsia="en-US"/>
          </w:rPr>
          <w:t>www.asmbs.org</w:t>
        </w:r>
      </w:hyperlink>
    </w:p>
    <w:bookmarkEnd w:id="0"/>
    <w:p w14:paraId="76B9F95B" w14:textId="24513497" w:rsidR="00536A5A" w:rsidRPr="00536A5A" w:rsidRDefault="00536A5A" w:rsidP="002D6B38">
      <w:pPr>
        <w:spacing w:after="0" w:line="240" w:lineRule="auto"/>
        <w:ind w:right="282"/>
      </w:pPr>
    </w:p>
    <w:sectPr w:rsidR="00536A5A" w:rsidRPr="00536A5A" w:rsidSect="007508E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5" name="Bildobjekt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4" name="Bildobjekt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55090B"/>
    <w:multiLevelType w:val="multilevel"/>
    <w:tmpl w:val="266ECB8C"/>
    <w:lvl w:ilvl="0">
      <w:numFmt w:val="bullet"/>
      <w:lvlText w:val="-"/>
      <w:lvlJc w:val="left"/>
      <w:pPr>
        <w:ind w:left="720" w:hanging="360"/>
      </w:pPr>
      <w:rPr>
        <w:rFonts w:ascii="Calibri" w:eastAsia="Calibri" w:hAnsi="Calibri" w:cs="Calibr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9183999">
    <w:abstractNumId w:val="18"/>
  </w:num>
  <w:num w:numId="2" w16cid:durableId="643781783">
    <w:abstractNumId w:val="15"/>
  </w:num>
  <w:num w:numId="3" w16cid:durableId="377095842">
    <w:abstractNumId w:val="0"/>
  </w:num>
  <w:num w:numId="4" w16cid:durableId="1398363375">
    <w:abstractNumId w:val="7"/>
  </w:num>
  <w:num w:numId="5" w16cid:durableId="1647658509">
    <w:abstractNumId w:val="16"/>
  </w:num>
  <w:num w:numId="6" w16cid:durableId="284892700">
    <w:abstractNumId w:val="2"/>
  </w:num>
  <w:num w:numId="7" w16cid:durableId="864711386">
    <w:abstractNumId w:val="12"/>
  </w:num>
  <w:num w:numId="8" w16cid:durableId="1297417010">
    <w:abstractNumId w:val="9"/>
  </w:num>
  <w:num w:numId="9" w16cid:durableId="1870796474">
    <w:abstractNumId w:val="1"/>
  </w:num>
  <w:num w:numId="10" w16cid:durableId="233785167">
    <w:abstractNumId w:val="1"/>
  </w:num>
  <w:num w:numId="11" w16cid:durableId="344283294">
    <w:abstractNumId w:val="4"/>
  </w:num>
  <w:num w:numId="12" w16cid:durableId="1070031887">
    <w:abstractNumId w:val="5"/>
  </w:num>
  <w:num w:numId="13" w16cid:durableId="1486969036">
    <w:abstractNumId w:val="14"/>
  </w:num>
  <w:num w:numId="14" w16cid:durableId="928081801">
    <w:abstractNumId w:val="10"/>
  </w:num>
  <w:num w:numId="15" w16cid:durableId="1001852103">
    <w:abstractNumId w:val="8"/>
  </w:num>
  <w:num w:numId="16" w16cid:durableId="1609003811">
    <w:abstractNumId w:val="13"/>
  </w:num>
  <w:num w:numId="17" w16cid:durableId="53436897">
    <w:abstractNumId w:val="6"/>
  </w:num>
  <w:num w:numId="18" w16cid:durableId="554588423">
    <w:abstractNumId w:val="11"/>
  </w:num>
  <w:num w:numId="19" w16cid:durableId="2013802427">
    <w:abstractNumId w:val="17"/>
  </w:num>
  <w:num w:numId="20" w16cid:durableId="16633876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D6B38"/>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08E1"/>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32841"/>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29D4"/>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vgregion.se/alfresco/service/vgr/storage/node/content/20134?a=false&amp;guest=true"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17532/Patientgrupper%20som%20inte%20ska%20opereras%20p%c3%a5%20Uddevalla%20sjukhus.pdf?a=false&amp;guest=true" TargetMode="External" Id="rId17" /><Relationship Type="http://schemas.openxmlformats.org/officeDocument/2006/relationships/footer" Target="footer3.xml" Id="rId16" /><Relationship Type="http://schemas.openxmlformats.org/officeDocument/2006/relationships/hyperlink" Target="http://www.asmbs.org"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www.sobauk.com"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4</Pages>
  <Words>923</Words>
  <Characters>5610</Characters>
  <Application>Microsoft Office Word</Application>
  <DocSecurity>0</DocSecurity>
  <Lines>46</Lines>
  <Paragraphs>13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6520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Anestesi för obesa patienter</dc:title>
  <dc:subject/>
  <dc:creator>patrik.jens.johansson@vgregion.se</dc:creator>
  <keywords/>
  <lastModifiedBy>Carina Roos</lastModifiedBy>
  <revision>5</revision>
  <lastPrinted>2016-03-31T10:56:00.0000000Z</lastPrinted>
  <dcterms:created xsi:type="dcterms:W3CDTF">2022-05-25T11:45:00.0000000Z</dcterms:created>
  <dcterms:modified xsi:type="dcterms:W3CDTF">2024-01-26T07:31:00.0000000Z</dcterms:modified>
</coreProperties>
</file>