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D9FE0" w14:textId="77777777" w:rsidR="00512F1C" w:rsidRDefault="00512F1C" w:rsidP="00AB77E5">
      <w:pPr>
        <w:pStyle w:val="Rubrik2"/>
        <w:ind w:right="424"/>
        <w:sectPr w:rsidR="00512F1C" w:rsidSect="00512F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ED6120" w14:textId="77777777" w:rsidR="00512F1C" w:rsidRPr="00512F1C" w:rsidRDefault="00512F1C" w:rsidP="00AB77E5">
      <w:pPr>
        <w:spacing w:after="0" w:line="240" w:lineRule="auto"/>
        <w:ind w:right="424"/>
        <w:rPr>
          <w:rFonts w:ascii="Arial" w:hAnsi="Arial" w:cs="Arial"/>
          <w:szCs w:val="20"/>
        </w:rPr>
      </w:pPr>
    </w:p>
    <w:p w14:paraId="23B3EE3B" w14:textId="3000A42C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88F56A" wp14:editId="66DFBA7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3BBA59" w14:textId="77777777" w:rsidR="00512F1C" w:rsidRPr="003D37FD" w:rsidRDefault="00512F1C" w:rsidP="00512F1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88F56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83BBA59" w14:textId="77777777" w:rsidR="00512F1C" w:rsidRPr="003D37FD" w:rsidRDefault="00512F1C" w:rsidP="00512F1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12F1C" w:rsidRPr="00512F1C" w14:paraId="173B2825" w14:textId="77777777" w:rsidTr="00B3519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C70C99" w14:textId="77777777" w:rsidR="00512F1C" w:rsidRPr="00512F1C" w:rsidRDefault="00512F1C" w:rsidP="00AB77E5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12F1C">
              <w:rPr>
                <w:noProof/>
              </w:rPr>
              <w:t>Galloperationer – postoperativ vård</w:t>
            </w:r>
          </w:p>
        </w:tc>
      </w:tr>
    </w:tbl>
    <w:p w14:paraId="537FCFC2" w14:textId="77777777" w:rsidR="00512F1C" w:rsidRPr="00512F1C" w:rsidRDefault="00512F1C" w:rsidP="00AB77E5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95227C8" w14:textId="77777777" w:rsidR="00512F1C" w:rsidRPr="00512F1C" w:rsidRDefault="00512F1C" w:rsidP="00AB77E5">
      <w:pPr>
        <w:pStyle w:val="Rubrik2"/>
        <w:ind w:right="424"/>
      </w:pPr>
      <w:r w:rsidRPr="00512F1C">
        <w:t xml:space="preserve">Revidering i denna version: </w:t>
      </w:r>
    </w:p>
    <w:p w14:paraId="0FCD097D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Enbart förlängning</w:t>
      </w:r>
    </w:p>
    <w:p w14:paraId="47F1AE1E" w14:textId="77777777" w:rsidR="00512F1C" w:rsidRPr="00AD3194" w:rsidRDefault="00512F1C" w:rsidP="00AB77E5">
      <w:pPr>
        <w:pStyle w:val="Rubrik2"/>
        <w:ind w:right="424"/>
      </w:pPr>
      <w:r w:rsidRPr="00AD3194">
        <w:t>Bakgrund</w:t>
      </w:r>
    </w:p>
    <w:p w14:paraId="1DB18719" w14:textId="77777777" w:rsidR="00512F1C" w:rsidRPr="00512F1C" w:rsidRDefault="00512F1C" w:rsidP="00AB77E5">
      <w:pPr>
        <w:spacing w:after="0" w:line="240" w:lineRule="auto"/>
        <w:ind w:right="424"/>
      </w:pPr>
      <w:r w:rsidRPr="00512F1C">
        <w:rPr>
          <w:szCs w:val="20"/>
        </w:rPr>
        <w:t>Patienter som gallopereras, vårdas postoperativt på UVA och UVA dagkir inom NU-sjukvården. Ingreppet kan antingen utföras som öppen eller laparoskopiskt kirurgi.</w:t>
      </w:r>
    </w:p>
    <w:p w14:paraId="3E988786" w14:textId="77777777" w:rsidR="00512F1C" w:rsidRPr="00AD3194" w:rsidRDefault="00512F1C" w:rsidP="00AB77E5">
      <w:pPr>
        <w:pStyle w:val="Rubrik2"/>
        <w:ind w:right="424"/>
      </w:pPr>
      <w:r w:rsidRPr="00AD3194">
        <w:t>Syfte</w:t>
      </w:r>
    </w:p>
    <w:p w14:paraId="7C93F76B" w14:textId="77777777" w:rsidR="00512F1C" w:rsidRPr="00512F1C" w:rsidRDefault="00512F1C" w:rsidP="00AB77E5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Att ge en säker och god vård postoperativt till patienter som genomgår galloperation.</w:t>
      </w:r>
    </w:p>
    <w:p w14:paraId="5387B89C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18C21283" w14:textId="77777777" w:rsidR="00512F1C" w:rsidRPr="00AD3194" w:rsidRDefault="00512F1C" w:rsidP="00AB77E5">
      <w:pPr>
        <w:pStyle w:val="Rubrik2"/>
        <w:ind w:right="424"/>
      </w:pPr>
      <w:r w:rsidRPr="00AD3194">
        <w:t xml:space="preserve">Vilka berörs </w:t>
      </w:r>
    </w:p>
    <w:p w14:paraId="684CFD42" w14:textId="77777777" w:rsidR="00512F1C" w:rsidRPr="00512F1C" w:rsidRDefault="00512F1C" w:rsidP="00AB77E5">
      <w:pPr>
        <w:spacing w:after="0" w:line="240" w:lineRule="auto"/>
        <w:ind w:right="424"/>
      </w:pPr>
      <w:r w:rsidRPr="00512F1C">
        <w:t xml:space="preserve">Personal inom AnOpIVA som arbetar med postoperativ vård efter galloperationer. </w:t>
      </w:r>
    </w:p>
    <w:p w14:paraId="6C9CCCBA" w14:textId="77777777" w:rsidR="00512F1C" w:rsidRPr="00512F1C" w:rsidRDefault="00512F1C" w:rsidP="00AB77E5">
      <w:pPr>
        <w:pStyle w:val="Rubrik2"/>
        <w:ind w:right="424"/>
        <w:rPr>
          <w:rFonts w:ascii="Arial" w:hAnsi="Arial"/>
          <w:b/>
          <w:sz w:val="26"/>
        </w:rPr>
      </w:pPr>
      <w:r w:rsidRPr="00512F1C">
        <w:rPr>
          <w:rFonts w:ascii="Times New Roman Fet" w:hAnsi="Times New Roman Fet"/>
          <w:b/>
          <w:noProof/>
          <w:szCs w:val="20"/>
        </w:rPr>
        <w:br/>
      </w:r>
      <w:r w:rsidRPr="00AD3194">
        <w:t>Innehåll och metodbeskrivning</w:t>
      </w:r>
    </w:p>
    <w:p w14:paraId="5666F028" w14:textId="77777777" w:rsidR="00512F1C" w:rsidRPr="00512F1C" w:rsidRDefault="00512F1C" w:rsidP="00AB77E5">
      <w:pPr>
        <w:spacing w:after="0" w:line="240" w:lineRule="auto"/>
        <w:ind w:right="424"/>
        <w:outlineLvl w:val="4"/>
        <w:rPr>
          <w:rFonts w:ascii="Arial" w:hAnsi="Arial" w:cs="Arial"/>
          <w:b/>
          <w:bCs/>
          <w:iCs/>
          <w:szCs w:val="26"/>
        </w:rPr>
      </w:pPr>
    </w:p>
    <w:p w14:paraId="461820A6" w14:textId="77777777" w:rsidR="00512F1C" w:rsidRPr="00AD3194" w:rsidRDefault="00512F1C" w:rsidP="00AB77E5">
      <w:pPr>
        <w:pStyle w:val="Rubrik3"/>
        <w:ind w:right="424"/>
      </w:pPr>
      <w:r w:rsidRPr="00AD3194">
        <w:t>Ingreppsorsak</w:t>
      </w:r>
    </w:p>
    <w:p w14:paraId="26A94C49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47E0470A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Gallsten och/eller cholecystit</w:t>
      </w:r>
    </w:p>
    <w:p w14:paraId="02121F28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0C41F0D1" w14:textId="77777777" w:rsidR="00512F1C" w:rsidRPr="00AD3194" w:rsidRDefault="00512F1C" w:rsidP="00AB77E5">
      <w:pPr>
        <w:pStyle w:val="Rubrik3"/>
        <w:ind w:right="424"/>
      </w:pPr>
      <w:r w:rsidRPr="00AD3194">
        <w:lastRenderedPageBreak/>
        <w:t>Kirurgiska ingrepp</w:t>
      </w:r>
    </w:p>
    <w:p w14:paraId="58C026A4" w14:textId="77777777" w:rsidR="00512F1C" w:rsidRPr="00512F1C" w:rsidRDefault="00512F1C" w:rsidP="00AB77E5">
      <w:pPr>
        <w:spacing w:after="0" w:line="240" w:lineRule="auto"/>
        <w:ind w:right="424"/>
        <w:rPr>
          <w:rFonts w:ascii="Arial" w:hAnsi="Arial" w:cs="Arial"/>
          <w:b/>
          <w:bCs/>
          <w:szCs w:val="20"/>
        </w:rPr>
      </w:pPr>
    </w:p>
    <w:p w14:paraId="5E97528F" w14:textId="1C2A4D21" w:rsidR="00512F1C" w:rsidRPr="00512F1C" w:rsidRDefault="00512F1C" w:rsidP="00AB77E5">
      <w:pPr>
        <w:tabs>
          <w:tab w:val="left" w:pos="2835"/>
        </w:tabs>
        <w:spacing w:after="0" w:line="240" w:lineRule="auto"/>
        <w:ind w:right="424" w:firstLine="1"/>
        <w:rPr>
          <w:szCs w:val="20"/>
        </w:rPr>
      </w:pPr>
      <w:r w:rsidRPr="00512F1C">
        <w:rPr>
          <w:szCs w:val="20"/>
        </w:rPr>
        <w:t>Cholecystektomi = borttagande av gallblåsan via laparotomi eller via titthålskirurgi (laparoskopi)</w:t>
      </w:r>
    </w:p>
    <w:p w14:paraId="6E472591" w14:textId="7B3862E4" w:rsidR="00512F1C" w:rsidRPr="00512F1C" w:rsidRDefault="00512F1C" w:rsidP="00AB77E5">
      <w:pPr>
        <w:spacing w:after="0" w:line="240" w:lineRule="auto"/>
        <w:ind w:right="424" w:firstLine="1"/>
        <w:rPr>
          <w:szCs w:val="20"/>
        </w:rPr>
      </w:pPr>
      <w:r w:rsidRPr="00512F1C">
        <w:rPr>
          <w:szCs w:val="20"/>
        </w:rPr>
        <w:t xml:space="preserve">Choledocholitotomi= borttagande av sten i de djupa gallvägarna via en öppning av den djupa gallgången (ductus choledochus). </w:t>
      </w:r>
    </w:p>
    <w:p w14:paraId="3A7921EA" w14:textId="77777777" w:rsidR="00512F1C" w:rsidRPr="00512F1C" w:rsidRDefault="00512F1C" w:rsidP="00AB77E5">
      <w:pPr>
        <w:tabs>
          <w:tab w:val="left" w:pos="2835"/>
        </w:tabs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ab/>
        <w:t xml:space="preserve">  </w:t>
      </w:r>
    </w:p>
    <w:p w14:paraId="5416D9C2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Laparoskopisk cholecystektomi är förstahandsmetod. Öppen cholecystektomi föredras vid:</w:t>
      </w:r>
    </w:p>
    <w:p w14:paraId="0BACD9D2" w14:textId="77777777" w:rsidR="00512F1C" w:rsidRPr="00512F1C" w:rsidRDefault="00512F1C" w:rsidP="00AB77E5">
      <w:pPr>
        <w:numPr>
          <w:ilvl w:val="0"/>
          <w:numId w:val="20"/>
        </w:numPr>
        <w:tabs>
          <w:tab w:val="clear" w:pos="109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Känd koagulationsstörning som kan förväntas komplicera operationen.</w:t>
      </w:r>
    </w:p>
    <w:p w14:paraId="012D07D0" w14:textId="77777777" w:rsidR="00512F1C" w:rsidRPr="00512F1C" w:rsidRDefault="00512F1C" w:rsidP="00AB77E5">
      <w:pPr>
        <w:numPr>
          <w:ilvl w:val="0"/>
          <w:numId w:val="20"/>
        </w:numPr>
        <w:tabs>
          <w:tab w:val="clear" w:pos="109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Patienter med svår hjärtsjukdom eller emfysem (luftinsufflationen under laparoskopisk operation kan medföra alltför stor kardiopulmonell belastning).</w:t>
      </w:r>
    </w:p>
    <w:p w14:paraId="379164B8" w14:textId="77777777" w:rsidR="00512F1C" w:rsidRPr="00512F1C" w:rsidRDefault="00512F1C" w:rsidP="00AB77E5">
      <w:pPr>
        <w:numPr>
          <w:ilvl w:val="0"/>
          <w:numId w:val="20"/>
        </w:numPr>
        <w:tabs>
          <w:tab w:val="clear" w:pos="109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Graviditet</w:t>
      </w:r>
    </w:p>
    <w:p w14:paraId="5FD1BC7D" w14:textId="77777777" w:rsidR="00512F1C" w:rsidRPr="00512F1C" w:rsidRDefault="00512F1C" w:rsidP="00AB77E5">
      <w:pPr>
        <w:numPr>
          <w:ilvl w:val="0"/>
          <w:numId w:val="20"/>
        </w:numPr>
        <w:tabs>
          <w:tab w:val="clear" w:pos="109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Misstanke om gallblåsemalignitet</w:t>
      </w:r>
    </w:p>
    <w:p w14:paraId="0C38DDF5" w14:textId="77777777" w:rsidR="00512F1C" w:rsidRPr="00512F1C" w:rsidRDefault="00512F1C" w:rsidP="00AB77E5">
      <w:pPr>
        <w:numPr>
          <w:ilvl w:val="0"/>
          <w:numId w:val="20"/>
        </w:numPr>
        <w:tabs>
          <w:tab w:val="clear" w:pos="109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Levercirros.</w:t>
      </w:r>
      <w:r w:rsidRPr="00512F1C">
        <w:rPr>
          <w:szCs w:val="20"/>
        </w:rPr>
        <w:br/>
      </w:r>
    </w:p>
    <w:p w14:paraId="7CA7AB9C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Laparoskopisk cholecystektomi får ibland konverteras till öppen kirurgi. Vanligaste orsakerna till detta är oklar anatomi, sammanväxningar, ärrbildningar efter tidigare gallblåseinflammationer, blödning eller fynd av stora stenar i djupa gallgången.</w:t>
      </w:r>
    </w:p>
    <w:p w14:paraId="476F74EF" w14:textId="77777777" w:rsidR="00512F1C" w:rsidRPr="00512F1C" w:rsidRDefault="00512F1C" w:rsidP="00AB77E5">
      <w:pPr>
        <w:spacing w:after="0" w:line="240" w:lineRule="auto"/>
        <w:ind w:right="424"/>
        <w:outlineLvl w:val="5"/>
        <w:rPr>
          <w:rFonts w:ascii="Arial" w:hAnsi="Arial"/>
          <w:b/>
          <w:bCs/>
          <w:szCs w:val="22"/>
        </w:rPr>
      </w:pPr>
    </w:p>
    <w:p w14:paraId="19E5D902" w14:textId="46848417" w:rsidR="00512F1C" w:rsidRPr="00512F1C" w:rsidRDefault="00512F1C" w:rsidP="00AB77E5">
      <w:pPr>
        <w:pStyle w:val="Rubrik2"/>
        <w:ind w:right="424"/>
        <w:rPr>
          <w:rFonts w:ascii="Arial" w:hAnsi="Arial"/>
          <w:b/>
          <w:bCs w:val="0"/>
          <w:szCs w:val="22"/>
        </w:rPr>
      </w:pPr>
      <w:r w:rsidRPr="00AD3194">
        <w:t>Anestesiform</w:t>
      </w:r>
    </w:p>
    <w:p w14:paraId="21C2CF96" w14:textId="77777777" w:rsidR="00512F1C" w:rsidRPr="00512F1C" w:rsidRDefault="00512F1C" w:rsidP="00AB77E5">
      <w:pPr>
        <w:spacing w:after="0" w:line="240" w:lineRule="auto"/>
        <w:ind w:right="424"/>
        <w:rPr>
          <w:sz w:val="20"/>
          <w:szCs w:val="20"/>
        </w:rPr>
      </w:pPr>
    </w:p>
    <w:p w14:paraId="49A26743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Generell anestesi med intubation.</w:t>
      </w:r>
    </w:p>
    <w:p w14:paraId="766050E6" w14:textId="77777777" w:rsidR="00512F1C" w:rsidRPr="00AD3194" w:rsidRDefault="00512F1C" w:rsidP="00AB77E5">
      <w:pPr>
        <w:pStyle w:val="Rubrik2"/>
        <w:ind w:right="424"/>
      </w:pPr>
      <w:r w:rsidRPr="00AD3194">
        <w:t>Medicinsk behandling och omvårdnadsåtgärder</w:t>
      </w:r>
    </w:p>
    <w:p w14:paraId="680C8668" w14:textId="77777777" w:rsidR="00512F1C" w:rsidRPr="00512F1C" w:rsidRDefault="00512F1C" w:rsidP="00AB77E5">
      <w:pPr>
        <w:spacing w:after="0" w:line="240" w:lineRule="auto"/>
        <w:ind w:right="424"/>
        <w:outlineLvl w:val="5"/>
        <w:rPr>
          <w:rFonts w:ascii="Arial" w:hAnsi="Arial"/>
          <w:bCs/>
          <w:szCs w:val="22"/>
        </w:rPr>
      </w:pPr>
    </w:p>
    <w:p w14:paraId="438D318D" w14:textId="77777777" w:rsidR="00512F1C" w:rsidRPr="00AD3194" w:rsidRDefault="00512F1C" w:rsidP="00AB77E5">
      <w:pPr>
        <w:pStyle w:val="Rubrik3"/>
        <w:ind w:right="424"/>
      </w:pPr>
      <w:r w:rsidRPr="00AD3194">
        <w:t>Övervakning</w:t>
      </w:r>
    </w:p>
    <w:p w14:paraId="1AB2CC09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Enligt gällande riktlinjer för.</w:t>
      </w:r>
    </w:p>
    <w:p w14:paraId="584A38A1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326B5DA5" w14:textId="77777777" w:rsidR="00512F1C" w:rsidRPr="00AD3194" w:rsidRDefault="00512F1C" w:rsidP="00AB77E5">
      <w:pPr>
        <w:pStyle w:val="Rubrik3"/>
        <w:ind w:right="424"/>
      </w:pPr>
      <w:r w:rsidRPr="00AD3194">
        <w:t>Andning</w:t>
      </w:r>
    </w:p>
    <w:p w14:paraId="5BF43EA8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bCs/>
          <w:szCs w:val="20"/>
        </w:rPr>
        <w:t>O</w:t>
      </w:r>
      <w:r w:rsidRPr="00512F1C">
        <w:rPr>
          <w:bCs/>
          <w:szCs w:val="20"/>
          <w:vertAlign w:val="subscript"/>
        </w:rPr>
        <w:t>2</w:t>
      </w:r>
      <w:r w:rsidRPr="00512F1C">
        <w:rPr>
          <w:bCs/>
          <w:szCs w:val="20"/>
        </w:rPr>
        <w:t xml:space="preserve"> via mask eller grimma efter behov</w:t>
      </w:r>
      <w:r w:rsidRPr="00512F1C">
        <w:rPr>
          <w:szCs w:val="20"/>
        </w:rPr>
        <w:t>.</w:t>
      </w:r>
    </w:p>
    <w:p w14:paraId="4414AA51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67D6C5DB" w14:textId="77777777" w:rsidR="00512F1C" w:rsidRPr="00AD3194" w:rsidRDefault="00512F1C" w:rsidP="00AB77E5">
      <w:pPr>
        <w:pStyle w:val="Rubrik3"/>
        <w:ind w:right="424"/>
      </w:pPr>
      <w:r w:rsidRPr="00AD3194">
        <w:t>Cirkulation</w:t>
      </w:r>
    </w:p>
    <w:p w14:paraId="357159FF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Peroperativ blödning oftast liten.</w:t>
      </w:r>
    </w:p>
    <w:p w14:paraId="589653A4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1A13A9C6" w14:textId="77777777" w:rsidR="00512F1C" w:rsidRPr="00AD3194" w:rsidRDefault="00512F1C" w:rsidP="00AB77E5">
      <w:pPr>
        <w:pStyle w:val="Rubrik3"/>
        <w:ind w:right="424"/>
      </w:pPr>
      <w:r w:rsidRPr="00AD3194">
        <w:t>Nutrition</w:t>
      </w:r>
    </w:p>
    <w:p w14:paraId="7F64D9AE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Intravenös vätska samt per os enl. ordination.</w:t>
      </w:r>
    </w:p>
    <w:p w14:paraId="5AFFF6B9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28A903A1" w14:textId="77777777" w:rsidR="00512F1C" w:rsidRPr="00AD3194" w:rsidRDefault="00512F1C" w:rsidP="00AB77E5">
      <w:pPr>
        <w:pStyle w:val="Rubrik3"/>
        <w:ind w:right="424"/>
      </w:pPr>
      <w:r w:rsidRPr="00AD3194">
        <w:t>Elimination</w:t>
      </w:r>
    </w:p>
    <w:p w14:paraId="76FD0AF5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 xml:space="preserve">Har ibland KAD. Om inte kontrollera med bladderscan enligt rutin. </w:t>
      </w:r>
    </w:p>
    <w:p w14:paraId="649A402E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 xml:space="preserve">Har oftast inga drän vid  laparoskopiska cholecystektomier, vid öppen cholecystektomi läggs ett sårdrän. </w:t>
      </w:r>
    </w:p>
    <w:p w14:paraId="0C9D0333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Vid choledockolithotomi läggs dessutom ett T-drän (ett tunt gummirör)  i ductus choledochus. OBS!! kontrollera;</w:t>
      </w:r>
    </w:p>
    <w:p w14:paraId="7E9070DF" w14:textId="77777777" w:rsidR="00512F1C" w:rsidRPr="00512F1C" w:rsidRDefault="00512F1C" w:rsidP="009E4F5A">
      <w:pPr>
        <w:numPr>
          <w:ilvl w:val="0"/>
          <w:numId w:val="21"/>
        </w:numPr>
        <w:tabs>
          <w:tab w:val="clear" w:pos="145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Ev. galläckage i sårdränet.</w:t>
      </w:r>
    </w:p>
    <w:p w14:paraId="064727CE" w14:textId="77777777" w:rsidR="00512F1C" w:rsidRPr="00512F1C" w:rsidRDefault="00512F1C" w:rsidP="009E4F5A">
      <w:pPr>
        <w:numPr>
          <w:ilvl w:val="0"/>
          <w:numId w:val="21"/>
        </w:numPr>
        <w:tabs>
          <w:tab w:val="clear" w:pos="1455"/>
        </w:tabs>
        <w:spacing w:after="0" w:line="240" w:lineRule="auto"/>
        <w:ind w:left="1276" w:right="424" w:hanging="284"/>
        <w:rPr>
          <w:szCs w:val="20"/>
        </w:rPr>
      </w:pPr>
      <w:r w:rsidRPr="00512F1C">
        <w:rPr>
          <w:szCs w:val="20"/>
        </w:rPr>
        <w:t>Ev. blödning i förband eller drän.</w:t>
      </w:r>
    </w:p>
    <w:p w14:paraId="72CEC8FF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0201E390" w14:textId="77777777" w:rsidR="00512F1C" w:rsidRPr="00AD3194" w:rsidRDefault="00512F1C" w:rsidP="00AB77E5">
      <w:pPr>
        <w:pStyle w:val="Rubrik3"/>
        <w:ind w:right="424"/>
      </w:pPr>
      <w:r w:rsidRPr="00AD3194">
        <w:t>Hud</w:t>
      </w:r>
    </w:p>
    <w:p w14:paraId="1D83C7C8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Kontrollera och förstärk förband vid behov. Vid laparoskopisk operation 4 st titthål, (5 st vid choledochussten)</w:t>
      </w:r>
    </w:p>
    <w:p w14:paraId="63940D89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41D8355C" w14:textId="77777777" w:rsidR="00512F1C" w:rsidRPr="00AD3194" w:rsidRDefault="00512F1C" w:rsidP="00AB77E5">
      <w:pPr>
        <w:pStyle w:val="Rubrik3"/>
        <w:ind w:right="424"/>
      </w:pPr>
      <w:r w:rsidRPr="00AD3194">
        <w:t>Smärta</w:t>
      </w:r>
    </w:p>
    <w:p w14:paraId="1E83D62D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Läkemedel enl. generella direktiv för UVA, samt enl. läkarordination. Intercostalblockad och/eller sårinfiltration läggs oftast peroperativt.</w:t>
      </w:r>
    </w:p>
    <w:p w14:paraId="42BC4853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OBS! Den peroperativt insufflerade koldioxiden i bukhålan kan postoperativt ge smärtor i buken och upp mot axlarna.</w:t>
      </w:r>
    </w:p>
    <w:p w14:paraId="4C2F7909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544322CA" w14:textId="77777777" w:rsidR="00512F1C" w:rsidRPr="00AD3194" w:rsidRDefault="00512F1C" w:rsidP="00AB77E5">
      <w:pPr>
        <w:pStyle w:val="Rubrik3"/>
        <w:ind w:right="424"/>
      </w:pPr>
      <w:r w:rsidRPr="00AD3194">
        <w:t>Aktivitet</w:t>
      </w:r>
    </w:p>
    <w:p w14:paraId="2E9A7507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Hjälp med vändning. Uppmanas djupandas. Laparoskopiskt opererade patienter får gärna sitta på sängkanten för att underlätta/påskynda resorptionen av koldioxiden.</w:t>
      </w:r>
    </w:p>
    <w:p w14:paraId="7688589E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</w:p>
    <w:p w14:paraId="67BCA5C0" w14:textId="77777777" w:rsidR="00512F1C" w:rsidRPr="00AD3194" w:rsidRDefault="00512F1C" w:rsidP="00AB77E5">
      <w:pPr>
        <w:pStyle w:val="Rubrik3"/>
        <w:ind w:right="424"/>
      </w:pPr>
      <w:r w:rsidRPr="00AD3194">
        <w:t>Läkemedel</w:t>
      </w:r>
    </w:p>
    <w:p w14:paraId="4B2F966F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Trombosprofylax enl. ordination.</w:t>
      </w:r>
    </w:p>
    <w:p w14:paraId="7BAAF870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rPr>
          <w:szCs w:val="20"/>
        </w:rPr>
        <w:t>Profylaktisk antibiotikabehandling ges ej vid elektiv cholecystektomi. Ev behandling enl. läkar ordination (vid akuta cholecystiter har oftast antibiotika ordinerats sedan tidigare).</w:t>
      </w:r>
    </w:p>
    <w:p w14:paraId="6909D1E7" w14:textId="77777777" w:rsidR="00512F1C" w:rsidRPr="00512F1C" w:rsidRDefault="00512F1C" w:rsidP="00AB77E5">
      <w:pPr>
        <w:spacing w:after="0" w:line="240" w:lineRule="auto"/>
        <w:ind w:right="424"/>
        <w:rPr>
          <w:b/>
        </w:rPr>
      </w:pPr>
      <w:r w:rsidRPr="00512F1C">
        <w:rPr>
          <w:b/>
        </w:rPr>
        <w:t xml:space="preserve">           </w:t>
      </w:r>
    </w:p>
    <w:p w14:paraId="38C67671" w14:textId="77777777" w:rsidR="00512F1C" w:rsidRPr="00AD3194" w:rsidRDefault="00512F1C" w:rsidP="00AB77E5">
      <w:pPr>
        <w:pStyle w:val="Rubrik3"/>
        <w:ind w:right="424"/>
      </w:pPr>
      <w:r w:rsidRPr="00AD3194">
        <w:t>Provtagning</w:t>
      </w:r>
    </w:p>
    <w:p w14:paraId="30BA99A1" w14:textId="77777777" w:rsidR="00512F1C" w:rsidRPr="00512F1C" w:rsidRDefault="00512F1C" w:rsidP="00AB77E5">
      <w:pPr>
        <w:spacing w:after="0" w:line="240" w:lineRule="auto"/>
        <w:ind w:right="424"/>
        <w:rPr>
          <w:b/>
        </w:rPr>
      </w:pPr>
      <w:r w:rsidRPr="00512F1C">
        <w:rPr>
          <w:bCs/>
        </w:rPr>
        <w:t>Hb kontroll. Enligt ordination.</w:t>
      </w:r>
    </w:p>
    <w:p w14:paraId="01A48165" w14:textId="77777777" w:rsidR="00512F1C" w:rsidRPr="00512F1C" w:rsidRDefault="00512F1C" w:rsidP="00AB77E5">
      <w:pPr>
        <w:spacing w:after="0" w:line="240" w:lineRule="auto"/>
        <w:ind w:right="424"/>
        <w:rPr>
          <w:rFonts w:ascii="Arial" w:hAnsi="Arial" w:cs="Arial"/>
          <w:b/>
        </w:rPr>
      </w:pPr>
    </w:p>
    <w:p w14:paraId="1F04B33F" w14:textId="5044200A" w:rsidR="00512F1C" w:rsidRPr="00512F1C" w:rsidRDefault="00512F1C" w:rsidP="00AB77E5">
      <w:pPr>
        <w:pStyle w:val="Rubrik2"/>
        <w:ind w:right="424"/>
        <w:rPr>
          <w:rFonts w:ascii="Arial" w:hAnsi="Arial" w:cs="Arial"/>
          <w:b/>
        </w:rPr>
      </w:pPr>
      <w:r w:rsidRPr="00AD3194">
        <w:t>Utskrivning</w:t>
      </w:r>
    </w:p>
    <w:p w14:paraId="125D2A2B" w14:textId="77777777" w:rsidR="00512F1C" w:rsidRPr="00512F1C" w:rsidRDefault="00512F1C" w:rsidP="00AB77E5">
      <w:pPr>
        <w:spacing w:after="0" w:line="240" w:lineRule="auto"/>
        <w:ind w:right="424"/>
        <w:rPr>
          <w:rFonts w:ascii="Arial" w:hAnsi="Arial" w:cs="Arial"/>
          <w:b/>
          <w:sz w:val="14"/>
        </w:rPr>
      </w:pPr>
    </w:p>
    <w:p w14:paraId="1B276E08" w14:textId="77777777" w:rsidR="00512F1C" w:rsidRPr="00512F1C" w:rsidRDefault="00512F1C" w:rsidP="00AB77E5">
      <w:pPr>
        <w:spacing w:after="0" w:line="240" w:lineRule="auto"/>
        <w:ind w:right="424"/>
      </w:pPr>
      <w:r w:rsidRPr="00512F1C">
        <w:t>Enl. generella utskrivningskriterier för respektive uppvakningsavdelning.  Kan vara förlängd dagvård, eller slutenvårdspatient.</w:t>
      </w:r>
    </w:p>
    <w:p w14:paraId="52B4DFCA" w14:textId="77777777" w:rsidR="00512F1C" w:rsidRPr="00512F1C" w:rsidRDefault="00512F1C" w:rsidP="00AB77E5">
      <w:pPr>
        <w:spacing w:after="0" w:line="240" w:lineRule="auto"/>
        <w:ind w:right="424"/>
        <w:rPr>
          <w:szCs w:val="20"/>
        </w:rPr>
      </w:pPr>
      <w:r w:rsidRPr="00512F1C">
        <w:t>Se till att skicka med ev. gallstenar till avdelningen.</w:t>
      </w:r>
    </w:p>
    <w:bookmarkEnd w:id="0"/>
    <w:p w14:paraId="76B9F95B" w14:textId="24513497" w:rsidR="00536A5A" w:rsidRPr="00536A5A" w:rsidRDefault="00536A5A" w:rsidP="00AB77E5">
      <w:pPr>
        <w:spacing w:after="0" w:line="240" w:lineRule="auto"/>
        <w:ind w:right="424"/>
      </w:pPr>
    </w:p>
    <w:sectPr w:rsidR="00536A5A" w:rsidRPr="00536A5A" w:rsidSect="00512F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8D363" w14:textId="77777777" w:rsidR="001F4DE5" w:rsidRDefault="001F4DE5">
      <w:r>
        <w:separator/>
      </w:r>
    </w:p>
  </w:endnote>
  <w:endnote w:type="continuationSeparator" w:id="0">
    <w:p w14:paraId="504C80AB" w14:textId="77777777" w:rsidR="001F4DE5" w:rsidRDefault="001F4DE5">
      <w:r>
        <w:continuationSeparator/>
      </w:r>
    </w:p>
  </w:endnote>
  <w:endnote w:type="continuationNotice" w:id="1">
    <w:p w14:paraId="378C4331" w14:textId="77777777" w:rsidR="001F4DE5" w:rsidRDefault="001F4D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D7F26" w14:textId="77777777" w:rsidR="001F4DE5" w:rsidRDefault="001F4DE5"/>
  </w:footnote>
  <w:footnote w:type="continuationSeparator" w:id="0">
    <w:p w14:paraId="73B3090E" w14:textId="77777777" w:rsidR="001F4DE5" w:rsidRDefault="001F4DE5">
      <w:r>
        <w:continuationSeparator/>
      </w:r>
    </w:p>
  </w:footnote>
  <w:footnote w:type="continuationNotice" w:id="1">
    <w:p w14:paraId="6816DEEC" w14:textId="77777777" w:rsidR="001F4DE5" w:rsidRDefault="001F4D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6D337F"/>
    <w:multiLevelType w:val="hybridMultilevel"/>
    <w:tmpl w:val="41AA7706"/>
    <w:lvl w:ilvl="0" w:tplc="FFFFFFFF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15"/>
        </w:tabs>
        <w:ind w:left="1815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35"/>
        </w:tabs>
        <w:ind w:left="25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55"/>
        </w:tabs>
        <w:ind w:left="32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75"/>
        </w:tabs>
        <w:ind w:left="3975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95"/>
        </w:tabs>
        <w:ind w:left="46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15"/>
        </w:tabs>
        <w:ind w:left="54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35"/>
        </w:tabs>
        <w:ind w:left="6135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55"/>
        </w:tabs>
        <w:ind w:left="6855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05539B"/>
    <w:multiLevelType w:val="hybridMultilevel"/>
    <w:tmpl w:val="7DFA5AD6"/>
    <w:lvl w:ilvl="0" w:tplc="FFFFFFFF">
      <w:start w:val="1"/>
      <w:numFmt w:val="bullet"/>
      <w:lvlText w:val=""/>
      <w:lvlJc w:val="left"/>
      <w:pPr>
        <w:tabs>
          <w:tab w:val="num" w:pos="1455"/>
        </w:tabs>
        <w:ind w:left="145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75"/>
        </w:tabs>
        <w:ind w:left="217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15"/>
        </w:tabs>
        <w:ind w:left="361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35"/>
        </w:tabs>
        <w:ind w:left="433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75"/>
        </w:tabs>
        <w:ind w:left="577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95"/>
        </w:tabs>
        <w:ind w:left="649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15"/>
        </w:tabs>
        <w:ind w:left="7215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4268181">
    <w:abstractNumId w:val="19"/>
  </w:num>
  <w:num w:numId="2" w16cid:durableId="1466119257">
    <w:abstractNumId w:val="16"/>
  </w:num>
  <w:num w:numId="3" w16cid:durableId="1051728145">
    <w:abstractNumId w:val="0"/>
  </w:num>
  <w:num w:numId="4" w16cid:durableId="714819837">
    <w:abstractNumId w:val="6"/>
  </w:num>
  <w:num w:numId="5" w16cid:durableId="160389330">
    <w:abstractNumId w:val="17"/>
  </w:num>
  <w:num w:numId="6" w16cid:durableId="499547936">
    <w:abstractNumId w:val="2"/>
  </w:num>
  <w:num w:numId="7" w16cid:durableId="1850482408">
    <w:abstractNumId w:val="12"/>
  </w:num>
  <w:num w:numId="8" w16cid:durableId="309868974">
    <w:abstractNumId w:val="8"/>
  </w:num>
  <w:num w:numId="9" w16cid:durableId="1175416170">
    <w:abstractNumId w:val="1"/>
  </w:num>
  <w:num w:numId="10" w16cid:durableId="1453326921">
    <w:abstractNumId w:val="1"/>
  </w:num>
  <w:num w:numId="11" w16cid:durableId="1654795585">
    <w:abstractNumId w:val="3"/>
  </w:num>
  <w:num w:numId="12" w16cid:durableId="1856192559">
    <w:abstractNumId w:val="4"/>
  </w:num>
  <w:num w:numId="13" w16cid:durableId="53819945">
    <w:abstractNumId w:val="15"/>
  </w:num>
  <w:num w:numId="14" w16cid:durableId="1825467650">
    <w:abstractNumId w:val="9"/>
  </w:num>
  <w:num w:numId="15" w16cid:durableId="1827237624">
    <w:abstractNumId w:val="7"/>
  </w:num>
  <w:num w:numId="16" w16cid:durableId="1572275505">
    <w:abstractNumId w:val="14"/>
  </w:num>
  <w:num w:numId="17" w16cid:durableId="1850217255">
    <w:abstractNumId w:val="5"/>
  </w:num>
  <w:num w:numId="18" w16cid:durableId="782112961">
    <w:abstractNumId w:val="11"/>
  </w:num>
  <w:num w:numId="19" w16cid:durableId="882131427">
    <w:abstractNumId w:val="18"/>
  </w:num>
  <w:num w:numId="20" w16cid:durableId="2018144517">
    <w:abstractNumId w:val="10"/>
  </w:num>
  <w:num w:numId="21" w16cid:durableId="7411052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DE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F1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F5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7E5"/>
    <w:rsid w:val="00AC3FF6"/>
    <w:rsid w:val="00AD319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488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Galloperationer – postoperativ vård</dc:title>
  <dc:subject/>
  <dc:creator>patrik.jens.johansson@vgregion.se</dc:creator>
  <keywords/>
  <lastModifiedBy>Carina Roos</lastModifiedBy>
  <revision>5</revision>
  <lastPrinted>2016-03-31T10:56:00.0000000Z</lastPrinted>
  <dcterms:created xsi:type="dcterms:W3CDTF">2022-05-23T07:22:00.0000000Z</dcterms:created>
  <dcterms:modified xsi:type="dcterms:W3CDTF">2024-01-03T08:31:00.0000000Z</dcterms:modified>
</coreProperties>
</file>