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xmlns:pic="http://schemas.openxmlformats.org/drawingml/2006/picture" mc:Ignorable="w14 w15 w16se w16cid w16 w16cex w16sdtdh w16sdtfl w16du wp14">
  <w:body>
    <w:p w:rsidR="008D6ACE" w:rsidP="008D6ACE" w:rsidRDefault="008D6ACE" w14:paraId="6247AA6D" w14:textId="77777777">
      <w:pPr>
        <w:pStyle w:val="Rubrik2"/>
        <w:sectPr w:rsidR="008D6ACE" w:rsidSect="006435F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6435FD" w:rsidR="008D6ACE" w:rsidP="448D186E" w:rsidRDefault="008D6ACE" w14:paraId="2779125E" w14:textId="6FBBAE34">
      <w:pPr>
        <w:bidi w:val="0"/>
        <w:spacing w:after="0" w:line="240" w:lineRule="auto"/>
        <w:ind/>
      </w:pPr>
      <w:r>
        <w:br/>
      </w:r>
      <w:r>
        <w:br/>
      </w:r>
    </w:p>
    <w:tbl>
      <w:tblPr>
        <w:tblStyle w:val="Normaltabell"/>
        <w:bidiVisual w:val="0"/>
        <w:tblW w:w="0" w:type="auto"/>
        <w:tblLook w:val="01E0" w:firstRow="1" w:lastRow="1" w:firstColumn="1" w:lastColumn="1" w:noHBand="0" w:noVBand="0"/>
      </w:tblPr>
      <w:tblGrid>
        <w:gridCol w:w="9045"/>
      </w:tblGrid>
      <w:tr w:rsidR="448D186E" w:rsidTr="448D186E" w14:paraId="710B9BB3">
        <w:trPr>
          <w:trHeight w:val="570"/>
        </w:trPr>
        <w:tc>
          <w:tcPr>
            <w:tcW w:w="9045" w:type="dxa"/>
            <w:tcBorders>
              <w:top w:val="nil"/>
              <w:left w:val="nil"/>
              <w:bottom w:val="single" w:sz="8"/>
              <w:right w:val="nil"/>
            </w:tcBorders>
            <w:tcMar/>
            <w:vAlign w:val="bottom"/>
          </w:tcPr>
          <w:p w:rsidR="448D186E" w:rsidP="448D186E" w:rsidRDefault="448D186E" w14:paraId="6533C6B7" w14:textId="43D1D6A1">
            <w:pPr>
              <w:pStyle w:val="Rubrik1"/>
              <w:bidi w:val="0"/>
              <w:spacing w:before="0" w:beforeAutospacing="off" w:after="240" w:afterAutospacing="off" w:line="288" w:lineRule="auto"/>
              <w:ind w:left="992" w:right="0"/>
            </w:pPr>
            <w:r w:rsidRPr="448D186E" w:rsidR="448D186E">
              <w:rPr>
                <w:rFonts w:ascii="Calibri" w:hAnsi="Calibri" w:eastAsia="Calibri" w:cs="Calibri"/>
                <w:b w:val="0"/>
                <w:bCs w:val="0"/>
                <w:sz w:val="48"/>
                <w:szCs w:val="48"/>
              </w:rPr>
              <w:t>Muskelrelaxantia:</w:t>
            </w:r>
            <w:r>
              <w:br/>
            </w:r>
            <w:r w:rsidRPr="448D186E" w:rsidR="448D186E">
              <w:rPr>
                <w:rFonts w:ascii="Calibri" w:hAnsi="Calibri" w:eastAsia="Calibri" w:cs="Calibri"/>
                <w:b w:val="0"/>
                <w:bCs w:val="0"/>
                <w:sz w:val="48"/>
                <w:szCs w:val="48"/>
              </w:rPr>
              <w:t xml:space="preserve"> monitorering och reversering </w:t>
            </w:r>
          </w:p>
        </w:tc>
      </w:tr>
    </w:tbl>
    <w:p w:rsidRPr="006435FD" w:rsidR="008D6ACE" w:rsidP="448D186E" w:rsidRDefault="008D6ACE" w14:paraId="355625F4" w14:textId="69F2B5CC">
      <w:pPr>
        <w:pStyle w:val="Rubrik1"/>
        <w:bidi w:val="0"/>
        <w:spacing w:before="0" w:beforeAutospacing="off" w:after="240" w:afterAutospacing="off" w:line="288" w:lineRule="auto"/>
        <w:ind w:left="992" w:right="0"/>
      </w:pPr>
      <w:r w:rsidRPr="448D186E" w:rsidR="54BB7C98">
        <w:rPr>
          <w:rFonts w:ascii="Calibri" w:hAnsi="Calibri" w:eastAsia="Calibri" w:cs="Calibri"/>
          <w:b w:val="0"/>
          <w:bCs w:val="0"/>
          <w:noProof w:val="0"/>
          <w:sz w:val="48"/>
          <w:szCs w:val="48"/>
          <w:lang w:val="sv-SE"/>
        </w:rPr>
        <w:t xml:space="preserve"> </w:t>
      </w:r>
    </w:p>
    <w:p w:rsidRPr="006435FD" w:rsidR="008D6ACE" w:rsidP="448D186E" w:rsidRDefault="008D6ACE" w14:paraId="0423B21C" w14:textId="67D1B72E">
      <w:pPr>
        <w:pStyle w:val="Rubrik2"/>
        <w:bidi w:val="0"/>
        <w:spacing w:before="0" w:beforeAutospacing="off" w:after="0" w:afterAutospacing="off" w:line="240" w:lineRule="auto"/>
        <w:ind w:left="992" w:right="868"/>
      </w:pPr>
      <w:r w:rsidRPr="448D186E" w:rsidR="54BB7C98">
        <w:rPr>
          <w:rFonts w:ascii="Calibri" w:hAnsi="Calibri" w:eastAsia="Calibri" w:cs="Calibri"/>
          <w:b w:val="0"/>
          <w:bCs w:val="0"/>
          <w:noProof w:val="0"/>
          <w:color w:val="000000" w:themeColor="text2" w:themeTint="FF" w:themeShade="FF"/>
          <w:sz w:val="40"/>
          <w:szCs w:val="40"/>
          <w:lang w:val="sv-SE"/>
        </w:rPr>
        <w:t>Revidering i denna version:</w:t>
      </w:r>
    </w:p>
    <w:p w:rsidRPr="006435FD" w:rsidR="008D6ACE" w:rsidP="448D186E" w:rsidRDefault="008D6ACE" w14:paraId="7ACD3674" w14:textId="677B4D15">
      <w:pPr>
        <w:bidi w:val="0"/>
        <w:spacing w:before="0" w:beforeAutospacing="off" w:after="0" w:afterAutospacing="off" w:line="288" w:lineRule="auto"/>
        <w:ind w:left="992" w:right="868"/>
      </w:pPr>
      <w:r w:rsidRPr="448D186E" w:rsidR="54BB7C98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Ingen revidering.</w:t>
      </w:r>
    </w:p>
    <w:p w:rsidRPr="006435FD" w:rsidR="008D6ACE" w:rsidP="448D186E" w:rsidRDefault="008D6ACE" w14:paraId="1C53BFA7" w14:textId="41D9C508">
      <w:pPr>
        <w:bidi w:val="0"/>
        <w:spacing w:before="0" w:beforeAutospacing="off" w:after="0" w:afterAutospacing="off" w:line="288" w:lineRule="auto"/>
        <w:ind w:left="992" w:right="868"/>
      </w:pPr>
      <w:r w:rsidRPr="448D186E" w:rsidR="54BB7C98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</w:t>
      </w:r>
    </w:p>
    <w:p w:rsidRPr="006435FD" w:rsidR="008D6ACE" w:rsidP="448D186E" w:rsidRDefault="008D6ACE" w14:paraId="7A627B85" w14:textId="524ED4F3">
      <w:pPr>
        <w:pStyle w:val="Rubrik2"/>
        <w:bidi w:val="0"/>
        <w:spacing w:before="0" w:beforeAutospacing="off" w:after="0" w:afterAutospacing="off" w:line="240" w:lineRule="auto"/>
        <w:ind w:left="992" w:right="868"/>
      </w:pPr>
      <w:r w:rsidRPr="448D186E" w:rsidR="54BB7C98">
        <w:rPr>
          <w:rFonts w:ascii="Calibri" w:hAnsi="Calibri" w:eastAsia="Calibri" w:cs="Calibri"/>
          <w:b w:val="0"/>
          <w:bCs w:val="0"/>
          <w:noProof w:val="0"/>
          <w:color w:val="000000" w:themeColor="text2" w:themeTint="FF" w:themeShade="FF"/>
          <w:sz w:val="40"/>
          <w:szCs w:val="40"/>
          <w:lang w:val="sv-SE"/>
        </w:rPr>
        <w:t>Bakgrund och syfte</w:t>
      </w:r>
    </w:p>
    <w:p w:rsidRPr="006435FD" w:rsidR="008D6ACE" w:rsidP="448D186E" w:rsidRDefault="008D6ACE" w14:paraId="542793DC" w14:textId="39AB606D">
      <w:pPr>
        <w:bidi w:val="0"/>
        <w:spacing w:before="0" w:beforeAutospacing="off" w:after="0" w:afterAutospacing="off" w:line="288" w:lineRule="auto"/>
        <w:ind w:left="992" w:right="868"/>
      </w:pPr>
      <w:r w:rsidRPr="448D186E" w:rsidR="54BB7C98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Muskelrelaxering behövs ofta för intubation eller för kirurgiska ingrepp. Effekten av icke-depolariserande muskelrelaxantia (oftast rokuronium, Esmeron®) kan finnas kvar när ingreppet är klart och patienten ex­tuberas. Detta kan leda till respiratoriska komplikationer såsom hypoxi, aspiration och atelektas. Därför behöver effekten av muskel­relaxantia monitoreras och v b reverseras inför extubation.</w:t>
      </w:r>
    </w:p>
    <w:p w:rsidRPr="006435FD" w:rsidR="008D6ACE" w:rsidP="448D186E" w:rsidRDefault="008D6ACE" w14:paraId="420A2479" w14:textId="494D572F">
      <w:pPr>
        <w:bidi w:val="0"/>
        <w:spacing w:before="0" w:beforeAutospacing="off" w:after="0" w:afterAutospacing="off" w:line="288" w:lineRule="auto"/>
        <w:ind w:left="992" w:right="868"/>
      </w:pPr>
      <w:r w:rsidRPr="448D186E" w:rsidR="54BB7C98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Rutinens syfte är ett säkert omhändertagande av </w:t>
      </w:r>
      <w:r w:rsidRPr="448D186E" w:rsidR="54BB7C98">
        <w:rPr>
          <w:rFonts w:ascii="Times New Roman" w:hAnsi="Times New Roman" w:eastAsia="Times New Roman" w:cs="Times New Roman"/>
          <w:b w:val="1"/>
          <w:bCs w:val="1"/>
          <w:noProof w:val="0"/>
          <w:sz w:val="24"/>
          <w:szCs w:val="24"/>
          <w:u w:val="single"/>
          <w:lang w:val="sv-SE"/>
        </w:rPr>
        <w:t>patienter som har fått icke-depolariserande muskelrelaxantia</w:t>
      </w:r>
      <w:r w:rsidRPr="448D186E" w:rsidR="54BB7C98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, alla dessa patienter </w:t>
      </w:r>
      <w:r w:rsidRPr="448D186E" w:rsidR="54BB7C98">
        <w:rPr>
          <w:rFonts w:ascii="Times New Roman" w:hAnsi="Times New Roman" w:eastAsia="Times New Roman" w:cs="Times New Roman"/>
          <w:b w:val="1"/>
          <w:bCs w:val="1"/>
          <w:noProof w:val="0"/>
          <w:sz w:val="24"/>
          <w:szCs w:val="24"/>
          <w:u w:val="single"/>
          <w:lang w:val="sv-SE"/>
        </w:rPr>
        <w:t>skall övervakas med Train of Four (TOF)</w:t>
      </w:r>
      <w:r w:rsidRPr="448D186E" w:rsidR="54BB7C98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.</w:t>
      </w:r>
    </w:p>
    <w:p w:rsidRPr="006435FD" w:rsidR="008D6ACE" w:rsidP="448D186E" w:rsidRDefault="008D6ACE" w14:paraId="1680EFC6" w14:textId="4BCE7C77">
      <w:pPr>
        <w:bidi w:val="0"/>
        <w:spacing w:before="0" w:beforeAutospacing="off" w:after="0" w:afterAutospacing="off" w:line="288" w:lineRule="auto"/>
        <w:ind w:left="992" w:right="868"/>
      </w:pPr>
      <w:r w:rsidRPr="448D186E" w:rsidR="54BB7C98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TOF är ett värde som jämför svaren (i form av muskelryckningar) på fyra elektriska signaler givna över nervus ulnaris, för att uppskatta kvar­stående effekt av muskelrelaxantia. TOF anges som antal muskel­ryckningar (TOF 0 – 3) respektive, om svaret består av fyra ryckningar, i styrkan av den fjärde ryckningen i procent, jämfört med den första.</w:t>
      </w:r>
    </w:p>
    <w:p w:rsidRPr="006435FD" w:rsidR="008D6ACE" w:rsidP="448D186E" w:rsidRDefault="008D6ACE" w14:paraId="6683A41F" w14:textId="726CC234">
      <w:pPr>
        <w:bidi w:val="0"/>
        <w:spacing w:before="0" w:beforeAutospacing="off" w:after="0" w:afterAutospacing="off" w:line="288" w:lineRule="auto"/>
        <w:ind w:left="992" w:right="868"/>
      </w:pPr>
      <w:r w:rsidRPr="448D186E" w:rsidR="54BB7C98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Klinisk bedömning av kvarstående muskelrelaxation är inte tillförlitligt. Vid TOF &lt; 90% kan muskulaturen i farynx fortfarande vara påverkad. Därför </w:t>
      </w:r>
      <w:r w:rsidRPr="448D186E" w:rsidR="54BB7C98">
        <w:rPr>
          <w:rFonts w:ascii="Times New Roman" w:hAnsi="Times New Roman" w:eastAsia="Times New Roman" w:cs="Times New Roman"/>
          <w:b w:val="1"/>
          <w:bCs w:val="1"/>
          <w:noProof w:val="0"/>
          <w:sz w:val="24"/>
          <w:szCs w:val="24"/>
          <w:u w:val="single"/>
          <w:lang w:val="sv-SE"/>
        </w:rPr>
        <w:t>skall TOF vara &gt; 90% inför extubation</w:t>
      </w:r>
      <w:r w:rsidRPr="448D186E" w:rsidR="54BB7C98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. Om TOF ligger &lt; 90 % behöver effekten av muskelrelaxantia reverseras inför extubation.</w:t>
      </w:r>
    </w:p>
    <w:p w:rsidRPr="006435FD" w:rsidR="008D6ACE" w:rsidP="448D186E" w:rsidRDefault="008D6ACE" w14:paraId="5EC01CA1" w14:textId="246B3923">
      <w:pPr>
        <w:bidi w:val="0"/>
        <w:spacing w:before="0" w:beforeAutospacing="off" w:after="120" w:afterAutospacing="off" w:line="288" w:lineRule="auto"/>
        <w:ind w:left="992" w:right="868"/>
      </w:pPr>
      <w:r w:rsidRPr="448D186E" w:rsidR="54BB7C98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</w:t>
      </w:r>
    </w:p>
    <w:p w:rsidRPr="006435FD" w:rsidR="008D6ACE" w:rsidP="448D186E" w:rsidRDefault="008D6ACE" w14:paraId="4F32B049" w14:textId="49D552D1">
      <w:pPr>
        <w:pStyle w:val="Rubrik2"/>
        <w:bidi w:val="0"/>
        <w:spacing w:before="240" w:beforeAutospacing="off" w:after="40" w:afterAutospacing="off" w:line="240" w:lineRule="auto"/>
        <w:ind w:left="992" w:right="868"/>
      </w:pPr>
      <w:r w:rsidRPr="448D186E" w:rsidR="54BB7C98">
        <w:rPr>
          <w:rFonts w:ascii="Calibri" w:hAnsi="Calibri" w:eastAsia="Calibri" w:cs="Calibri"/>
          <w:b w:val="0"/>
          <w:bCs w:val="0"/>
          <w:noProof w:val="0"/>
          <w:color w:val="000000" w:themeColor="text2" w:themeTint="FF" w:themeShade="FF"/>
          <w:sz w:val="40"/>
          <w:szCs w:val="40"/>
          <w:lang w:val="sv-SE"/>
        </w:rPr>
        <w:t xml:space="preserve">Vilka berörs </w:t>
      </w:r>
    </w:p>
    <w:p w:rsidRPr="006435FD" w:rsidR="008D6ACE" w:rsidP="448D186E" w:rsidRDefault="008D6ACE" w14:paraId="69C98799" w14:textId="7E767CA5">
      <w:pPr>
        <w:bidi w:val="0"/>
        <w:spacing w:before="0" w:beforeAutospacing="off" w:after="120" w:afterAutospacing="off" w:line="288" w:lineRule="auto"/>
        <w:ind w:left="992" w:right="868"/>
      </w:pPr>
      <w:r w:rsidRPr="448D186E" w:rsidR="54BB7C98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Anestesiologer och anestesisköterskor.</w:t>
      </w:r>
    </w:p>
    <w:p w:rsidRPr="006435FD" w:rsidR="008D6ACE" w:rsidP="448D186E" w:rsidRDefault="008D6ACE" w14:paraId="666C8C48" w14:textId="6C006E00">
      <w:pPr>
        <w:pStyle w:val="Rubrik2"/>
        <w:bidi w:val="0"/>
        <w:spacing w:before="240" w:beforeAutospacing="off" w:after="40" w:afterAutospacing="off" w:line="240" w:lineRule="auto"/>
        <w:ind w:left="992" w:right="868"/>
      </w:pPr>
      <w:r w:rsidRPr="448D186E" w:rsidR="54BB7C98">
        <w:rPr>
          <w:rFonts w:ascii="Calibri" w:hAnsi="Calibri" w:eastAsia="Calibri" w:cs="Calibri"/>
          <w:b w:val="0"/>
          <w:bCs w:val="0"/>
          <w:noProof w:val="0"/>
          <w:color w:val="000000" w:themeColor="text2" w:themeTint="FF" w:themeShade="FF"/>
          <w:sz w:val="40"/>
          <w:szCs w:val="40"/>
          <w:lang w:val="sv-SE"/>
        </w:rPr>
        <w:t>Monitorering av TOF</w:t>
      </w:r>
    </w:p>
    <w:p w:rsidRPr="006435FD" w:rsidR="008D6ACE" w:rsidP="448D186E" w:rsidRDefault="008D6ACE" w14:paraId="7A40D862" w14:textId="298D7A4E">
      <w:pPr>
        <w:pStyle w:val="Liststycke"/>
        <w:bidi w:val="0"/>
        <w:spacing w:before="0" w:beforeAutospacing="off" w:after="0" w:afterAutospacing="off" w:line="240" w:lineRule="auto"/>
        <w:ind w:left="1418" w:right="-427" w:hanging="426"/>
        <w:rPr>
          <w:rFonts w:ascii="Times New Roman" w:hAnsi="Times New Roman" w:eastAsia="Times New Roman" w:cs="Times New Roman"/>
          <w:b w:val="1"/>
          <w:bCs w:val="1"/>
          <w:noProof w:val="0"/>
          <w:sz w:val="24"/>
          <w:szCs w:val="24"/>
          <w:lang w:val="sv-SE"/>
        </w:rPr>
      </w:pPr>
      <w:r w:rsidRPr="448D186E" w:rsidR="54BB7C98">
        <w:rPr>
          <w:rFonts w:ascii="Times New Roman" w:hAnsi="Times New Roman" w:eastAsia="Times New Roman" w:cs="Times New Roman"/>
          <w:b w:val="1"/>
          <w:bCs w:val="1"/>
          <w:noProof w:val="0"/>
          <w:sz w:val="24"/>
          <w:szCs w:val="24"/>
          <w:lang w:val="sv-SE"/>
        </w:rPr>
        <w:t>Uppkoppling</w:t>
      </w:r>
    </w:p>
    <w:p w:rsidRPr="006435FD" w:rsidR="008D6ACE" w:rsidP="448D186E" w:rsidRDefault="008D6ACE" w14:paraId="1F91C7B1" w14:textId="201706AE">
      <w:pPr>
        <w:bidi w:val="0"/>
        <w:spacing w:before="0" w:beforeAutospacing="off" w:after="120" w:afterAutospacing="off" w:line="288" w:lineRule="auto"/>
        <w:ind w:left="1418" w:right="-427"/>
      </w:pPr>
      <w:r w:rsidRPr="448D186E" w:rsidR="54BB7C98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Placera elektroderna på ulnarsidan av underarmen så distalt som möjligt med 2,5 – 4 cm mellanrum. Tummen skall ha fri rörlighet då muskelsvaret mäts i form av reaktion av m adductor pollicis. Accelerationssensorn kopplas på tummen med tejp eller särskilt avsett gummiband enligt nedan. Koppla på elektroderna till övervakningsenheten. TOF behöver </w:t>
      </w:r>
      <w:r w:rsidRPr="448D186E" w:rsidR="54BB7C98">
        <w:rPr>
          <w:rFonts w:ascii="Times New Roman" w:hAnsi="Times New Roman" w:eastAsia="Times New Roman" w:cs="Times New Roman"/>
          <w:b w:val="1"/>
          <w:bCs w:val="1"/>
          <w:noProof w:val="0"/>
          <w:sz w:val="24"/>
          <w:szCs w:val="24"/>
          <w:u w:val="single"/>
          <w:lang w:val="sv-SE"/>
        </w:rPr>
        <w:t>inte</w:t>
      </w:r>
      <w:r w:rsidRPr="448D186E" w:rsidR="54BB7C98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kalibreras.</w:t>
      </w:r>
    </w:p>
    <w:p w:rsidRPr="006435FD" w:rsidR="008D6ACE" w:rsidP="448D186E" w:rsidRDefault="008D6ACE" w14:paraId="3E62401A" w14:textId="54DA2E67">
      <w:pPr>
        <w:bidi w:val="0"/>
        <w:spacing w:before="0" w:beforeAutospacing="off" w:after="120" w:afterAutospacing="off" w:line="288" w:lineRule="auto"/>
        <w:ind w:left="426" w:right="-1277"/>
      </w:pPr>
      <w:r w:rsidRPr="448D186E" w:rsidR="54BB7C98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</w:t>
      </w:r>
    </w:p>
    <w:p w:rsidRPr="006435FD" w:rsidR="008D6ACE" w:rsidP="448D186E" w:rsidRDefault="008D6ACE" w14:paraId="7DC99803" w14:textId="28D49F92">
      <w:pPr>
        <w:bidi w:val="0"/>
        <w:spacing w:before="0" w:beforeAutospacing="off" w:after="120" w:afterAutospacing="off" w:line="288" w:lineRule="auto"/>
        <w:ind w:left="426" w:right="-1277"/>
      </w:pPr>
      <w:r w:rsidR="54BB7C98">
        <w:drawing>
          <wp:inline wp14:editId="03EE24A7" wp14:anchorId="73A2F493">
            <wp:extent cx="2343150" cy="1323975"/>
            <wp:effectExtent l="0" t="0" r="0" b="0"/>
            <wp:docPr id="218305672" name="drawing"/>
            <wp:cNvGraphicFramePr>
              <a:graphicFrameLocks noChangeAspect="1"/>
            </wp:cNvGraphicFramePr>
            <a:graphic>
              <a:graphicData xmlns:a="http://schemas.openxmlformats.org/drawingml/2006/main" uri="http://schemas.openxmlformats.org/drawingml/2006/picture">
                <pic:pic xmlns:pic="http://schemas.openxmlformats.org/drawingml/2006/picture">
                  <pic:nvPicPr>
                    <pic:cNvPr id="218305672" name="Picture 218305672"/>
                    <pic:cNvPicPr/>
                  </pic:nvPicPr>
                  <pic:blipFill>
                    <a:blip xmlns:r="http://schemas.openxmlformats.org/officeDocument/2006/relationships" r:embed="rId127829011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43150" cy="1323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Pr="006435FD" w:rsidR="008D6ACE" w:rsidP="448D186E" w:rsidRDefault="008D6ACE" w14:paraId="0F35ADA4" w14:textId="7210F225">
      <w:pPr>
        <w:bidi w:val="0"/>
        <w:spacing w:before="0" w:beforeAutospacing="off" w:after="120" w:afterAutospacing="off" w:line="288" w:lineRule="auto"/>
        <w:ind w:left="360" w:right="868"/>
      </w:pPr>
      <w:r w:rsidRPr="448D186E" w:rsidR="54BB7C98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              </w:t>
      </w:r>
    </w:p>
    <w:p w:rsidRPr="006435FD" w:rsidR="008D6ACE" w:rsidP="448D186E" w:rsidRDefault="008D6ACE" w14:paraId="758C04E9" w14:textId="7ECFD0DC">
      <w:pPr>
        <w:bidi w:val="0"/>
        <w:spacing w:before="0" w:beforeAutospacing="off" w:after="120" w:afterAutospacing="off" w:line="288" w:lineRule="auto"/>
        <w:ind w:left="360" w:right="868"/>
      </w:pPr>
      <w:r w:rsidRPr="448D186E" w:rsidR="54BB7C98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</w:t>
      </w:r>
    </w:p>
    <w:p w:rsidRPr="006435FD" w:rsidR="008D6ACE" w:rsidP="448D186E" w:rsidRDefault="008D6ACE" w14:paraId="24BFD358" w14:textId="43773C6F">
      <w:pPr>
        <w:pStyle w:val="Liststycke"/>
        <w:bidi w:val="0"/>
        <w:spacing w:before="0" w:beforeAutospacing="off" w:after="0" w:afterAutospacing="off" w:line="240" w:lineRule="auto"/>
        <w:ind w:left="1276" w:right="-427" w:hanging="426"/>
        <w:rPr>
          <w:rFonts w:ascii="Times New Roman" w:hAnsi="Times New Roman" w:eastAsia="Times New Roman" w:cs="Times New Roman"/>
          <w:b w:val="1"/>
          <w:bCs w:val="1"/>
          <w:noProof w:val="0"/>
          <w:sz w:val="24"/>
          <w:szCs w:val="24"/>
          <w:lang w:val="sv-SE"/>
        </w:rPr>
      </w:pPr>
      <w:r w:rsidRPr="448D186E" w:rsidR="54BB7C98">
        <w:rPr>
          <w:rFonts w:ascii="Times New Roman" w:hAnsi="Times New Roman" w:eastAsia="Times New Roman" w:cs="Times New Roman"/>
          <w:b w:val="1"/>
          <w:bCs w:val="1"/>
          <w:noProof w:val="0"/>
          <w:sz w:val="24"/>
          <w:szCs w:val="24"/>
          <w:lang w:val="sv-SE"/>
        </w:rPr>
        <w:t>Mätning</w:t>
      </w:r>
    </w:p>
    <w:p w:rsidRPr="006435FD" w:rsidR="008D6ACE" w:rsidP="448D186E" w:rsidRDefault="008D6ACE" w14:paraId="3D600F89" w14:textId="039CDF02">
      <w:pPr>
        <w:bidi w:val="0"/>
        <w:spacing w:before="0" w:beforeAutospacing="off" w:after="120" w:afterAutospacing="off" w:line="288" w:lineRule="auto"/>
        <w:ind w:left="1276" w:right="-427"/>
      </w:pPr>
      <w:r w:rsidRPr="448D186E" w:rsidR="54BB7C98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Man kan mäta TOF redan vid muskelrelaxering inför intubation. För att kunna följa patientens muskelrelaxation kan man mäta TOF kontinuerligt under operationen. Ingen mätning skall ske med mindre än 10 s mellanrum eftersom det kan ge felaktiga svar. TOF </w:t>
      </w:r>
      <w:r w:rsidRPr="448D186E" w:rsidR="54BB7C98">
        <w:rPr>
          <w:rFonts w:ascii="Times New Roman" w:hAnsi="Times New Roman" w:eastAsia="Times New Roman" w:cs="Times New Roman"/>
          <w:b w:val="1"/>
          <w:bCs w:val="1"/>
          <w:noProof w:val="0"/>
          <w:sz w:val="24"/>
          <w:szCs w:val="24"/>
          <w:u w:val="single"/>
          <w:lang w:val="sv-SE"/>
        </w:rPr>
        <w:t>skall</w:t>
      </w:r>
      <w:r w:rsidRPr="448D186E" w:rsidR="54BB7C98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mätas inför väckning vid alla patienter som har fått icke-depolariserande muskelrelaxantia.</w:t>
      </w:r>
    </w:p>
    <w:p w:rsidRPr="006435FD" w:rsidR="008D6ACE" w:rsidP="448D186E" w:rsidRDefault="008D6ACE" w14:paraId="686C3E52" w14:textId="66993F99">
      <w:pPr>
        <w:bidi w:val="0"/>
        <w:spacing w:before="0" w:beforeAutospacing="off" w:after="120" w:afterAutospacing="off" w:line="288" w:lineRule="auto"/>
        <w:ind w:left="360" w:right="868"/>
      </w:pPr>
      <w:r w:rsidRPr="448D186E" w:rsidR="54BB7C98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</w:t>
      </w:r>
    </w:p>
    <w:p w:rsidRPr="006435FD" w:rsidR="008D6ACE" w:rsidP="448D186E" w:rsidRDefault="008D6ACE" w14:paraId="065544F7" w14:textId="6DE0BA61">
      <w:pPr>
        <w:bidi w:val="0"/>
        <w:spacing w:after="0" w:line="240" w:lineRule="auto"/>
        <w:ind/>
      </w:pPr>
    </w:p>
    <w:p w:rsidRPr="006435FD" w:rsidR="008D6ACE" w:rsidP="448D186E" w:rsidRDefault="008D6ACE" w14:paraId="26D50997" w14:textId="374CC0ED">
      <w:pPr>
        <w:bidi w:val="0"/>
        <w:spacing w:before="0" w:beforeAutospacing="off" w:after="0" w:afterAutospacing="off" w:line="240" w:lineRule="auto"/>
        <w:ind/>
      </w:pPr>
      <w:r w:rsidRPr="448D186E" w:rsidR="54BB7C98">
        <w:rPr>
          <w:rFonts w:ascii="Calibri" w:hAnsi="Calibri" w:eastAsia="Calibri" w:cs="Calibri"/>
          <w:noProof w:val="0"/>
          <w:color w:val="000000" w:themeColor="text2" w:themeTint="FF" w:themeShade="FF"/>
          <w:sz w:val="40"/>
          <w:szCs w:val="40"/>
          <w:lang w:val="sv-SE"/>
        </w:rPr>
        <w:t xml:space="preserve"> </w:t>
      </w:r>
    </w:p>
    <w:p w:rsidRPr="006435FD" w:rsidR="008D6ACE" w:rsidP="448D186E" w:rsidRDefault="008D6ACE" w14:paraId="7B8F6E9B" w14:textId="1F49E0FA">
      <w:pPr>
        <w:pStyle w:val="Rubrik2"/>
        <w:bidi w:val="0"/>
        <w:spacing w:before="240" w:beforeAutospacing="off" w:after="40" w:afterAutospacing="off" w:line="240" w:lineRule="auto"/>
        <w:ind w:left="992" w:right="868"/>
      </w:pPr>
      <w:r w:rsidRPr="448D186E" w:rsidR="54BB7C98">
        <w:rPr>
          <w:rFonts w:ascii="Calibri" w:hAnsi="Calibri" w:eastAsia="Calibri" w:cs="Calibri"/>
          <w:b w:val="0"/>
          <w:bCs w:val="0"/>
          <w:noProof w:val="0"/>
          <w:color w:val="000000" w:themeColor="text2" w:themeTint="FF" w:themeShade="FF"/>
          <w:sz w:val="40"/>
          <w:szCs w:val="40"/>
          <w:lang w:val="sv-SE"/>
        </w:rPr>
        <w:t>Reversering</w:t>
      </w:r>
    </w:p>
    <w:p w:rsidRPr="006435FD" w:rsidR="008D6ACE" w:rsidP="448D186E" w:rsidRDefault="008D6ACE" w14:paraId="1CE1FCFE" w14:textId="1E7B68C9">
      <w:pPr>
        <w:bidi w:val="0"/>
        <w:spacing w:before="0" w:beforeAutospacing="off" w:after="120" w:afterAutospacing="off" w:line="288" w:lineRule="auto"/>
        <w:ind w:left="1304" w:right="868"/>
      </w:pPr>
      <w:r w:rsidRPr="448D186E" w:rsidR="54BB7C98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</w:t>
      </w:r>
    </w:p>
    <w:p w:rsidRPr="006435FD" w:rsidR="008D6ACE" w:rsidP="448D186E" w:rsidRDefault="008D6ACE" w14:paraId="167EE28C" w14:textId="615CBA1F">
      <w:pPr>
        <w:pStyle w:val="Liststycke"/>
        <w:bidi w:val="0"/>
        <w:spacing w:before="0" w:beforeAutospacing="off" w:after="0" w:afterAutospacing="off" w:line="240" w:lineRule="auto"/>
        <w:ind w:left="1418" w:right="-1135" w:hanging="360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448D186E" w:rsidR="54BB7C98">
        <w:rPr>
          <w:rFonts w:ascii="Times New Roman" w:hAnsi="Times New Roman" w:eastAsia="Times New Roman" w:cs="Times New Roman"/>
          <w:b w:val="1"/>
          <w:bCs w:val="1"/>
          <w:noProof w:val="0"/>
          <w:sz w:val="24"/>
          <w:szCs w:val="24"/>
          <w:u w:val="single"/>
          <w:lang w:val="sv-SE"/>
        </w:rPr>
        <w:t>TOF 0 – 1</w:t>
      </w:r>
      <w:r>
        <w:br/>
      </w:r>
      <w:r w:rsidRPr="448D186E" w:rsidR="54BB7C98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vänta med att reversera med neostigmin tills TOF 2 – 3,</w:t>
      </w:r>
      <w:r>
        <w:br/>
      </w:r>
      <w:r w:rsidRPr="448D186E" w:rsidR="54BB7C98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alt (om PTC 1 – 2) ge sugammadex 4 mg/kg</w:t>
      </w:r>
    </w:p>
    <w:p w:rsidRPr="006435FD" w:rsidR="008D6ACE" w:rsidP="448D186E" w:rsidRDefault="008D6ACE" w14:paraId="423CE875" w14:textId="7FBB636F">
      <w:pPr>
        <w:pStyle w:val="Liststycke"/>
        <w:bidi w:val="0"/>
        <w:spacing w:before="0" w:beforeAutospacing="off" w:after="0" w:afterAutospacing="off" w:line="240" w:lineRule="auto"/>
        <w:ind w:left="1418" w:right="-1561" w:hanging="360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448D186E" w:rsidR="54BB7C98">
        <w:rPr>
          <w:rFonts w:ascii="Times New Roman" w:hAnsi="Times New Roman" w:eastAsia="Times New Roman" w:cs="Times New Roman"/>
          <w:b w:val="1"/>
          <w:bCs w:val="1"/>
          <w:noProof w:val="0"/>
          <w:sz w:val="24"/>
          <w:szCs w:val="24"/>
          <w:u w:val="single"/>
          <w:lang w:val="sv-SE"/>
        </w:rPr>
        <w:t>TOF 2, 3, eller &lt;40%</w:t>
      </w:r>
      <w:r>
        <w:br/>
      </w:r>
      <w:r w:rsidRPr="448D186E" w:rsidR="54BB7C98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reversera med sugammadex 2 mg/kg</w:t>
      </w:r>
    </w:p>
    <w:p w:rsidRPr="006435FD" w:rsidR="008D6ACE" w:rsidP="448D186E" w:rsidRDefault="008D6ACE" w14:paraId="36B7505F" w14:textId="10A1EB51">
      <w:pPr>
        <w:bidi w:val="0"/>
        <w:spacing w:before="0" w:beforeAutospacing="off" w:after="0" w:afterAutospacing="off" w:line="240" w:lineRule="auto"/>
        <w:ind w:left="1418" w:right="-1561"/>
      </w:pPr>
      <w:r w:rsidRPr="448D186E" w:rsidR="54BB7C98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alt neostigmin 50 µg/kg,</w:t>
      </w:r>
    </w:p>
    <w:p w:rsidRPr="006435FD" w:rsidR="008D6ACE" w:rsidP="448D186E" w:rsidRDefault="008D6ACE" w14:paraId="50D8D831" w14:textId="6546F497">
      <w:pPr>
        <w:pStyle w:val="Liststycke"/>
        <w:bidi w:val="0"/>
        <w:spacing w:before="0" w:beforeAutospacing="off" w:after="0" w:afterAutospacing="off" w:line="240" w:lineRule="auto"/>
        <w:ind w:left="1418" w:right="-1135" w:hanging="360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448D186E" w:rsidR="54BB7C98">
        <w:rPr>
          <w:rFonts w:ascii="Times New Roman" w:hAnsi="Times New Roman" w:eastAsia="Times New Roman" w:cs="Times New Roman"/>
          <w:b w:val="1"/>
          <w:bCs w:val="1"/>
          <w:noProof w:val="0"/>
          <w:sz w:val="24"/>
          <w:szCs w:val="24"/>
          <w:u w:val="single"/>
          <w:lang w:val="sv-SE"/>
        </w:rPr>
        <w:t>TOF 40 – 70%</w:t>
      </w:r>
      <w:r>
        <w:br/>
      </w:r>
      <w:r w:rsidRPr="448D186E" w:rsidR="54BB7C98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reversera med sugammadex 2 mg/kg </w:t>
      </w:r>
      <w:r>
        <w:br/>
      </w:r>
      <w:r w:rsidRPr="448D186E" w:rsidR="54BB7C98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alt lågdos neostigmin 20 µg/kg,</w:t>
      </w:r>
    </w:p>
    <w:p w:rsidRPr="006435FD" w:rsidR="008D6ACE" w:rsidP="448D186E" w:rsidRDefault="008D6ACE" w14:paraId="5E0E7135" w14:textId="66F9212F">
      <w:pPr>
        <w:pStyle w:val="Liststycke"/>
        <w:bidi w:val="0"/>
        <w:spacing w:before="0" w:beforeAutospacing="off" w:after="0" w:afterAutospacing="off" w:line="240" w:lineRule="auto"/>
        <w:ind w:left="1418" w:right="-1277" w:hanging="360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448D186E" w:rsidR="54BB7C98">
        <w:rPr>
          <w:rFonts w:ascii="Times New Roman" w:hAnsi="Times New Roman" w:eastAsia="Times New Roman" w:cs="Times New Roman"/>
          <w:b w:val="1"/>
          <w:bCs w:val="1"/>
          <w:noProof w:val="0"/>
          <w:sz w:val="24"/>
          <w:szCs w:val="24"/>
          <w:u w:val="single"/>
          <w:lang w:val="sv-SE"/>
        </w:rPr>
        <w:t>TOF 70 – 90%</w:t>
      </w:r>
      <w:r>
        <w:br/>
      </w:r>
      <w:r w:rsidRPr="448D186E" w:rsidR="54BB7C98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vänta med extubation tills TOF 90% spontant,</w:t>
      </w:r>
      <w:r>
        <w:br/>
      </w:r>
      <w:r w:rsidRPr="448D186E" w:rsidR="54BB7C98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 alt ge sugammadex 2 mg/kg</w:t>
      </w:r>
      <w:r>
        <w:br/>
      </w:r>
      <w:r w:rsidRPr="448D186E" w:rsidR="54BB7C98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(att ge neostigmin i detta läge anses att riskera mer biverkningar än nytta)</w:t>
      </w:r>
    </w:p>
    <w:p w:rsidRPr="006435FD" w:rsidR="008D6ACE" w:rsidP="448D186E" w:rsidRDefault="008D6ACE" w14:paraId="35008A5F" w14:textId="4EBB79CC">
      <w:pPr>
        <w:pStyle w:val="Liststycke"/>
        <w:bidi w:val="0"/>
        <w:spacing w:before="0" w:beforeAutospacing="off" w:after="0" w:afterAutospacing="off" w:line="240" w:lineRule="auto"/>
        <w:ind w:left="1418" w:right="0" w:hanging="360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448D186E" w:rsidR="54BB7C98">
        <w:rPr>
          <w:rFonts w:ascii="Times New Roman" w:hAnsi="Times New Roman" w:eastAsia="Times New Roman" w:cs="Times New Roman"/>
          <w:b w:val="1"/>
          <w:bCs w:val="1"/>
          <w:noProof w:val="0"/>
          <w:sz w:val="24"/>
          <w:szCs w:val="24"/>
          <w:u w:val="single"/>
          <w:lang w:val="sv-SE"/>
        </w:rPr>
        <w:t>TOF &gt;90%</w:t>
      </w:r>
      <w:r>
        <w:br/>
      </w:r>
      <w:r w:rsidRPr="448D186E" w:rsidR="54BB7C98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reversering ej nödvändig </w:t>
      </w:r>
    </w:p>
    <w:p w:rsidRPr="006435FD" w:rsidR="008D6ACE" w:rsidP="448D186E" w:rsidRDefault="008D6ACE" w14:paraId="19D64A95" w14:textId="4B12815E">
      <w:pPr>
        <w:bidi w:val="0"/>
        <w:spacing w:before="0" w:beforeAutospacing="off" w:after="120" w:afterAutospacing="off" w:line="288" w:lineRule="auto"/>
        <w:ind w:left="3912" w:right="868" w:hanging="3192"/>
      </w:pPr>
      <w:r w:rsidRPr="448D186E" w:rsidR="54BB7C98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</w:t>
      </w:r>
    </w:p>
    <w:p w:rsidRPr="006435FD" w:rsidR="008D6ACE" w:rsidP="448D186E" w:rsidRDefault="008D6ACE" w14:paraId="2893ED60" w14:textId="4E465ECD">
      <w:pPr>
        <w:bidi w:val="0"/>
        <w:spacing w:before="0" w:beforeAutospacing="off" w:after="0" w:afterAutospacing="off" w:line="288" w:lineRule="auto"/>
        <w:ind w:left="992" w:right="-2"/>
      </w:pPr>
      <w:r w:rsidRPr="448D186E" w:rsidR="54BB7C98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Vid </w:t>
      </w:r>
      <w:r w:rsidRPr="448D186E" w:rsidR="54BB7C98">
        <w:rPr>
          <w:rFonts w:ascii="Times New Roman" w:hAnsi="Times New Roman" w:eastAsia="Times New Roman" w:cs="Times New Roman"/>
          <w:b w:val="1"/>
          <w:bCs w:val="1"/>
          <w:noProof w:val="0"/>
          <w:sz w:val="24"/>
          <w:szCs w:val="24"/>
          <w:u w:val="single"/>
          <w:lang w:val="sv-SE"/>
        </w:rPr>
        <w:t>omedelbar reversering</w:t>
      </w:r>
      <w:r w:rsidRPr="448D186E" w:rsidR="54BB7C98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av neuromuskulär blockad med rokuronium, ge sugamma­dex 16 mg/kg, t ex efter relaxering med högdos rokuronium vid RSI. OBS att det kan behövas 5 – 8 ampuller Bridion® till en vuxen för akut reversering.</w:t>
      </w:r>
    </w:p>
    <w:p w:rsidRPr="006435FD" w:rsidR="008D6ACE" w:rsidP="448D186E" w:rsidRDefault="008D6ACE" w14:paraId="55D387C0" w14:textId="08F112C2">
      <w:pPr>
        <w:bidi w:val="0"/>
        <w:spacing w:before="0" w:beforeAutospacing="off" w:after="0" w:afterAutospacing="off" w:line="288" w:lineRule="auto"/>
        <w:ind w:left="992" w:right="-2"/>
        <w:jc w:val="both"/>
      </w:pPr>
      <w:r w:rsidRPr="448D186E" w:rsidR="54BB7C98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</w:t>
      </w:r>
    </w:p>
    <w:p w:rsidRPr="006435FD" w:rsidR="008D6ACE" w:rsidP="448D186E" w:rsidRDefault="008D6ACE" w14:paraId="09709224" w14:textId="35D6A5F5">
      <w:pPr>
        <w:bidi w:val="0"/>
        <w:spacing w:before="0" w:beforeAutospacing="off" w:after="0" w:afterAutospacing="off" w:line="288" w:lineRule="auto"/>
        <w:ind w:left="992" w:right="-2"/>
      </w:pPr>
      <w:r w:rsidRPr="448D186E" w:rsidR="54BB7C98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Vid </w:t>
      </w:r>
      <w:r w:rsidRPr="448D186E" w:rsidR="54BB7C98">
        <w:rPr>
          <w:rFonts w:ascii="Times New Roman" w:hAnsi="Times New Roman" w:eastAsia="Times New Roman" w:cs="Times New Roman"/>
          <w:b w:val="1"/>
          <w:bCs w:val="1"/>
          <w:noProof w:val="0"/>
          <w:sz w:val="24"/>
          <w:szCs w:val="24"/>
          <w:u w:val="single"/>
          <w:lang w:val="sv-SE"/>
        </w:rPr>
        <w:t>förnyat behov av reversering inom 24 tim</w:t>
      </w:r>
      <w:r w:rsidRPr="448D186E" w:rsidR="54BB7C98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efter att sugammadex givits, kan det behövas en högre dos rokuronium, v g se nedan. Tillslagstiden kan bli längre än normalt. Tänk på ev alternativ t ex suxameton (Celocurin®) eller atrakurium.</w:t>
      </w:r>
    </w:p>
    <w:p w:rsidRPr="006435FD" w:rsidR="008D6ACE" w:rsidP="448D186E" w:rsidRDefault="008D6ACE" w14:paraId="1FC764A2" w14:textId="6DF40073">
      <w:pPr>
        <w:bidi w:val="0"/>
        <w:spacing w:before="0" w:beforeAutospacing="off" w:after="0" w:afterAutospacing="off" w:line="288" w:lineRule="auto"/>
        <w:ind w:left="0" w:right="-2"/>
      </w:pPr>
      <w:r w:rsidRPr="448D186E" w:rsidR="54BB7C98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</w:t>
      </w:r>
    </w:p>
    <w:p w:rsidRPr="006435FD" w:rsidR="008D6ACE" w:rsidP="448D186E" w:rsidRDefault="008D6ACE" w14:paraId="7252DD21" w14:textId="30EB24E7">
      <w:pPr>
        <w:bidi w:val="0"/>
        <w:spacing w:before="0" w:beforeAutospacing="off" w:after="0" w:afterAutospacing="off" w:line="288" w:lineRule="auto"/>
        <w:ind w:left="992" w:right="-2"/>
      </w:pPr>
      <w:r w:rsidRPr="448D186E" w:rsidR="54BB7C98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Sugammadex (Bridion®) är </w:t>
      </w:r>
      <w:r w:rsidRPr="448D186E" w:rsidR="54BB7C98">
        <w:rPr>
          <w:rFonts w:ascii="Times New Roman" w:hAnsi="Times New Roman" w:eastAsia="Times New Roman" w:cs="Times New Roman"/>
          <w:b w:val="1"/>
          <w:bCs w:val="1"/>
          <w:noProof w:val="0"/>
          <w:sz w:val="24"/>
          <w:szCs w:val="24"/>
          <w:lang w:val="sv-SE"/>
        </w:rPr>
        <w:t>förstahandsval</w:t>
      </w:r>
      <w:r w:rsidRPr="448D186E" w:rsidR="54BB7C98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för reversering av neuromuskulär blockad med rokuronium, även vid låg grad av kvarvarande muskelrelaxation, där robinul-neostigmin tidigare användes. Detta då sugammadex efter att patentet löpt ut är billigare och saknar de biverkningar som kan observeras vid användning av robinul-neostigmin. </w:t>
      </w:r>
    </w:p>
    <w:p w:rsidRPr="006435FD" w:rsidR="008D6ACE" w:rsidP="448D186E" w:rsidRDefault="008D6ACE" w14:paraId="23209A83" w14:textId="0B183C41">
      <w:pPr>
        <w:bidi w:val="0"/>
        <w:spacing w:before="0" w:beforeAutospacing="off" w:after="120" w:afterAutospacing="off" w:line="288" w:lineRule="auto"/>
        <w:ind w:left="992" w:right="-1135"/>
      </w:pPr>
      <w:r w:rsidRPr="448D186E" w:rsidR="54BB7C98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</w:t>
      </w:r>
    </w:p>
    <w:p w:rsidRPr="006435FD" w:rsidR="008D6ACE" w:rsidP="448D186E" w:rsidRDefault="008D6ACE" w14:paraId="17E8851B" w14:textId="6E97A5B9">
      <w:pPr>
        <w:bidi w:val="0"/>
        <w:spacing w:before="0" w:beforeAutospacing="off" w:after="0" w:afterAutospacing="off" w:line="288" w:lineRule="auto"/>
        <w:ind w:left="992" w:right="-2"/>
      </w:pPr>
      <w:r w:rsidRPr="448D186E" w:rsidR="54BB7C98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Vid oklarheter i handläggning avseende muskelrelaxation eller reversering skall anestesisjuksköterskan alltid kontakta ansvarig anestesiolog för ställningstagande.</w:t>
      </w:r>
    </w:p>
    <w:p w:rsidRPr="006435FD" w:rsidR="008D6ACE" w:rsidP="448D186E" w:rsidRDefault="008D6ACE" w14:paraId="2ABF0CE6" w14:textId="5B83A91C">
      <w:pPr>
        <w:bidi w:val="0"/>
        <w:spacing w:before="0" w:beforeAutospacing="off" w:after="120" w:afterAutospacing="off" w:line="288" w:lineRule="auto"/>
        <w:ind w:left="992" w:right="-1135"/>
      </w:pPr>
      <w:r w:rsidRPr="448D186E" w:rsidR="54BB7C98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</w:t>
      </w:r>
    </w:p>
    <w:p w:rsidRPr="006435FD" w:rsidR="008D6ACE" w:rsidP="448D186E" w:rsidRDefault="008D6ACE" w14:paraId="0C2F62DC" w14:textId="53456A2D">
      <w:pPr>
        <w:bidi w:val="0"/>
        <w:spacing w:after="0" w:line="240" w:lineRule="auto"/>
        <w:ind/>
      </w:pPr>
    </w:p>
    <w:p w:rsidRPr="006435FD" w:rsidR="008D6ACE" w:rsidP="448D186E" w:rsidRDefault="008D6ACE" w14:paraId="22BFFAF6" w14:textId="6F505B66">
      <w:pPr>
        <w:pStyle w:val="Rubrik2"/>
        <w:bidi w:val="0"/>
        <w:spacing w:before="240" w:beforeAutospacing="off" w:after="40" w:afterAutospacing="off" w:line="240" w:lineRule="auto"/>
        <w:ind w:left="992" w:right="868"/>
      </w:pPr>
      <w:r w:rsidRPr="448D186E" w:rsidR="54BB7C98">
        <w:rPr>
          <w:rFonts w:ascii="Calibri" w:hAnsi="Calibri" w:eastAsia="Calibri" w:cs="Calibri"/>
          <w:b w:val="0"/>
          <w:bCs w:val="0"/>
          <w:noProof w:val="0"/>
          <w:color w:val="000000" w:themeColor="text2" w:themeTint="FF" w:themeShade="FF"/>
          <w:sz w:val="40"/>
          <w:szCs w:val="40"/>
          <w:lang w:val="sv-SE"/>
        </w:rPr>
        <w:t>Läkemedelsinformation</w:t>
      </w:r>
    </w:p>
    <w:p w:rsidRPr="006435FD" w:rsidR="008D6ACE" w:rsidP="448D186E" w:rsidRDefault="008D6ACE" w14:paraId="2B47CD0F" w14:textId="749A0E09">
      <w:pPr>
        <w:bidi w:val="0"/>
        <w:spacing w:before="0" w:beforeAutospacing="off" w:after="120" w:afterAutospacing="off" w:line="288" w:lineRule="auto"/>
        <w:ind w:left="992" w:right="868"/>
      </w:pPr>
      <w:r w:rsidRPr="448D186E" w:rsidR="54BB7C98">
        <w:rPr>
          <w:rFonts w:ascii="Arial" w:hAnsi="Arial" w:eastAsia="Arial" w:cs="Arial"/>
          <w:b w:val="1"/>
          <w:bCs w:val="1"/>
          <w:noProof w:val="0"/>
          <w:sz w:val="26"/>
          <w:szCs w:val="26"/>
          <w:lang w:val="sv-SE"/>
        </w:rPr>
        <w:t xml:space="preserve"> </w:t>
      </w:r>
    </w:p>
    <w:p w:rsidRPr="006435FD" w:rsidR="008D6ACE" w:rsidP="448D186E" w:rsidRDefault="008D6ACE" w14:paraId="3566BE8C" w14:textId="60A36C40">
      <w:pPr>
        <w:pStyle w:val="Liststycke"/>
        <w:bidi w:val="0"/>
        <w:spacing w:before="0" w:beforeAutospacing="off" w:after="0" w:afterAutospacing="off" w:line="240" w:lineRule="auto"/>
        <w:ind w:left="1418" w:right="-143" w:hanging="360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448D186E" w:rsidR="54BB7C98">
        <w:rPr>
          <w:rFonts w:ascii="Times New Roman" w:hAnsi="Times New Roman" w:eastAsia="Times New Roman" w:cs="Times New Roman"/>
          <w:b w:val="1"/>
          <w:bCs w:val="1"/>
          <w:noProof w:val="0"/>
          <w:sz w:val="24"/>
          <w:szCs w:val="24"/>
          <w:u w:val="single"/>
          <w:lang w:val="sv-SE"/>
        </w:rPr>
        <w:t>Suxameton eller succinylkolin (Celocurin® 50 mg/ml)</w:t>
      </w:r>
      <w:r>
        <w:br/>
      </w:r>
      <w:r w:rsidRPr="448D186E" w:rsidR="54BB7C98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Depolariserande muskelrelaxantia. Intubation kan ske efter c:a 1min. Åter­hämtningen startar efter 3 min och patienten har tillbaka full muskelkraft efter c:a 10 –</w:t>
      </w:r>
      <w:r w:rsidRPr="448D186E" w:rsidR="54BB7C98">
        <w:rPr>
          <w:rFonts w:ascii="Arial" w:hAnsi="Arial" w:eastAsia="Arial" w:cs="Arial"/>
          <w:b w:val="1"/>
          <w:bCs w:val="1"/>
          <w:noProof w:val="0"/>
          <w:sz w:val="26"/>
          <w:szCs w:val="26"/>
          <w:lang w:val="sv-SE"/>
        </w:rPr>
        <w:t xml:space="preserve"> </w:t>
      </w:r>
      <w:r w:rsidRPr="448D186E" w:rsidR="54BB7C98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15 min. Kontraindicerat vid hyperkalemi, svåra brännskador, immobilisering (redan efter 48 –</w:t>
      </w:r>
      <w:r w:rsidRPr="448D186E" w:rsidR="54BB7C98">
        <w:rPr>
          <w:rFonts w:ascii="Arial" w:hAnsi="Arial" w:eastAsia="Arial" w:cs="Arial"/>
          <w:b w:val="1"/>
          <w:bCs w:val="1"/>
          <w:noProof w:val="0"/>
          <w:sz w:val="26"/>
          <w:szCs w:val="26"/>
          <w:lang w:val="sv-SE"/>
        </w:rPr>
        <w:t xml:space="preserve"> </w:t>
      </w:r>
      <w:r w:rsidRPr="448D186E" w:rsidR="54BB7C98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72 h), malign hypertermi, tidigare över­känslighet mot succinylkolin.</w:t>
      </w:r>
    </w:p>
    <w:p w:rsidRPr="006435FD" w:rsidR="008D6ACE" w:rsidP="448D186E" w:rsidRDefault="008D6ACE" w14:paraId="3B1522D9" w14:textId="527576DA">
      <w:pPr>
        <w:bidi w:val="0"/>
        <w:spacing w:before="0" w:beforeAutospacing="off" w:after="0" w:afterAutospacing="off" w:line="240" w:lineRule="auto"/>
        <w:ind w:left="1418" w:right="-143"/>
      </w:pPr>
      <w:r w:rsidRPr="448D186E" w:rsidR="54BB7C98">
        <w:rPr>
          <w:rFonts w:ascii="Arial" w:hAnsi="Arial" w:eastAsia="Arial" w:cs="Arial"/>
          <w:b w:val="1"/>
          <w:bCs w:val="1"/>
          <w:noProof w:val="0"/>
          <w:sz w:val="26"/>
          <w:szCs w:val="26"/>
          <w:lang w:val="sv-SE"/>
        </w:rPr>
        <w:t xml:space="preserve"> </w:t>
      </w:r>
    </w:p>
    <w:p w:rsidRPr="006435FD" w:rsidR="008D6ACE" w:rsidP="448D186E" w:rsidRDefault="008D6ACE" w14:paraId="0E012557" w14:textId="14998C89">
      <w:pPr>
        <w:pStyle w:val="Liststycke"/>
        <w:bidi w:val="0"/>
        <w:spacing w:before="0" w:beforeAutospacing="off" w:after="0" w:afterAutospacing="off" w:line="240" w:lineRule="auto"/>
        <w:ind w:left="1418" w:right="-142" w:hanging="360"/>
        <w:rPr>
          <w:rFonts w:ascii="Arial" w:hAnsi="Arial" w:eastAsia="Arial" w:cs="Arial"/>
          <w:b w:val="1"/>
          <w:bCs w:val="1"/>
          <w:noProof w:val="0"/>
          <w:sz w:val="26"/>
          <w:szCs w:val="26"/>
          <w:lang w:val="sv-SE"/>
        </w:rPr>
      </w:pPr>
      <w:r w:rsidRPr="448D186E" w:rsidR="54BB7C98">
        <w:rPr>
          <w:rFonts w:ascii="Times New Roman" w:hAnsi="Times New Roman" w:eastAsia="Times New Roman" w:cs="Times New Roman"/>
          <w:b w:val="1"/>
          <w:bCs w:val="1"/>
          <w:noProof w:val="0"/>
          <w:sz w:val="24"/>
          <w:szCs w:val="24"/>
          <w:u w:val="single"/>
          <w:lang w:val="sv-SE"/>
        </w:rPr>
        <w:t>Rokuronium (Esmeron® 10 mg/ml)</w:t>
      </w:r>
      <w:r>
        <w:br/>
      </w:r>
      <w:r w:rsidRPr="448D186E" w:rsidR="54BB7C98">
        <w:rPr>
          <w:rFonts w:ascii="Times New Roman" w:hAnsi="Times New Roman" w:eastAsia="Times New Roman" w:cs="Times New Roman"/>
          <w:b w:val="1"/>
          <w:bCs w:val="1"/>
          <w:noProof w:val="0"/>
          <w:sz w:val="24"/>
          <w:szCs w:val="24"/>
          <w:u w:val="single"/>
          <w:lang w:val="sv-SE"/>
        </w:rPr>
        <w:t xml:space="preserve"> </w:t>
      </w:r>
      <w:r w:rsidRPr="448D186E" w:rsidR="54BB7C98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Icke-depolariserande muskelrelaxantia. Vid dosering 0,6 mg/kg ges adekvata intubationsförhållanden efter ca 1 –</w:t>
      </w:r>
      <w:r w:rsidRPr="448D186E" w:rsidR="54BB7C98">
        <w:rPr>
          <w:rFonts w:ascii="Arial" w:hAnsi="Arial" w:eastAsia="Arial" w:cs="Arial"/>
          <w:b w:val="1"/>
          <w:bCs w:val="1"/>
          <w:noProof w:val="0"/>
          <w:sz w:val="26"/>
          <w:szCs w:val="26"/>
          <w:lang w:val="sv-SE"/>
        </w:rPr>
        <w:t xml:space="preserve"> </w:t>
      </w:r>
      <w:r w:rsidRPr="448D186E" w:rsidR="54BB7C98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2 min. Högdos (0,9 –</w:t>
      </w:r>
      <w:r w:rsidRPr="448D186E" w:rsidR="54BB7C98">
        <w:rPr>
          <w:rFonts w:ascii="Arial" w:hAnsi="Arial" w:eastAsia="Arial" w:cs="Arial"/>
          <w:b w:val="1"/>
          <w:bCs w:val="1"/>
          <w:noProof w:val="0"/>
          <w:sz w:val="26"/>
          <w:szCs w:val="26"/>
          <w:lang w:val="sv-SE"/>
        </w:rPr>
        <w:t xml:space="preserve"> </w:t>
      </w:r>
      <w:r w:rsidRPr="448D186E" w:rsidR="54BB7C98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1,2 mg/kg) ger adekvata intubationsförhållanden efter c:a 1 min (beakta längre duration). I stora doser kan rokuronium ge vagolytisk effekt, bl a takykardi. Individuell variation avseende duration. Durationen förlängs av tidigare givet Celocurin, hög ålder, hypotermi, metabol acidos, myastenia gravis, neuromuskulära sjukdomar, nedsatt lever- och njurfunktion.</w:t>
      </w:r>
      <w:r>
        <w:br/>
      </w:r>
      <w:r w:rsidRPr="448D186E" w:rsidR="54BB7C98">
        <w:rPr>
          <w:rFonts w:ascii="Arial" w:hAnsi="Arial" w:eastAsia="Arial" w:cs="Arial"/>
          <w:b w:val="1"/>
          <w:bCs w:val="1"/>
          <w:noProof w:val="0"/>
          <w:sz w:val="26"/>
          <w:szCs w:val="26"/>
          <w:lang w:val="sv-SE"/>
        </w:rPr>
        <w:t xml:space="preserve"> </w:t>
      </w:r>
      <w:r>
        <w:br/>
      </w:r>
    </w:p>
    <w:p w:rsidRPr="006435FD" w:rsidR="008D6ACE" w:rsidP="448D186E" w:rsidRDefault="008D6ACE" w14:paraId="38EB8421" w14:textId="52F6DC21">
      <w:pPr>
        <w:pStyle w:val="Liststycke"/>
        <w:bidi w:val="0"/>
        <w:spacing w:before="0" w:beforeAutospacing="off" w:after="0" w:afterAutospacing="off" w:line="240" w:lineRule="auto"/>
        <w:ind w:left="1418" w:right="-143" w:hanging="360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448D186E" w:rsidR="54BB7C98">
        <w:rPr>
          <w:rFonts w:ascii="Times New Roman" w:hAnsi="Times New Roman" w:eastAsia="Times New Roman" w:cs="Times New Roman"/>
          <w:b w:val="1"/>
          <w:bCs w:val="1"/>
          <w:noProof w:val="0"/>
          <w:sz w:val="24"/>
          <w:szCs w:val="24"/>
          <w:u w:val="single"/>
          <w:lang w:val="sv-SE"/>
        </w:rPr>
        <w:t>Atrakurium 10 mg/ml</w:t>
      </w:r>
      <w:r>
        <w:br/>
      </w:r>
      <w:r w:rsidRPr="448D186E" w:rsidR="54BB7C98">
        <w:rPr>
          <w:rFonts w:ascii="Times New Roman" w:hAnsi="Times New Roman" w:eastAsia="Times New Roman" w:cs="Times New Roman"/>
          <w:b w:val="1"/>
          <w:bCs w:val="1"/>
          <w:noProof w:val="0"/>
          <w:sz w:val="24"/>
          <w:szCs w:val="24"/>
          <w:u w:val="single"/>
          <w:lang w:val="sv-SE"/>
        </w:rPr>
        <w:t xml:space="preserve"> </w:t>
      </w:r>
      <w:r w:rsidRPr="448D186E" w:rsidR="54BB7C98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Icke-depolariserande muskelrelaxantia. Adekvata intubationsförhållanden efter 2 – 3 min. Ej beroende av lever eller njurar för utsöndring och kan därför använ­das vid nedsatt lever- och njurfunktion utan risk för förlängd muskel­relaxerande effekt. Ger en ökad histaminfrisättning jämfört med rokuronium och suxameton, vilket innebär större risk för allergiska reaktioner / anafylaxi. Kan även ge blodtrycksfall.</w:t>
      </w:r>
    </w:p>
    <w:p w:rsidRPr="006435FD" w:rsidR="008D6ACE" w:rsidP="448D186E" w:rsidRDefault="008D6ACE" w14:paraId="6009CB40" w14:textId="3E5BF159">
      <w:pPr>
        <w:bidi w:val="0"/>
        <w:spacing w:before="0" w:beforeAutospacing="off" w:after="0" w:afterAutospacing="off" w:line="240" w:lineRule="auto"/>
        <w:ind w:left="1418" w:right="-143"/>
      </w:pPr>
      <w:r w:rsidRPr="448D186E" w:rsidR="54BB7C98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</w:t>
      </w:r>
    </w:p>
    <w:p w:rsidRPr="006435FD" w:rsidR="008D6ACE" w:rsidP="448D186E" w:rsidRDefault="008D6ACE" w14:paraId="4295D348" w14:textId="284C2BF8">
      <w:pPr>
        <w:pStyle w:val="Liststycke"/>
        <w:bidi w:val="0"/>
        <w:spacing w:before="0" w:beforeAutospacing="off" w:after="0" w:afterAutospacing="off" w:line="240" w:lineRule="auto"/>
        <w:ind w:left="1418" w:right="-143" w:hanging="360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448D186E" w:rsidR="54BB7C98">
        <w:rPr>
          <w:rFonts w:ascii="Times New Roman" w:hAnsi="Times New Roman" w:eastAsia="Times New Roman" w:cs="Times New Roman"/>
          <w:b w:val="1"/>
          <w:bCs w:val="1"/>
          <w:noProof w:val="0"/>
          <w:sz w:val="24"/>
          <w:szCs w:val="24"/>
          <w:u w:val="single"/>
          <w:lang w:val="sv-SE"/>
        </w:rPr>
        <w:t xml:space="preserve">Sugammadex (Bridion® 100mg/ml) </w:t>
      </w:r>
      <w:r>
        <w:br/>
      </w:r>
      <w:r w:rsidRPr="448D186E" w:rsidR="54BB7C98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Selektivt reverseringsmedel som bildar komplex med rokuronium och vekuronium och reverserar den neuromuskulära blockaden. Utsöndras via njurarna och bör därför ej ges till kraftigt njursviktande patienter. Tid till full effekt 1 – 3 minuter. Ger minskad effekt av p-piller (motsvarande en dags glömd tablett). Efter givet sugammadex kan rokuronium ges på nytt, men efter vilken tid och i vilken dosering beror på tidigare given dos: efter givet sugammadex 4 mg/kg bör man vänta 5 min och ge rokuronium i högdos 1,2 mg/kg), alt vänta 4 timmar och ge 0,6 mg/kg. Efter givet sugammadex 16 mg/kg kan nästa dos rokuronium ges efter 24 timmar. Tänk på att tid till intubation kan bli fördröjd. Sugammadex kan ges till barn, men är ej rekommenderat för omedelbar reversering i pediatrisk population.</w:t>
      </w:r>
    </w:p>
    <w:p w:rsidRPr="006435FD" w:rsidR="008D6ACE" w:rsidP="448D186E" w:rsidRDefault="008D6ACE" w14:paraId="475FD796" w14:textId="58293D0B">
      <w:pPr>
        <w:bidi w:val="0"/>
        <w:spacing w:before="0" w:beforeAutospacing="off" w:after="0" w:afterAutospacing="off" w:line="240" w:lineRule="auto"/>
        <w:ind w:left="1418" w:right="-143"/>
      </w:pPr>
      <w:r w:rsidRPr="448D186E" w:rsidR="54BB7C98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</w:t>
      </w:r>
    </w:p>
    <w:p w:rsidRPr="006435FD" w:rsidR="008D6ACE" w:rsidP="448D186E" w:rsidRDefault="008D6ACE" w14:paraId="6F0891AF" w14:textId="14A86BD5">
      <w:pPr>
        <w:pStyle w:val="Liststycke"/>
        <w:bidi w:val="0"/>
        <w:spacing w:before="0" w:beforeAutospacing="off" w:after="0" w:afterAutospacing="off" w:line="240" w:lineRule="auto"/>
        <w:ind w:left="1418" w:right="-143" w:hanging="360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448D186E" w:rsidR="54BB7C98">
        <w:rPr>
          <w:rFonts w:ascii="Times New Roman" w:hAnsi="Times New Roman" w:eastAsia="Times New Roman" w:cs="Times New Roman"/>
          <w:b w:val="1"/>
          <w:bCs w:val="1"/>
          <w:noProof w:val="0"/>
          <w:sz w:val="24"/>
          <w:szCs w:val="24"/>
          <w:u w:val="single"/>
          <w:lang w:val="sv-SE"/>
        </w:rPr>
        <w:t>Robinul®-Neostigmin (glykopyrronium 0,5 mg/ml + neostigmin 2,5 mg/ml)</w:t>
      </w:r>
      <w:r>
        <w:br/>
      </w:r>
      <w:r w:rsidRPr="448D186E" w:rsidR="54BB7C98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Neostigmin hämmar nedbrytningen av acetylkolin, vilket ger en ökad koncentration av acetylkolin i synapsen. Kombineras med glykopyrronium vilket är ett antikolinergikum. Har otillräcklig effekt vid djup muskelblockad (TOF 0 – 1). 10 – 15 min till full effekt, duration ca 40 – 45 min. Högre risk för rekurarusering än sugammadex. Kan ge bradykardi, ökad salivation, muntorrhet, bronkospasm, hjärtarytmier, förlängt QT-syndrom.</w:t>
      </w:r>
    </w:p>
    <w:p w:rsidRPr="006435FD" w:rsidR="008D6ACE" w:rsidP="448D186E" w:rsidRDefault="008D6ACE" w14:paraId="5FA48568" w14:textId="576ED98E">
      <w:pPr>
        <w:bidi w:val="0"/>
        <w:spacing w:before="0" w:beforeAutospacing="off" w:after="0" w:afterAutospacing="off" w:line="240" w:lineRule="auto"/>
        <w:ind w:left="992" w:right="-143"/>
      </w:pPr>
      <w:r w:rsidRPr="448D186E" w:rsidR="54BB7C98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</w:t>
      </w:r>
    </w:p>
    <w:p w:rsidRPr="006435FD" w:rsidR="008D6ACE" w:rsidP="448D186E" w:rsidRDefault="008D6ACE" w14:paraId="54751D3E" w14:textId="1048B9C4">
      <w:pPr>
        <w:bidi w:val="0"/>
        <w:spacing w:before="0" w:beforeAutospacing="off" w:after="120" w:afterAutospacing="off" w:line="288" w:lineRule="auto"/>
        <w:ind w:left="992" w:right="868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</w:p>
    <w:p w:rsidRPr="006435FD" w:rsidR="008D6ACE" w:rsidP="008D6ACE" w:rsidRDefault="008D6ACE" w14:paraId="72620930" w14:textId="40411703">
      <w:pPr>
        <w:spacing w:after="0" w:line="240" w:lineRule="auto"/>
        <w:ind w:left="0" w:right="0"/>
      </w:pPr>
    </w:p>
    <w:bookmarkEnd w:id="0"/>
    <w:sectPr w:rsidRPr="008D6ACE" w:rsidR="00536A5A" w:rsidSect="00AE11D1">
      <w:headerReference w:type="default" r:id="rId19"/>
      <w:footerReference w:type="even" r:id="rId20"/>
      <w:footerReference w:type="default" r:id="rId21"/>
      <w:headerReference w:type="first" r:id="rId22"/>
      <w:footerReference w:type="first" r:id="rId23"/>
      <w:type w:val="continuous"/>
      <w:pgSz w:w="11900" w:h="16840" w:orient="portrait"/>
      <w:pgMar w:top="1418" w:right="1979" w:bottom="1135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A06E6C" w:rsidRDefault="00A06E6C" w14:paraId="409238A9" w14:textId="77777777">
      <w:r>
        <w:separator/>
      </w:r>
    </w:p>
  </w:endnote>
  <w:endnote w:type="continuationSeparator" w:id="0">
    <w:p w:rsidR="00A06E6C" w:rsidRDefault="00A06E6C" w14:paraId="11FBB2A2" w14:textId="77777777">
      <w:r>
        <w:continuationSeparator/>
      </w:r>
    </w:p>
  </w:endnote>
  <w:endnote w:type="continuationNotice" w:id="1">
    <w:p w:rsidR="00A06E6C" w:rsidRDefault="00A06E6C" w14:paraId="36843B78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8D6ACE" w:rsidP="00C43BDD" w:rsidRDefault="008D6ACE" w14:paraId="138F0D67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8D6ACE" w:rsidP="00C43BDD" w:rsidRDefault="008D6ACE" w14:paraId="7201F3CB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397241314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8D6ACE" w:rsidP="00EC0A68" w:rsidRDefault="008D6ACE" w14:paraId="2B3B37DF" w14:textId="77777777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8D6ACE" w:rsidP="00FB2F0F" w:rsidRDefault="008D6ACE" w14:paraId="7020DA3F" w14:textId="77777777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5649" behindDoc="0" locked="0" layoutInCell="1" allowOverlap="1" wp14:anchorId="78E8C7C6" wp14:editId="1544F749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1" name="Bildobjekt 1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A06E6C" w:rsidRDefault="00A06E6C" w14:paraId="7600BCC4" w14:textId="77777777"/>
  </w:footnote>
  <w:footnote w:type="continuationSeparator" w:id="0">
    <w:p w:rsidR="00A06E6C" w:rsidRDefault="00A06E6C" w14:paraId="39568264" w14:textId="77777777">
      <w:r>
        <w:continuationSeparator/>
      </w:r>
    </w:p>
  </w:footnote>
  <w:footnote w:type="continuationNotice" w:id="1">
    <w:p w:rsidR="00A06E6C" w:rsidRDefault="00A06E6C" w14:paraId="75504502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8D6ACE" w:rsidP="00DA65C4" w:rsidRDefault="008D6ACE" w14:paraId="7B923441" w14:textId="77777777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7697" behindDoc="0" locked="0" layoutInCell="1" allowOverlap="1" wp14:anchorId="3733611B" wp14:editId="49212412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" name="Textruta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8D6ACE" w:rsidP="00DA65C4" w:rsidRDefault="008D6ACE" w14:paraId="3F53BE02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13BB7258">
            <v:shapetype id="_x0000_t202" coordsize="21600,21600" o:spt="202" path="m,l,21600r21600,l21600,xe" w14:anchorId="3733611B">
              <v:stroke joinstyle="miter"/>
              <v:path gradientshapeok="t" o:connecttype="rect"/>
            </v:shapetype>
            <v:shape id="Textruta 1" style="position:absolute;left:0;text-align:left;margin-left:0;margin-top:-.05pt;width:367.5pt;height:25.5pt;z-index:25167769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8D6ACE" w:rsidP="00DA65C4" w:rsidRDefault="008D6ACE" w14:paraId="6D41DF98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8D6ACE" w:rsidP="00413A60" w:rsidRDefault="008D6ACE" w14:paraId="0B24C042" w14:textId="77777777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6673" behindDoc="0" locked="0" layoutInCell="1" allowOverlap="1" wp14:anchorId="1771A986" wp14:editId="7E812B21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2" name="Textruta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8D6ACE" w:rsidRDefault="008D6ACE" w14:paraId="30AD672F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423A9DC2">
            <v:shapetype id="_x0000_t202" coordsize="21600,21600" o:spt="202" path="m,l,21600r21600,l21600,xe" w14:anchorId="1771A986">
              <v:stroke joinstyle="miter"/>
              <v:path gradientshapeok="t" o:connecttype="rect"/>
            </v:shapetype>
            <v:shape id="Textruta 2" style="position:absolute;margin-left:-13.6pt;margin-top:-5.15pt;width:367.5pt;height:25.5pt;z-index:25167667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8D6ACE" w:rsidRDefault="008D6ACE" w14:paraId="685B7E76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3C608CB2" wp14:editId="5F025E4E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8" name="Bildobjekt 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0E4764E3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9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>
              <v:textbox>
                <w:txbxContent>
                  <w:p w:rsidR="00DA65C4" w:rsidP="00DA65C4" w:rsidRDefault="00DA65C4" w14:paraId="34785E3B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7475FA28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30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>
              <v:textbox>
                <w:txbxContent>
                  <w:p w:rsidR="00413A60" w:rsidRDefault="00413A60" w14:paraId="4EAFB0E4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xmlns:w="http://schemas.openxmlformats.org/wordprocessingml/2006/main" w:abstractNumId="23">
    <w:nsid w:val="6511bd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·"/>
      <w:lvlJc w:val="left"/>
      <w:pPr>
        <w:ind w:left="1352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xmlns:w="http://schemas.openxmlformats.org/wordprocessingml/2006/main" w:abstractNumId="22">
    <w:nsid w:val="5fa16aa7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·"/>
      <w:lvlJc w:val="left"/>
      <w:pPr>
        <w:ind w:left="1352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xmlns:w="http://schemas.openxmlformats.org/wordprocessingml/2006/main" w:abstractNumId="21">
    <w:nsid w:val="624007d8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1352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2072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792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3512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4232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952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672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6392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7112" w:hanging="180"/>
      </w:pPr>
    </w:lvl>
  </w:abstractNum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C327144"/>
    <w:multiLevelType w:val="hybridMultilevel"/>
    <w:tmpl w:val="77F2122A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34893131"/>
    <w:multiLevelType w:val="hybridMultilevel"/>
    <w:tmpl w:val="D7FECF58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5E966F42"/>
    <w:multiLevelType w:val="hybridMultilevel"/>
    <w:tmpl w:val="4ABED75A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25">
    <w:abstractNumId w:val="23"/>
  </w:num>
  <w:num w:numId="24">
    <w:abstractNumId w:val="22"/>
  </w:num>
  <w:num w:numId="23">
    <w:abstractNumId w:val="21"/>
  </w:num>
  <w:num w:numId="1" w16cid:durableId="325986844">
    <w:abstractNumId w:val="20"/>
  </w:num>
  <w:num w:numId="2" w16cid:durableId="48388513">
    <w:abstractNumId w:val="16"/>
  </w:num>
  <w:num w:numId="3" w16cid:durableId="1455293921">
    <w:abstractNumId w:val="0"/>
  </w:num>
  <w:num w:numId="4" w16cid:durableId="1272400030">
    <w:abstractNumId w:val="7"/>
  </w:num>
  <w:num w:numId="5" w16cid:durableId="1323969936">
    <w:abstractNumId w:val="18"/>
  </w:num>
  <w:num w:numId="6" w16cid:durableId="1605576609">
    <w:abstractNumId w:val="2"/>
  </w:num>
  <w:num w:numId="7" w16cid:durableId="1162963660">
    <w:abstractNumId w:val="13"/>
  </w:num>
  <w:num w:numId="8" w16cid:durableId="1756972580">
    <w:abstractNumId w:val="10"/>
  </w:num>
  <w:num w:numId="9" w16cid:durableId="640425090">
    <w:abstractNumId w:val="1"/>
  </w:num>
  <w:num w:numId="10" w16cid:durableId="1481340004">
    <w:abstractNumId w:val="1"/>
  </w:num>
  <w:num w:numId="11" w16cid:durableId="2078546995">
    <w:abstractNumId w:val="3"/>
  </w:num>
  <w:num w:numId="12" w16cid:durableId="2123257424">
    <w:abstractNumId w:val="4"/>
  </w:num>
  <w:num w:numId="13" w16cid:durableId="1566522965">
    <w:abstractNumId w:val="15"/>
  </w:num>
  <w:num w:numId="14" w16cid:durableId="675226625">
    <w:abstractNumId w:val="11"/>
  </w:num>
  <w:num w:numId="15" w16cid:durableId="49690121">
    <w:abstractNumId w:val="8"/>
  </w:num>
  <w:num w:numId="16" w16cid:durableId="629046062">
    <w:abstractNumId w:val="14"/>
  </w:num>
  <w:num w:numId="17" w16cid:durableId="1641109403">
    <w:abstractNumId w:val="5"/>
  </w:num>
  <w:num w:numId="18" w16cid:durableId="653800374">
    <w:abstractNumId w:val="12"/>
  </w:num>
  <w:num w:numId="19" w16cid:durableId="364647583">
    <w:abstractNumId w:val="19"/>
  </w:num>
  <w:num w:numId="20" w16cid:durableId="1912078951">
    <w:abstractNumId w:val="9"/>
  </w:num>
  <w:num w:numId="21" w16cid:durableId="992946798">
    <w:abstractNumId w:val="17"/>
  </w:num>
  <w:num w:numId="22" w16cid:durableId="2023118915">
    <w:abstractNumId w:val="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zoom w:percent="13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2245"/>
    <w:rsid w:val="003066D0"/>
    <w:rsid w:val="003070C5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08F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2CF2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35FD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0529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D6ACE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6E6C"/>
    <w:rsid w:val="00A07BEC"/>
    <w:rsid w:val="00A264BE"/>
    <w:rsid w:val="00A272CA"/>
    <w:rsid w:val="00A325DC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11D1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448D186E"/>
    <w:rsid w:val="54BB7C98"/>
    <w:rsid w:val="647B2B65"/>
    <w:rsid w:val="6704A934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oter" Target="footer5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theme" Target="theme/theme1.xml" Id="rId25" /><Relationship Type="http://schemas.openxmlformats.org/officeDocument/2006/relationships/footer" Target="footer3.xml" Id="rId16" /><Relationship Type="http://schemas.openxmlformats.org/officeDocument/2006/relationships/footer" Target="footer4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ntTable" Target="fontTable.xml" Id="rId24" /><Relationship Type="http://schemas.openxmlformats.org/officeDocument/2006/relationships/header" Target="header2.xml" Id="rId15" /><Relationship Type="http://schemas.openxmlformats.org/officeDocument/2006/relationships/footer" Target="footer6.xml" Id="rId23" /><Relationship Type="http://schemas.openxmlformats.org/officeDocument/2006/relationships/footnotes" Target="footnotes.xml" Id="rId10" /><Relationship Type="http://schemas.openxmlformats.org/officeDocument/2006/relationships/header" Target="header3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eader" Target="header4.xml" Id="rId22" /><Relationship Type="http://schemas.openxmlformats.org/officeDocument/2006/relationships/image" Target="/media/image3.jpg" Id="rId127829011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Muskelrelaxantia, reversering</dc:title>
  <dc:subject/>
  <dc:creator>patrik.jens.johansson@vgregion.se</dc:creator>
  <keywords/>
  <lastModifiedBy>Caroline Edvardsson</lastModifiedBy>
  <revision>8</revision>
  <lastPrinted>2016-03-31T10:56:00.0000000Z</lastPrinted>
  <dcterms:created xsi:type="dcterms:W3CDTF">2022-05-23T03:38:00.0000000Z</dcterms:created>
  <dcterms:modified xsi:type="dcterms:W3CDTF">2026-04-02T05:53:44.0000000Z</dcterms:modified>
</coreProperties>
</file>