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F7E0E16" w:rsidR="00184167" w:rsidRDefault="003A1073" w:rsidP="009A32ED">
      <w:pPr>
        <w:pStyle w:val="Rubrik1"/>
      </w:pPr>
      <w:r>
        <w:t>Handkirurgi</w:t>
      </w:r>
      <w:r w:rsidR="00A264BE" w:rsidRPr="005A627D">
        <w:t xml:space="preserve"> </w:t>
      </w:r>
      <w:bookmarkStart w:id="0" w:name="_Toc321146591"/>
    </w:p>
    <w:bookmarkEnd w:id="0"/>
    <w:p w14:paraId="37337D5B" w14:textId="77777777" w:rsidR="003A1073" w:rsidRPr="003A1073" w:rsidRDefault="003A1073" w:rsidP="003A1073">
      <w:pPr>
        <w:pStyle w:val="Rubrik2"/>
        <w:ind w:right="-143"/>
      </w:pPr>
      <w:r w:rsidRPr="003A1073">
        <w:t>Revidering i denna version: </w:t>
      </w:r>
    </w:p>
    <w:p w14:paraId="0773003D" w14:textId="682C2803" w:rsidR="00A54BBC" w:rsidRPr="003A1073" w:rsidRDefault="00D5201E" w:rsidP="00A54BBC">
      <w:pPr>
        <w:pStyle w:val="Rubrik2"/>
        <w:ind w:right="-143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Ändring i</w:t>
      </w:r>
      <w:r w:rsidR="003A1073" w:rsidRPr="00A54BBC">
        <w:rPr>
          <w:rFonts w:ascii="Georgia" w:hAnsi="Georgia"/>
          <w:sz w:val="24"/>
          <w:szCs w:val="24"/>
        </w:rPr>
        <w:t xml:space="preserve"> anestesidelen.</w:t>
      </w:r>
    </w:p>
    <w:p w14:paraId="10F6EDF8" w14:textId="5C63556A" w:rsidR="003A1073" w:rsidRPr="003A1073" w:rsidRDefault="003A1073" w:rsidP="003A1073">
      <w:pPr>
        <w:pStyle w:val="Rubrik2"/>
        <w:ind w:right="-143"/>
      </w:pPr>
      <w:r w:rsidRPr="003A1073">
        <w:t>Bakgrund </w:t>
      </w:r>
    </w:p>
    <w:p w14:paraId="6C140DA5" w14:textId="51EF4A71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De vanligaste tillstånden/sjukdomarna som kan kräva handkirurgi:  </w:t>
      </w:r>
    </w:p>
    <w:p w14:paraId="585C68E1" w14:textId="77777777" w:rsidR="003A1073" w:rsidRPr="003A1073" w:rsidRDefault="003A1073" w:rsidP="003A1073">
      <w:pPr>
        <w:pStyle w:val="Rubrik2"/>
        <w:numPr>
          <w:ilvl w:val="0"/>
          <w:numId w:val="20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Hud-, sen- eller nervskada  </w:t>
      </w:r>
    </w:p>
    <w:p w14:paraId="6C3055FA" w14:textId="77777777" w:rsidR="003A1073" w:rsidRPr="003A1073" w:rsidRDefault="003A1073" w:rsidP="003A1073">
      <w:pPr>
        <w:pStyle w:val="Rubrik2"/>
        <w:numPr>
          <w:ilvl w:val="0"/>
          <w:numId w:val="21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Fraktur  </w:t>
      </w:r>
    </w:p>
    <w:p w14:paraId="155F5AA6" w14:textId="77777777" w:rsidR="003A1073" w:rsidRPr="003A1073" w:rsidRDefault="003A1073" w:rsidP="003A1073">
      <w:pPr>
        <w:pStyle w:val="Rubrik2"/>
        <w:numPr>
          <w:ilvl w:val="0"/>
          <w:numId w:val="22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Artros  </w:t>
      </w:r>
    </w:p>
    <w:p w14:paraId="06254B7B" w14:textId="77777777" w:rsidR="003A1073" w:rsidRPr="003A1073" w:rsidRDefault="003A1073" w:rsidP="003A1073">
      <w:pPr>
        <w:pStyle w:val="Rubrik2"/>
        <w:numPr>
          <w:ilvl w:val="0"/>
          <w:numId w:val="23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Dupuytrens kontraktur  </w:t>
      </w:r>
    </w:p>
    <w:p w14:paraId="5FCD517F" w14:textId="77777777" w:rsidR="003A1073" w:rsidRPr="003A1073" w:rsidRDefault="003A1073" w:rsidP="003A1073">
      <w:pPr>
        <w:pStyle w:val="Rubrik2"/>
        <w:numPr>
          <w:ilvl w:val="0"/>
          <w:numId w:val="24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Perifer nervkompression  </w:t>
      </w:r>
    </w:p>
    <w:p w14:paraId="62BC6E98" w14:textId="77777777" w:rsidR="003A1073" w:rsidRPr="003A1073" w:rsidRDefault="003A1073" w:rsidP="003A1073">
      <w:pPr>
        <w:pStyle w:val="Rubrik2"/>
        <w:numPr>
          <w:ilvl w:val="0"/>
          <w:numId w:val="25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Synovit  </w:t>
      </w:r>
    </w:p>
    <w:p w14:paraId="71EBA7EA" w14:textId="77777777" w:rsidR="003A1073" w:rsidRPr="003A1073" w:rsidRDefault="003A1073" w:rsidP="003A1073">
      <w:pPr>
        <w:pStyle w:val="Rubrik2"/>
        <w:numPr>
          <w:ilvl w:val="0"/>
          <w:numId w:val="26"/>
        </w:numPr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Infektion  </w:t>
      </w:r>
    </w:p>
    <w:p w14:paraId="108D68E6" w14:textId="6EDA9F91" w:rsidR="003A1073" w:rsidRDefault="003A1073" w:rsidP="0040067A">
      <w:pPr>
        <w:pStyle w:val="Rubrik2"/>
        <w:numPr>
          <w:ilvl w:val="0"/>
          <w:numId w:val="27"/>
        </w:numPr>
        <w:ind w:right="-143"/>
      </w:pPr>
      <w:r w:rsidRPr="003A1073">
        <w:rPr>
          <w:rFonts w:ascii="Georgia" w:hAnsi="Georgia"/>
          <w:sz w:val="24"/>
          <w:szCs w:val="24"/>
        </w:rPr>
        <w:t>Ligamentskada </w:t>
      </w:r>
    </w:p>
    <w:p w14:paraId="393D4476" w14:textId="51F0738A" w:rsidR="003A1073" w:rsidRPr="003A1073" w:rsidRDefault="003A1073" w:rsidP="003A1073">
      <w:pPr>
        <w:pStyle w:val="Rubrik2"/>
        <w:ind w:right="-143"/>
      </w:pPr>
      <w:r w:rsidRPr="003A1073">
        <w:t>Syfte </w:t>
      </w:r>
    </w:p>
    <w:p w14:paraId="660B59EF" w14:textId="77760559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Att skapa ett dokumentstöd för omhändertagande av patient vid handkirurgi.  </w:t>
      </w:r>
    </w:p>
    <w:p w14:paraId="5C86031C" w14:textId="77777777" w:rsidR="003A1073" w:rsidRPr="003A1073" w:rsidRDefault="003A1073" w:rsidP="003A1073">
      <w:pPr>
        <w:pStyle w:val="Rubrik2"/>
        <w:ind w:right="-143"/>
      </w:pPr>
      <w:r w:rsidRPr="003A1073">
        <w:t>Vilka berörs </w:t>
      </w:r>
    </w:p>
    <w:p w14:paraId="1C32287C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All personal, Operation NU-sjukvården. </w:t>
      </w:r>
    </w:p>
    <w:p w14:paraId="4B47D252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1D5C7340" w14:textId="77777777" w:rsidR="003A1073" w:rsidRDefault="003A1073" w:rsidP="003A1073">
      <w:pPr>
        <w:pStyle w:val="Rubrik2"/>
        <w:ind w:right="-143"/>
      </w:pPr>
      <w:r w:rsidRPr="003A1073">
        <w:t> </w:t>
      </w:r>
    </w:p>
    <w:p w14:paraId="69B381C7" w14:textId="77777777" w:rsidR="003A1073" w:rsidRPr="003A1073" w:rsidRDefault="003A1073" w:rsidP="003A1073"/>
    <w:p w14:paraId="7EBE2175" w14:textId="77777777" w:rsidR="003A1073" w:rsidRPr="003A1073" w:rsidRDefault="003A1073" w:rsidP="003A1073">
      <w:pPr>
        <w:pStyle w:val="Rubrik2"/>
        <w:ind w:right="-143"/>
      </w:pPr>
      <w:r w:rsidRPr="003A1073">
        <w:lastRenderedPageBreak/>
        <w:t>Anestesiförslag </w:t>
      </w:r>
    </w:p>
    <w:p w14:paraId="5F168315" w14:textId="77777777" w:rsidR="003A1073" w:rsidRPr="00997205" w:rsidRDefault="003A1073" w:rsidP="003A1073">
      <w:pPr>
        <w:pStyle w:val="Rubrik2"/>
        <w:ind w:right="-143"/>
        <w:rPr>
          <w:rFonts w:ascii="Georgia" w:hAnsi="Georgia"/>
          <w:sz w:val="28"/>
          <w:szCs w:val="28"/>
        </w:rPr>
      </w:pPr>
      <w:r w:rsidRPr="00997205">
        <w:rPr>
          <w:rFonts w:ascii="Georgia" w:hAnsi="Georgia"/>
          <w:sz w:val="28"/>
          <w:szCs w:val="28"/>
        </w:rPr>
        <w:t>Premedicinering</w:t>
      </w:r>
      <w:r w:rsidRPr="00997205">
        <w:rPr>
          <w:rFonts w:ascii="Georgia" w:hAnsi="Georgia"/>
          <w:b/>
          <w:i/>
          <w:iCs/>
          <w:sz w:val="28"/>
          <w:szCs w:val="28"/>
        </w:rPr>
        <w:t>:</w:t>
      </w:r>
      <w:r w:rsidRPr="00997205">
        <w:rPr>
          <w:rFonts w:ascii="Georgia" w:hAnsi="Georgia"/>
          <w:sz w:val="28"/>
          <w:szCs w:val="28"/>
        </w:rPr>
        <w:t> </w:t>
      </w:r>
    </w:p>
    <w:p w14:paraId="7DAFA6F3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T Paracetamol enl.rutin för premedicinering </w:t>
      </w:r>
    </w:p>
    <w:p w14:paraId="56A4AED0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T Arcoxia 120 mg x 1  </w:t>
      </w:r>
    </w:p>
    <w:p w14:paraId="06D34931" w14:textId="4F1ACAF5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T Targiniq ca 0,1 - 0,2 mg/kg, max 20 mg, dos anpassas till ålder och tidigare opioidkonsumtion  </w:t>
      </w:r>
    </w:p>
    <w:p w14:paraId="3BFE57A1" w14:textId="5AF1B6FD" w:rsidR="003A1073" w:rsidRPr="003A1073" w:rsidRDefault="003A1073" w:rsidP="003A1073">
      <w:pPr>
        <w:pStyle w:val="Rubrik2"/>
        <w:ind w:right="-143"/>
      </w:pPr>
      <w:r w:rsidRPr="003A1073">
        <w:rPr>
          <w:b/>
        </w:rPr>
        <w:t>       </w:t>
      </w:r>
      <w:r w:rsidRPr="003A1073">
        <w:t>  </w:t>
      </w:r>
    </w:p>
    <w:p w14:paraId="277481FF" w14:textId="7BB9C2FB" w:rsidR="003A1073" w:rsidRPr="003A1073" w:rsidRDefault="003A1073" w:rsidP="003A1073">
      <w:pPr>
        <w:pStyle w:val="Rubrik2"/>
        <w:ind w:right="-143"/>
      </w:pPr>
      <w:r w:rsidRPr="003A1073">
        <w:t>Anestesi </w:t>
      </w:r>
    </w:p>
    <w:p w14:paraId="3BABEA8E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LM/TIVA  Remifentanyl, Propofol + operatörsblockad </w:t>
      </w:r>
    </w:p>
    <w:p w14:paraId="4D521809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Plexus supra- / infraclavikulär  - till sjuka patienter som man absolut inte vill söva. Diskutera med operatör innan (Ropivacain eller Carbocain) </w:t>
      </w:r>
    </w:p>
    <w:p w14:paraId="6170F1ED" w14:textId="207A09AD" w:rsidR="003A1073" w:rsidRPr="003A1073" w:rsidRDefault="003A1073" w:rsidP="003A1073">
      <w:pPr>
        <w:pStyle w:val="Rubrik2"/>
        <w:ind w:right="-143"/>
      </w:pPr>
      <w:r w:rsidRPr="003A1073">
        <w:t>Postoperativt </w:t>
      </w:r>
    </w:p>
    <w:p w14:paraId="44FDF713" w14:textId="2B89EAB9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T Paracetamol </w:t>
      </w:r>
      <w:r w:rsidR="000068B4" w:rsidRPr="003A1073">
        <w:rPr>
          <w:rFonts w:ascii="Georgia" w:hAnsi="Georgia"/>
          <w:sz w:val="24"/>
          <w:szCs w:val="24"/>
        </w:rPr>
        <w:t>15–20</w:t>
      </w:r>
      <w:r w:rsidRPr="003A1073">
        <w:rPr>
          <w:rFonts w:ascii="Georgia" w:hAnsi="Georgia"/>
          <w:sz w:val="24"/>
          <w:szCs w:val="24"/>
        </w:rPr>
        <w:t> mg/kg (max 1g) x 4, fr o m 6 timmar efter premedicinering </w:t>
      </w:r>
    </w:p>
    <w:p w14:paraId="5DFC75E8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T Oxycontin (ej barn) ca 0,1 mg/kg 12 timmar efter första dos </w:t>
      </w:r>
    </w:p>
    <w:p w14:paraId="39443599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Inj Oxynorm/morfin vb  </w:t>
      </w:r>
    </w:p>
    <w:p w14:paraId="08C91324" w14:textId="77777777" w:rsidR="003A1073" w:rsidRPr="00A54BBC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Om patienten ej fått NSAID/COX2 innan operation kan det ev. kompletteras med postoperativt (OBS kontraindikationer)  </w:t>
      </w:r>
    </w:p>
    <w:p w14:paraId="24EFF66A" w14:textId="77777777" w:rsidR="003A1073" w:rsidRPr="003A1073" w:rsidRDefault="003A1073" w:rsidP="003A1073">
      <w:pPr>
        <w:pStyle w:val="Rubrik2"/>
        <w:ind w:right="-143"/>
      </w:pPr>
      <w:r w:rsidRPr="003A1073">
        <w:t>Utrustning </w:t>
      </w:r>
    </w:p>
    <w:p w14:paraId="24CD0C0A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Standard/basmonitorering, blodtomtsapparat. BTF enligt ordination.  </w:t>
      </w:r>
    </w:p>
    <w:p w14:paraId="695392B4" w14:textId="28F67E91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Rutin:  </w:t>
      </w:r>
      <w:hyperlink r:id="rId7" w:history="1">
        <w:r w:rsidR="00BB7712" w:rsidRPr="00BB7712">
          <w:rPr>
            <w:rStyle w:val="Hyperlnk"/>
            <w:rFonts w:ascii="Georgia" w:hAnsi="Georgia"/>
            <w:sz w:val="24"/>
            <w:szCs w:val="24"/>
          </w:rPr>
          <w:t>Blodt</w:t>
        </w:r>
        <w:r w:rsidR="00BB7712" w:rsidRPr="00BB7712">
          <w:rPr>
            <w:rStyle w:val="Hyperlnk"/>
            <w:rFonts w:ascii="Georgia" w:hAnsi="Georgia"/>
            <w:sz w:val="24"/>
            <w:szCs w:val="24"/>
          </w:rPr>
          <w:t>o</w:t>
        </w:r>
        <w:r w:rsidR="00BB7712" w:rsidRPr="00BB7712">
          <w:rPr>
            <w:rStyle w:val="Hyperlnk"/>
            <w:rFonts w:ascii="Georgia" w:hAnsi="Georgia"/>
            <w:sz w:val="24"/>
            <w:szCs w:val="24"/>
          </w:rPr>
          <w:t>mt fält</w:t>
        </w:r>
      </w:hyperlink>
    </w:p>
    <w:p w14:paraId="462FF0A3" w14:textId="77777777" w:rsidR="003A1073" w:rsidRPr="003A1073" w:rsidRDefault="003A1073" w:rsidP="003A1073">
      <w:pPr>
        <w:pStyle w:val="Rubrik2"/>
        <w:ind w:right="-143"/>
      </w:pPr>
      <w:r w:rsidRPr="003A1073">
        <w:t>Blodgruppering/bastest </w:t>
      </w:r>
    </w:p>
    <w:p w14:paraId="382F709C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Nej/nej  </w:t>
      </w:r>
    </w:p>
    <w:p w14:paraId="0BC8CA46" w14:textId="7786ADA3" w:rsidR="003A1073" w:rsidRPr="003A1073" w:rsidRDefault="003A1073" w:rsidP="003A1073">
      <w:pPr>
        <w:pStyle w:val="Rubrik2"/>
        <w:ind w:right="-143"/>
      </w:pPr>
      <w:r w:rsidRPr="003A1073">
        <w:t>  </w:t>
      </w:r>
    </w:p>
    <w:p w14:paraId="31048D70" w14:textId="77777777" w:rsidR="003A1073" w:rsidRPr="003A1073" w:rsidRDefault="003A1073" w:rsidP="003A1073">
      <w:pPr>
        <w:pStyle w:val="Rubrik2"/>
        <w:ind w:right="-143"/>
      </w:pPr>
      <w:r w:rsidRPr="003A1073">
        <w:lastRenderedPageBreak/>
        <w:t>Förberedelserummet/Preoperativt center   </w:t>
      </w:r>
    </w:p>
    <w:p w14:paraId="5348DBDB" w14:textId="77777777" w:rsidR="00842879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b/>
          <w:i/>
          <w:iCs/>
          <w:sz w:val="24"/>
          <w:szCs w:val="24"/>
        </w:rPr>
        <w:t>Om patienten har gipsförband</w:t>
      </w:r>
      <w:r w:rsidRPr="003A1073">
        <w:rPr>
          <w:rFonts w:ascii="Georgia" w:hAnsi="Georgia"/>
          <w:sz w:val="24"/>
          <w:szCs w:val="24"/>
        </w:rPr>
        <w:t> – avlägsna det </w:t>
      </w:r>
      <w:r w:rsidRPr="003A1073">
        <w:rPr>
          <w:rFonts w:ascii="Georgia" w:hAnsi="Georgia"/>
          <w:i/>
          <w:iCs/>
          <w:sz w:val="24"/>
          <w:szCs w:val="24"/>
        </w:rPr>
        <w:t>före </w:t>
      </w:r>
      <w:r w:rsidRPr="003A1073">
        <w:rPr>
          <w:rFonts w:ascii="Georgia" w:hAnsi="Georgia"/>
          <w:sz w:val="24"/>
          <w:szCs w:val="24"/>
        </w:rPr>
        <w:t>anestesistart så att huden i det skadade området kan inspekteras av </w:t>
      </w:r>
      <w:r w:rsidRPr="003A1073">
        <w:rPr>
          <w:rFonts w:ascii="Georgia" w:hAnsi="Georgia"/>
          <w:b/>
          <w:sz w:val="24"/>
          <w:szCs w:val="24"/>
        </w:rPr>
        <w:t>operatören</w:t>
      </w:r>
      <w:r w:rsidRPr="003A1073">
        <w:rPr>
          <w:rFonts w:ascii="Georgia" w:hAnsi="Georgia"/>
          <w:sz w:val="24"/>
          <w:szCs w:val="24"/>
        </w:rPr>
        <w:t xml:space="preserve">. </w:t>
      </w:r>
    </w:p>
    <w:p w14:paraId="16B2C966" w14:textId="022151B9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Flexibilitet, t ex när det gäller barn. Samråd med operatören.  </w:t>
      </w:r>
    </w:p>
    <w:p w14:paraId="63E4FB03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För att eftersträva så få partiklar i luften som möjligt i operationssalen ska gipsförbandet avlägsnas på förberedelserummet/Preoperativt center/barn mottagning (Flexibilitet, t ex när det gäller barn.) </w:t>
      </w:r>
    </w:p>
    <w:p w14:paraId="627E7B54" w14:textId="77777777" w:rsidR="003A1073" w:rsidRPr="003A1073" w:rsidRDefault="003A1073" w:rsidP="003A1073">
      <w:pPr>
        <w:pStyle w:val="Rubrik2"/>
        <w:ind w:right="-143"/>
      </w:pPr>
      <w:r w:rsidRPr="003A1073">
        <w:t>Operationsbord/läge </w:t>
      </w:r>
    </w:p>
    <w:p w14:paraId="294E2C2B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Valfritt operationsbord/planläge. </w:t>
      </w:r>
    </w:p>
    <w:p w14:paraId="3701419E" w14:textId="77777777" w:rsidR="003A1073" w:rsidRDefault="003A1073" w:rsidP="003A1073">
      <w:pPr>
        <w:pStyle w:val="Rubrik2"/>
        <w:ind w:right="-143"/>
      </w:pPr>
      <w:r w:rsidRPr="003A1073">
        <w:t> </w:t>
      </w:r>
    </w:p>
    <w:p w14:paraId="7A3FAAC1" w14:textId="77777777" w:rsidR="003A1073" w:rsidRPr="003A1073" w:rsidRDefault="003A1073" w:rsidP="003A1073"/>
    <w:p w14:paraId="463F15A0" w14:textId="77777777" w:rsidR="003A1073" w:rsidRPr="003A1073" w:rsidRDefault="003A1073" w:rsidP="003A1073">
      <w:pPr>
        <w:pStyle w:val="Rubrik2"/>
        <w:ind w:right="-143"/>
      </w:pPr>
      <w:r w:rsidRPr="003A1073">
        <w:lastRenderedPageBreak/>
        <w:t>Före anestesistart </w:t>
      </w:r>
    </w:p>
    <w:p w14:paraId="56096117" w14:textId="031386CA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Har patienten värk, stelhet och/eller domningar i kroppen, framför allt i nacke, axlar och armar? Något med hudkostymen som ska beaktas? Annat? Planera i teamet i fall </w:t>
      </w:r>
      <w:r w:rsidRPr="003A1073">
        <w:rPr>
          <w:rFonts w:ascii="Georgia" w:hAnsi="Georgia"/>
          <w:i/>
          <w:iCs/>
          <w:sz w:val="24"/>
          <w:szCs w:val="24"/>
        </w:rPr>
        <w:t>särskilda</w:t>
      </w:r>
      <w:r w:rsidRPr="003A1073">
        <w:rPr>
          <w:rFonts w:ascii="Georgia" w:hAnsi="Georgia"/>
          <w:sz w:val="24"/>
          <w:szCs w:val="24"/>
        </w:rPr>
        <w:t> åtgärder ska vidtas för att undvika smärta och skador. Dokumentera i operationssköterskejournalen.   </w:t>
      </w:r>
    </w:p>
    <w:p w14:paraId="40DE8167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Vaken patient deltar i att finna ett bekvämt läge på operationsbordet, </w:t>
      </w:r>
      <w:r w:rsidRPr="003A1073">
        <w:rPr>
          <w:rFonts w:ascii="Georgia" w:hAnsi="Georgia"/>
          <w:i/>
          <w:iCs/>
          <w:sz w:val="24"/>
          <w:szCs w:val="24"/>
        </w:rPr>
        <w:t>men även vaken patient kan drabbas av tryckskador och nervskador orsakad av positioneringen! </w:t>
      </w:r>
      <w:r w:rsidRPr="003A1073">
        <w:rPr>
          <w:rFonts w:ascii="Georgia" w:hAnsi="Georgia"/>
          <w:sz w:val="24"/>
          <w:szCs w:val="24"/>
        </w:rPr>
        <w:t> </w:t>
      </w:r>
    </w:p>
    <w:p w14:paraId="33172249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 </w:t>
      </w:r>
    </w:p>
    <w:p w14:paraId="198B2A81" w14:textId="77777777" w:rsidR="003A1073" w:rsidRPr="003A1073" w:rsidRDefault="003A1073" w:rsidP="003A1073">
      <w:pPr>
        <w:pStyle w:val="Rubrik2"/>
        <w:numPr>
          <w:ilvl w:val="0"/>
          <w:numId w:val="28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Placera liftremmarna så att största möjliga effekt fås ut av madrassens formbarhet, dvs. undvik att lägga remmar under skulderblad, sakrum och hälar. Vid ökad skaderisk – överväg att utesluta remmar helt och hållet.  </w:t>
      </w:r>
    </w:p>
    <w:p w14:paraId="0AEA647E" w14:textId="77777777" w:rsidR="003A1073" w:rsidRPr="003A1073" w:rsidRDefault="003A1073" w:rsidP="003A1073">
      <w:pPr>
        <w:pStyle w:val="Rubrik2"/>
        <w:numPr>
          <w:ilvl w:val="0"/>
          <w:numId w:val="29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Huvud och nacke i ett neutralt läge på en kudde.  </w:t>
      </w:r>
    </w:p>
    <w:p w14:paraId="5D1DF024" w14:textId="77777777" w:rsidR="003A1073" w:rsidRPr="003A1073" w:rsidRDefault="003A1073" w:rsidP="003A1073">
      <w:pPr>
        <w:pStyle w:val="Rubrik2"/>
        <w:numPr>
          <w:ilvl w:val="0"/>
          <w:numId w:val="30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Kontrollera att ögonlocken är slutna vid narkos/sedering. </w:t>
      </w:r>
    </w:p>
    <w:p w14:paraId="60928206" w14:textId="77777777" w:rsidR="003A1073" w:rsidRPr="003A1073" w:rsidRDefault="003A1073" w:rsidP="003A1073">
      <w:pPr>
        <w:pStyle w:val="Rubrik2"/>
        <w:numPr>
          <w:ilvl w:val="0"/>
          <w:numId w:val="31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  <w:u w:val="single"/>
        </w:rPr>
        <w:t>Armen som ska opereras</w:t>
      </w:r>
      <w:r w:rsidRPr="003A1073">
        <w:rPr>
          <w:rFonts w:ascii="Georgia" w:hAnsi="Georgia"/>
          <w:sz w:val="24"/>
          <w:szCs w:val="24"/>
        </w:rPr>
        <w:t> placeras på ett armbord(fiol).  </w:t>
      </w:r>
    </w:p>
    <w:p w14:paraId="6F92FE10" w14:textId="65BDE649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  <w:u w:val="single"/>
        </w:rPr>
        <w:t>Armen som </w:t>
      </w:r>
      <w:r w:rsidRPr="003A1073">
        <w:rPr>
          <w:rFonts w:ascii="Georgia" w:hAnsi="Georgia"/>
          <w:b/>
          <w:sz w:val="24"/>
          <w:szCs w:val="24"/>
          <w:u w:val="single"/>
        </w:rPr>
        <w:t>inte</w:t>
      </w:r>
      <w:r w:rsidRPr="003A1073">
        <w:rPr>
          <w:rFonts w:ascii="Georgia" w:hAnsi="Georgia"/>
          <w:sz w:val="24"/>
          <w:szCs w:val="24"/>
          <w:u w:val="single"/>
        </w:rPr>
        <w:t> ska opereras</w:t>
      </w:r>
      <w:r w:rsidRPr="003A1073">
        <w:rPr>
          <w:rFonts w:ascii="Georgia" w:hAnsi="Georgia"/>
          <w:sz w:val="24"/>
          <w:szCs w:val="24"/>
        </w:rPr>
        <w:t xml:space="preserve"> ska vila i ett neutralt läge eller med handflatan </w:t>
      </w:r>
      <w:r w:rsidR="003F7DBF">
        <w:rPr>
          <w:rFonts w:ascii="Georgia" w:hAnsi="Georgia"/>
          <w:sz w:val="24"/>
          <w:szCs w:val="24"/>
        </w:rPr>
        <w:t xml:space="preserve">   </w:t>
      </w:r>
      <w:r w:rsidRPr="003A1073">
        <w:rPr>
          <w:rFonts w:ascii="Georgia" w:hAnsi="Georgia"/>
          <w:sz w:val="24"/>
          <w:szCs w:val="24"/>
        </w:rPr>
        <w:t>ned mot underlaget på ett armstöd.  </w:t>
      </w:r>
    </w:p>
    <w:p w14:paraId="75299C80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Skydda insidan av armbågslederna från tryck! Översträck inte armarnas leder! – Max 90 grader ut från kroppen.  </w:t>
      </w:r>
    </w:p>
    <w:p w14:paraId="5865E1E5" w14:textId="77777777" w:rsidR="003A1073" w:rsidRPr="003A1073" w:rsidRDefault="003A1073" w:rsidP="003A1073">
      <w:pPr>
        <w:pStyle w:val="Rubrik2"/>
        <w:numPr>
          <w:ilvl w:val="0"/>
          <w:numId w:val="32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Kontrollera att textilier och underlag inte orsakar skador p.g.a. sömmar och veck. Patientskjortan ska ligga ”ledigt” runt kroppen. </w:t>
      </w:r>
    </w:p>
    <w:p w14:paraId="5797F0B9" w14:textId="77777777" w:rsidR="003A1073" w:rsidRPr="003A1073" w:rsidRDefault="003A1073" w:rsidP="003A1073">
      <w:pPr>
        <w:pStyle w:val="Rubrik2"/>
        <w:numPr>
          <w:ilvl w:val="0"/>
          <w:numId w:val="33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Placera EKG-elektroder, kablar/sladdar/slangar och övrig utrustning så att de inte orsakar skador. Byt ibland placering av pulsoximeter-proben.  </w:t>
      </w:r>
    </w:p>
    <w:p w14:paraId="7AFABD93" w14:textId="77777777" w:rsidR="003A1073" w:rsidRPr="003A1073" w:rsidRDefault="003A1073" w:rsidP="003A1073">
      <w:pPr>
        <w:pStyle w:val="Rubrik2"/>
        <w:numPr>
          <w:ilvl w:val="0"/>
          <w:numId w:val="34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Ev. en stor huvudkudde under knäna för extra komfort.  </w:t>
      </w:r>
    </w:p>
    <w:p w14:paraId="00479E7A" w14:textId="77777777" w:rsidR="003A1073" w:rsidRPr="003A1073" w:rsidRDefault="003A1073" w:rsidP="003A1073">
      <w:pPr>
        <w:pStyle w:val="Rubrik2"/>
        <w:numPr>
          <w:ilvl w:val="0"/>
          <w:numId w:val="35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i/>
          <w:iCs/>
          <w:sz w:val="24"/>
          <w:szCs w:val="24"/>
        </w:rPr>
        <w:t>Skydda särskilt utsatta ställen</w:t>
      </w:r>
      <w:r w:rsidRPr="003A1073">
        <w:rPr>
          <w:rFonts w:ascii="Georgia" w:hAnsi="Georgia"/>
          <w:sz w:val="24"/>
          <w:szCs w:val="24"/>
        </w:rPr>
        <w:t> - där ben och brosk ligger ytligt; öron, skallben, skulderblad, armbågar, sakrum och hälar. Förebygg tryckskador!  </w:t>
      </w:r>
    </w:p>
    <w:p w14:paraId="7D706DD5" w14:textId="1BA1CD03" w:rsidR="003A1073" w:rsidRPr="003A1073" w:rsidRDefault="003A1073" w:rsidP="003A1073">
      <w:pPr>
        <w:pStyle w:val="Rubrik2"/>
        <w:ind w:right="-143"/>
      </w:pPr>
      <w:r w:rsidRPr="003A1073">
        <w:lastRenderedPageBreak/>
        <w:t>  </w:t>
      </w:r>
    </w:p>
    <w:p w14:paraId="5D327A51" w14:textId="77777777" w:rsidR="003A1073" w:rsidRPr="003A1073" w:rsidRDefault="003A1073" w:rsidP="003A1073">
      <w:pPr>
        <w:pStyle w:val="Rubrik2"/>
        <w:ind w:right="-143"/>
      </w:pPr>
      <w:r w:rsidRPr="003A1073">
        <w:t>Håravkortning  </w:t>
      </w:r>
    </w:p>
    <w:p w14:paraId="748B4BAA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Från handen upp till halva underarmen. </w:t>
      </w:r>
    </w:p>
    <w:p w14:paraId="1EE2BB96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7B4322A9" w14:textId="77777777" w:rsidR="003A1073" w:rsidRPr="003A1073" w:rsidRDefault="003A1073" w:rsidP="003A1073">
      <w:pPr>
        <w:pStyle w:val="Rubrik2"/>
        <w:ind w:right="-143"/>
      </w:pPr>
      <w:r w:rsidRPr="003A1073">
        <w:t>KAD </w:t>
      </w:r>
    </w:p>
    <w:p w14:paraId="59959DF0" w14:textId="77777777" w:rsidR="003A1073" w:rsidRPr="003A1073" w:rsidRDefault="003A1073" w:rsidP="003A1073">
      <w:pPr>
        <w:pStyle w:val="Rubrik2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Nej, endast vid förväntat lång operationstid. </w:t>
      </w:r>
    </w:p>
    <w:p w14:paraId="7E1276C6" w14:textId="30AD36B2" w:rsidR="003A1073" w:rsidRPr="003A1073" w:rsidRDefault="003A1073" w:rsidP="009C44B2">
      <w:pPr>
        <w:pStyle w:val="Rubrik2"/>
        <w:ind w:right="-143"/>
      </w:pPr>
      <w:r w:rsidRPr="003A1073">
        <w:rPr>
          <w:rFonts w:ascii="Georgia" w:hAnsi="Georgia"/>
          <w:sz w:val="24"/>
          <w:szCs w:val="24"/>
        </w:rPr>
        <w:t>Blåskontrol</w:t>
      </w:r>
      <w:r w:rsidR="00BB7712">
        <w:rPr>
          <w:rFonts w:ascii="Georgia" w:hAnsi="Georgia"/>
          <w:sz w:val="24"/>
          <w:szCs w:val="24"/>
        </w:rPr>
        <w:t>l</w:t>
      </w:r>
      <w:r w:rsidRPr="003A1073">
        <w:rPr>
          <w:rFonts w:ascii="Georgia" w:hAnsi="Georgia"/>
          <w:sz w:val="24"/>
          <w:szCs w:val="24"/>
        </w:rPr>
        <w:t xml:space="preserve"> enligt gällande rutin </w:t>
      </w:r>
    </w:p>
    <w:p w14:paraId="28341B99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721380FD" w14:textId="77777777" w:rsidR="003A1073" w:rsidRPr="003A1073" w:rsidRDefault="003A1073" w:rsidP="003A1073">
      <w:pPr>
        <w:pStyle w:val="Rubrik2"/>
        <w:ind w:right="-143"/>
      </w:pPr>
      <w:r w:rsidRPr="003A1073">
        <w:t>Risker </w:t>
      </w:r>
    </w:p>
    <w:p w14:paraId="714863E4" w14:textId="77777777" w:rsidR="003A1073" w:rsidRPr="003A1073" w:rsidRDefault="003A1073" w:rsidP="003A1073">
      <w:pPr>
        <w:pStyle w:val="Rubrik2"/>
        <w:numPr>
          <w:ilvl w:val="0"/>
          <w:numId w:val="36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b/>
          <w:sz w:val="24"/>
          <w:szCs w:val="24"/>
        </w:rPr>
        <w:t>Risk för skador orsakad av positioneringen! </w:t>
      </w:r>
      <w:r w:rsidRPr="003A1073">
        <w:rPr>
          <w:rFonts w:ascii="Georgia" w:hAnsi="Georgia"/>
          <w:sz w:val="24"/>
          <w:szCs w:val="24"/>
        </w:rPr>
        <w:t> </w:t>
      </w:r>
    </w:p>
    <w:p w14:paraId="012D16F2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Ha en kunskap om riskerna och hur skador undviks. Gör kontinuerliga lägeskontroller och åtgärda sådant som kan innebära en risk. Dokumentera kontroller och åtgärder!</w:t>
      </w:r>
      <w:r w:rsidRPr="003A1073">
        <w:rPr>
          <w:rFonts w:ascii="Georgia" w:hAnsi="Georgia"/>
          <w:i/>
          <w:iCs/>
          <w:sz w:val="24"/>
          <w:szCs w:val="24"/>
        </w:rPr>
        <w:t> </w:t>
      </w:r>
      <w:r w:rsidRPr="003A1073">
        <w:rPr>
          <w:rFonts w:ascii="Georgia" w:hAnsi="Georgia"/>
          <w:sz w:val="24"/>
          <w:szCs w:val="24"/>
        </w:rPr>
        <w:t>Ju längre tid som patienten är positionerad på operationsbordet desto större risk.</w:t>
      </w:r>
      <w:r w:rsidRPr="003A1073">
        <w:rPr>
          <w:rFonts w:ascii="Georgia" w:hAnsi="Georgia"/>
          <w:i/>
          <w:iCs/>
          <w:sz w:val="24"/>
          <w:szCs w:val="24"/>
        </w:rPr>
        <w:t> </w:t>
      </w:r>
      <w:r w:rsidRPr="003A1073">
        <w:rPr>
          <w:rFonts w:ascii="Georgia" w:hAnsi="Georgia"/>
          <w:b/>
          <w:sz w:val="24"/>
          <w:szCs w:val="24"/>
        </w:rPr>
        <w:t>Hypotermi är en riskfaktor! </w:t>
      </w:r>
      <w:r w:rsidRPr="003A1073">
        <w:rPr>
          <w:rFonts w:ascii="Georgia" w:hAnsi="Georgia"/>
          <w:sz w:val="24"/>
          <w:szCs w:val="24"/>
        </w:rPr>
        <w:t>Äldre personer, överviktiga, magra, diabetiker, kärlsjuka och rökare löper en ökad risk.  </w:t>
      </w:r>
    </w:p>
    <w:p w14:paraId="39D5F1CB" w14:textId="77777777" w:rsidR="003A1073" w:rsidRPr="003A1073" w:rsidRDefault="003A1073" w:rsidP="003A1073">
      <w:pPr>
        <w:pStyle w:val="Rubrik2"/>
        <w:numPr>
          <w:ilvl w:val="0"/>
          <w:numId w:val="37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b/>
          <w:sz w:val="24"/>
          <w:szCs w:val="24"/>
        </w:rPr>
        <w:t>Risk för skador orsakad av blodtomt fält!</w:t>
      </w:r>
      <w:r w:rsidRPr="003A1073">
        <w:rPr>
          <w:rFonts w:ascii="Georgia" w:hAnsi="Georgia"/>
          <w:sz w:val="24"/>
          <w:szCs w:val="24"/>
        </w:rPr>
        <w:t> </w:t>
      </w:r>
    </w:p>
    <w:p w14:paraId="5FA9D535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Ha en kunskap om riskerna och hur skador undviks.  </w:t>
      </w:r>
    </w:p>
    <w:p w14:paraId="11653D1B" w14:textId="77777777" w:rsidR="003A1073" w:rsidRPr="003A1073" w:rsidRDefault="003A1073" w:rsidP="003A1073">
      <w:pPr>
        <w:pStyle w:val="Rubrik2"/>
        <w:numPr>
          <w:ilvl w:val="0"/>
          <w:numId w:val="38"/>
        </w:numPr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b/>
          <w:sz w:val="24"/>
          <w:szCs w:val="24"/>
        </w:rPr>
        <w:t>Risk för överfylld urinblåsa!</w:t>
      </w:r>
      <w:r w:rsidRPr="003A1073">
        <w:rPr>
          <w:rFonts w:ascii="Georgia" w:hAnsi="Georgia"/>
          <w:sz w:val="24"/>
          <w:szCs w:val="24"/>
        </w:rPr>
        <w:t> </w:t>
      </w:r>
    </w:p>
    <w:p w14:paraId="73E5E908" w14:textId="16DA0F29" w:rsid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Se rutin för  </w:t>
      </w:r>
      <w:hyperlink r:id="rId8" w:history="1">
        <w:r w:rsidR="00BB7712" w:rsidRPr="00BB7712">
          <w:rPr>
            <w:rStyle w:val="Hyperlnk"/>
            <w:rFonts w:ascii="Georgia" w:hAnsi="Georgia"/>
            <w:sz w:val="24"/>
            <w:szCs w:val="24"/>
          </w:rPr>
          <w:t>Blåskontroller, urintappning och kateterisering av urinblåsa på AnOpIVA kliniken - Vuxen och barn från 12 år</w:t>
        </w:r>
      </w:hyperlink>
    </w:p>
    <w:p w14:paraId="0F29B410" w14:textId="77777777" w:rsidR="00BB7712" w:rsidRPr="00BB7712" w:rsidRDefault="00BB7712" w:rsidP="00BB7712"/>
    <w:p w14:paraId="5E5A5584" w14:textId="3EDBC9F3" w:rsidR="00BB7712" w:rsidRPr="00BB7712" w:rsidRDefault="00BB7712" w:rsidP="00BB7712">
      <w:hyperlink r:id="rId9" w:history="1">
        <w:r w:rsidRPr="00BB7712">
          <w:rPr>
            <w:rStyle w:val="Hyperlnk"/>
          </w:rPr>
          <w:t>Blåskontroller AnOpIVA-kliniken barn upp till 12 år.pdf</w:t>
        </w:r>
      </w:hyperlink>
    </w:p>
    <w:p w14:paraId="5629C8E6" w14:textId="77777777" w:rsidR="003A1073" w:rsidRDefault="003A1073" w:rsidP="003A1073">
      <w:pPr>
        <w:pStyle w:val="Rubrik2"/>
        <w:ind w:right="-143"/>
      </w:pPr>
      <w:r w:rsidRPr="003A1073">
        <w:t> </w:t>
      </w:r>
    </w:p>
    <w:p w14:paraId="57E84F1F" w14:textId="77777777" w:rsidR="009C44B2" w:rsidRPr="009C44B2" w:rsidRDefault="009C44B2" w:rsidP="009C44B2"/>
    <w:p w14:paraId="1C0CF619" w14:textId="77777777" w:rsidR="003A1073" w:rsidRPr="003A1073" w:rsidRDefault="003A1073" w:rsidP="003A1073">
      <w:pPr>
        <w:pStyle w:val="Rubrik2"/>
        <w:ind w:right="-143"/>
      </w:pPr>
      <w:r w:rsidRPr="003A1073">
        <w:lastRenderedPageBreak/>
        <w:t>Avslutning/Postoperativt </w:t>
      </w:r>
    </w:p>
    <w:p w14:paraId="3849EF0E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Placera opererad hand i högläge (höglägeskudde). Observera distalstatus. </w:t>
      </w:r>
      <w:r w:rsidRPr="003A1073">
        <w:rPr>
          <w:rFonts w:ascii="Georgia" w:hAnsi="Georgia"/>
          <w:sz w:val="24"/>
          <w:szCs w:val="24"/>
          <w:u w:val="single"/>
        </w:rPr>
        <w:t>Tips</w:t>
      </w:r>
      <w:r w:rsidRPr="003A1073">
        <w:rPr>
          <w:rFonts w:ascii="Georgia" w:hAnsi="Georgia"/>
          <w:sz w:val="24"/>
          <w:szCs w:val="24"/>
        </w:rPr>
        <w:t>: sätt pulsoximeterproben på opererade handen.  </w:t>
      </w:r>
    </w:p>
    <w:p w14:paraId="0764BAFD" w14:textId="77777777" w:rsidR="003A1073" w:rsidRPr="003A1073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Förebygg postoperativ smärta! – Vanligtvis ska patienten kunna lämna sjukhuset senare samma dag.  </w:t>
      </w:r>
    </w:p>
    <w:p w14:paraId="44B84AA0" w14:textId="77777777" w:rsidR="003A1073" w:rsidRPr="00A54BBC" w:rsidRDefault="003A1073" w:rsidP="003A1073">
      <w:pPr>
        <w:pStyle w:val="Rubrik2"/>
        <w:spacing w:line="360" w:lineRule="auto"/>
        <w:ind w:right="-143"/>
        <w:rPr>
          <w:rFonts w:ascii="Georgia" w:hAnsi="Georgia"/>
          <w:sz w:val="24"/>
          <w:szCs w:val="24"/>
        </w:rPr>
      </w:pPr>
      <w:r w:rsidRPr="003A1073">
        <w:rPr>
          <w:rFonts w:ascii="Georgia" w:hAnsi="Georgia"/>
          <w:sz w:val="24"/>
          <w:szCs w:val="24"/>
        </w:rPr>
        <w:t>Om postoperativ röntgen ordineras: Fråga operatören om patienten får börja äta </w:t>
      </w:r>
      <w:r w:rsidRPr="003A1073">
        <w:rPr>
          <w:rFonts w:ascii="Georgia" w:hAnsi="Georgia"/>
          <w:i/>
          <w:iCs/>
          <w:sz w:val="24"/>
          <w:szCs w:val="24"/>
        </w:rPr>
        <w:t>före </w:t>
      </w:r>
      <w:r w:rsidRPr="003A1073">
        <w:rPr>
          <w:rFonts w:ascii="Georgia" w:hAnsi="Georgia"/>
          <w:sz w:val="24"/>
          <w:szCs w:val="24"/>
        </w:rPr>
        <w:t>undersökningen, eller ska han/hon fortsätta att fasta, d v s finns det risk för reoperation samma dag? </w:t>
      </w:r>
    </w:p>
    <w:p w14:paraId="744A2808" w14:textId="77777777" w:rsidR="003A1073" w:rsidRPr="003A1073" w:rsidRDefault="003A1073" w:rsidP="003A1073"/>
    <w:p w14:paraId="27164377" w14:textId="77777777" w:rsidR="003A1073" w:rsidRDefault="003A1073" w:rsidP="003A1073">
      <w:pPr>
        <w:pStyle w:val="Rubrik2"/>
        <w:ind w:right="-143"/>
      </w:pPr>
    </w:p>
    <w:p w14:paraId="3E6639A7" w14:textId="6D13AE65" w:rsidR="003A1073" w:rsidRPr="003A1073" w:rsidRDefault="003A1073" w:rsidP="003A1073">
      <w:pPr>
        <w:pStyle w:val="Rubrik2"/>
        <w:ind w:right="-143"/>
      </w:pPr>
      <w:r w:rsidRPr="003A1073">
        <w:t>Källa och lästips </w:t>
      </w:r>
    </w:p>
    <w:p w14:paraId="72BE88EB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129783A1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Adedeji, R., Oragui, E., Wasim, K., &amp; Maruthainar, N. (2010). </w:t>
      </w:r>
      <w:r w:rsidRPr="003A1073">
        <w:rPr>
          <w:sz w:val="28"/>
          <w:szCs w:val="28"/>
          <w:lang w:val="en-GB"/>
        </w:rPr>
        <w:t>The importance of correct patient positioning in theatre and implications of mal-positioning. </w:t>
      </w:r>
      <w:r w:rsidRPr="003A1073">
        <w:rPr>
          <w:i/>
          <w:iCs/>
          <w:sz w:val="28"/>
          <w:szCs w:val="28"/>
          <w:lang w:val="en-GB"/>
        </w:rPr>
        <w:t>Open learning Zone, 20</w:t>
      </w:r>
      <w:r w:rsidRPr="003A1073">
        <w:rPr>
          <w:sz w:val="28"/>
          <w:szCs w:val="28"/>
          <w:lang w:val="en-GB"/>
        </w:rPr>
        <w:t>(4), 143-147.</w:t>
      </w:r>
      <w:r w:rsidRPr="003A1073">
        <w:rPr>
          <w:sz w:val="28"/>
          <w:szCs w:val="28"/>
        </w:rPr>
        <w:t> </w:t>
      </w:r>
    </w:p>
    <w:p w14:paraId="59A16C76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20CAD4D1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  <w:lang w:val="en-GB"/>
        </w:rPr>
        <w:t>American Academy of Orthopaedic Surgeons. American Association of Orthopaedic Surgeons. (2013). </w:t>
      </w:r>
      <w:r w:rsidRPr="003A1073">
        <w:rPr>
          <w:i/>
          <w:iCs/>
          <w:sz w:val="28"/>
          <w:szCs w:val="28"/>
          <w:lang w:val="en-GB"/>
        </w:rPr>
        <w:t>Preventing Positioning Injuries: An Anesthesiologist´s Perspectives. </w:t>
      </w:r>
      <w:r w:rsidRPr="003A1073">
        <w:rPr>
          <w:sz w:val="28"/>
          <w:szCs w:val="28"/>
        </w:rPr>
        <w:t>Hämtad 2015-01-21 från </w:t>
      </w:r>
      <w:hyperlink r:id="rId10" w:tgtFrame="_blank" w:history="1">
        <w:r w:rsidRPr="003A1073">
          <w:rPr>
            <w:rStyle w:val="Hyperlnk"/>
            <w:sz w:val="28"/>
            <w:szCs w:val="28"/>
          </w:rPr>
          <w:t>http://www.aaos.org/news/aaosnow/jan13/managing7.asp</w:t>
        </w:r>
      </w:hyperlink>
      <w:r w:rsidRPr="003A1073">
        <w:rPr>
          <w:sz w:val="28"/>
          <w:szCs w:val="28"/>
        </w:rPr>
        <w:t> </w:t>
      </w:r>
    </w:p>
    <w:p w14:paraId="2053299F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31708E7B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  <w:lang w:val="en-GB"/>
        </w:rPr>
        <w:t>Bonnaig, N., Dailey, S., &amp; Archdeacon, M. (2014). Proper Patient Positioning and Complication Prevention in Orthopaedic Surgery. </w:t>
      </w:r>
      <w:r w:rsidRPr="003A1073">
        <w:rPr>
          <w:i/>
          <w:iCs/>
          <w:sz w:val="28"/>
          <w:szCs w:val="28"/>
          <w:lang w:val="en-GB"/>
        </w:rPr>
        <w:t>The Journal of Bone &amp; Joint Surgery, Jul 02;96</w:t>
      </w:r>
      <w:r w:rsidRPr="003A1073">
        <w:rPr>
          <w:sz w:val="28"/>
          <w:szCs w:val="28"/>
          <w:lang w:val="en-GB"/>
        </w:rPr>
        <w:t>(13), 1135-1140.</w:t>
      </w:r>
      <w:r w:rsidRPr="003A1073">
        <w:rPr>
          <w:i/>
          <w:iCs/>
          <w:sz w:val="28"/>
          <w:szCs w:val="28"/>
          <w:lang w:val="en-GB"/>
        </w:rPr>
        <w:t> </w:t>
      </w:r>
      <w:r w:rsidRPr="003A1073">
        <w:rPr>
          <w:sz w:val="28"/>
          <w:szCs w:val="28"/>
        </w:rPr>
        <w:t> </w:t>
      </w:r>
    </w:p>
    <w:p w14:paraId="4616D6BB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753899CC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  <w:lang w:val="en-GB"/>
        </w:rPr>
        <w:t>Bouyer-Ferullo, S. (2013). Preventing Perioperative Peripheral Nerve Injuries. </w:t>
      </w:r>
      <w:r w:rsidRPr="003A1073">
        <w:rPr>
          <w:i/>
          <w:iCs/>
          <w:sz w:val="28"/>
          <w:szCs w:val="28"/>
          <w:lang w:val="en-GB"/>
        </w:rPr>
        <w:t>AORN Journal, 97</w:t>
      </w:r>
      <w:r w:rsidRPr="003A1073">
        <w:rPr>
          <w:sz w:val="28"/>
          <w:szCs w:val="28"/>
          <w:lang w:val="en-GB"/>
        </w:rPr>
        <w:t>(1), 110-124.</w:t>
      </w:r>
      <w:r w:rsidRPr="003A1073">
        <w:rPr>
          <w:sz w:val="28"/>
          <w:szCs w:val="28"/>
        </w:rPr>
        <w:t> </w:t>
      </w:r>
    </w:p>
    <w:p w14:paraId="17712D75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6BE9AF34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  <w:lang w:val="en-US"/>
        </w:rPr>
        <w:t>Knight, David JW., &amp; Mahajan, Ravi P. (2004). Patient positioning in anaesthesia. </w:t>
      </w:r>
      <w:r w:rsidRPr="003A1073">
        <w:rPr>
          <w:i/>
          <w:iCs/>
          <w:sz w:val="28"/>
          <w:szCs w:val="28"/>
          <w:lang w:val="en-US"/>
        </w:rPr>
        <w:t>Continuing Education in Anaesthesia, Critical Care &amp; Pain, 4</w:t>
      </w:r>
      <w:r w:rsidRPr="003A1073">
        <w:rPr>
          <w:sz w:val="28"/>
          <w:szCs w:val="28"/>
          <w:lang w:val="en-US"/>
        </w:rPr>
        <w:t>(5), 160-163.</w:t>
      </w:r>
      <w:r w:rsidRPr="003A1073">
        <w:rPr>
          <w:sz w:val="28"/>
          <w:szCs w:val="28"/>
        </w:rPr>
        <w:t> </w:t>
      </w:r>
    </w:p>
    <w:p w14:paraId="7EF34596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55C19AAE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SFS 1982:763. </w:t>
      </w:r>
      <w:r w:rsidRPr="003A1073">
        <w:rPr>
          <w:i/>
          <w:iCs/>
          <w:sz w:val="28"/>
          <w:szCs w:val="28"/>
        </w:rPr>
        <w:t>Hälso- och sjukvårdslag. </w:t>
      </w:r>
      <w:r w:rsidRPr="003A1073">
        <w:rPr>
          <w:sz w:val="28"/>
          <w:szCs w:val="28"/>
        </w:rPr>
        <w:t>§ 2a och § 2e. Stockholm: Socialdepartementet. </w:t>
      </w:r>
    </w:p>
    <w:p w14:paraId="7F57E38B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t> </w:t>
      </w:r>
    </w:p>
    <w:p w14:paraId="69C13FA2" w14:textId="77777777" w:rsidR="003A1073" w:rsidRPr="003A1073" w:rsidRDefault="003A1073" w:rsidP="003A1073">
      <w:pPr>
        <w:pStyle w:val="Rubrik2"/>
        <w:ind w:right="-143"/>
        <w:rPr>
          <w:sz w:val="28"/>
          <w:szCs w:val="28"/>
        </w:rPr>
      </w:pPr>
      <w:r w:rsidRPr="003A1073">
        <w:rPr>
          <w:sz w:val="28"/>
          <w:szCs w:val="28"/>
        </w:rPr>
        <w:lastRenderedPageBreak/>
        <w:t>SFS 2010:659. </w:t>
      </w:r>
      <w:r w:rsidRPr="003A1073">
        <w:rPr>
          <w:i/>
          <w:iCs/>
          <w:sz w:val="28"/>
          <w:szCs w:val="28"/>
        </w:rPr>
        <w:t>Patientsäkerhetslag. </w:t>
      </w:r>
      <w:r w:rsidRPr="003A1073">
        <w:rPr>
          <w:sz w:val="28"/>
          <w:szCs w:val="28"/>
        </w:rPr>
        <w:t>3 kap. § 1 och 6 kap. § 1, § 2 och § 4. Stockholm: Socialdepartementet.  </w:t>
      </w:r>
    </w:p>
    <w:p w14:paraId="35B318AC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32C64AC3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7C2EF13B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2FE94ED5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24821886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2DF389AC" w14:textId="77777777" w:rsidR="003A1073" w:rsidRPr="003A1073" w:rsidRDefault="003A1073" w:rsidP="003A1073">
      <w:pPr>
        <w:pStyle w:val="Rubrik2"/>
        <w:ind w:right="-143"/>
      </w:pPr>
      <w:r w:rsidRPr="003A1073">
        <w:t> </w:t>
      </w:r>
    </w:p>
    <w:p w14:paraId="40AA233F" w14:textId="3FC9AE60" w:rsidR="009C6C0C" w:rsidRDefault="009C6C0C" w:rsidP="003A1073">
      <w:pPr>
        <w:pStyle w:val="Rubrik2"/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C51B6" w14:textId="77777777" w:rsidR="00615ADC" w:rsidRDefault="00615ADC">
      <w:r>
        <w:separator/>
      </w:r>
    </w:p>
  </w:endnote>
  <w:endnote w:type="continuationSeparator" w:id="0">
    <w:p w14:paraId="33B0FD0C" w14:textId="77777777" w:rsidR="00615ADC" w:rsidRDefault="00615ADC">
      <w:r>
        <w:continuationSeparator/>
      </w:r>
    </w:p>
  </w:endnote>
  <w:endnote w:type="continuationNotice" w:id="1">
    <w:p w14:paraId="1DC7E05A" w14:textId="77777777" w:rsidR="00615ADC" w:rsidRDefault="00615A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E5FA4" w14:textId="77777777" w:rsidR="00615ADC" w:rsidRDefault="00615ADC"/>
  </w:footnote>
  <w:footnote w:type="continuationSeparator" w:id="0">
    <w:p w14:paraId="46611B44" w14:textId="77777777" w:rsidR="00615ADC" w:rsidRDefault="00615ADC">
      <w:r>
        <w:continuationSeparator/>
      </w:r>
    </w:p>
  </w:footnote>
  <w:footnote w:type="continuationNotice" w:id="1">
    <w:p w14:paraId="76F591FC" w14:textId="77777777" w:rsidR="00615ADC" w:rsidRDefault="00615A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B69D2"/>
    <w:multiLevelType w:val="multilevel"/>
    <w:tmpl w:val="E7788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2F34EC"/>
    <w:multiLevelType w:val="multilevel"/>
    <w:tmpl w:val="F89C1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F5A241B"/>
    <w:multiLevelType w:val="multilevel"/>
    <w:tmpl w:val="ABBE4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0DA37B8"/>
    <w:multiLevelType w:val="multilevel"/>
    <w:tmpl w:val="7F04427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1D6002B"/>
    <w:multiLevelType w:val="multilevel"/>
    <w:tmpl w:val="402AE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8ED3482"/>
    <w:multiLevelType w:val="multilevel"/>
    <w:tmpl w:val="2E804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BC307FD"/>
    <w:multiLevelType w:val="multilevel"/>
    <w:tmpl w:val="401A8E6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F9650AB"/>
    <w:multiLevelType w:val="multilevel"/>
    <w:tmpl w:val="04D47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F611D29"/>
    <w:multiLevelType w:val="multilevel"/>
    <w:tmpl w:val="C29ED3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CE4ADD"/>
    <w:multiLevelType w:val="multilevel"/>
    <w:tmpl w:val="8E305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357AC1"/>
    <w:multiLevelType w:val="multilevel"/>
    <w:tmpl w:val="42CC1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EC35CEE"/>
    <w:multiLevelType w:val="multilevel"/>
    <w:tmpl w:val="AD5C2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39F3FEF"/>
    <w:multiLevelType w:val="multilevel"/>
    <w:tmpl w:val="0FD4A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9445138"/>
    <w:multiLevelType w:val="multilevel"/>
    <w:tmpl w:val="46885C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C23953"/>
    <w:multiLevelType w:val="multilevel"/>
    <w:tmpl w:val="E022F7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F1162FD"/>
    <w:multiLevelType w:val="multilevel"/>
    <w:tmpl w:val="84DC4E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52B6B85"/>
    <w:multiLevelType w:val="multilevel"/>
    <w:tmpl w:val="1BAE2E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37513EC"/>
    <w:multiLevelType w:val="multilevel"/>
    <w:tmpl w:val="11CE5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4954CA5"/>
    <w:multiLevelType w:val="multilevel"/>
    <w:tmpl w:val="2592D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6"/>
  </w:num>
  <w:num w:numId="2" w16cid:durableId="1367871050">
    <w:abstractNumId w:val="27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32"/>
  </w:num>
  <w:num w:numId="6" w16cid:durableId="444931515">
    <w:abstractNumId w:val="3"/>
  </w:num>
  <w:num w:numId="7" w16cid:durableId="739910959">
    <w:abstractNumId w:val="21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9"/>
  </w:num>
  <w:num w:numId="13" w16cid:durableId="57095060">
    <w:abstractNumId w:val="26"/>
  </w:num>
  <w:num w:numId="14" w16cid:durableId="36130748">
    <w:abstractNumId w:val="17"/>
  </w:num>
  <w:num w:numId="15" w16cid:durableId="560679449">
    <w:abstractNumId w:val="12"/>
  </w:num>
  <w:num w:numId="16" w16cid:durableId="1420566503">
    <w:abstractNumId w:val="24"/>
  </w:num>
  <w:num w:numId="17" w16cid:durableId="256527698">
    <w:abstractNumId w:val="10"/>
  </w:num>
  <w:num w:numId="18" w16cid:durableId="1090539201">
    <w:abstractNumId w:val="19"/>
  </w:num>
  <w:num w:numId="19" w16cid:durableId="1846439597">
    <w:abstractNumId w:val="35"/>
  </w:num>
  <w:num w:numId="20" w16cid:durableId="1689796982">
    <w:abstractNumId w:val="28"/>
  </w:num>
  <w:num w:numId="21" w16cid:durableId="1969118485">
    <w:abstractNumId w:val="7"/>
  </w:num>
  <w:num w:numId="22" w16cid:durableId="664669468">
    <w:abstractNumId w:val="14"/>
  </w:num>
  <w:num w:numId="23" w16cid:durableId="222642412">
    <w:abstractNumId w:val="18"/>
  </w:num>
  <w:num w:numId="24" w16cid:durableId="767432440">
    <w:abstractNumId w:val="29"/>
  </w:num>
  <w:num w:numId="25" w16cid:durableId="2127769813">
    <w:abstractNumId w:val="30"/>
  </w:num>
  <w:num w:numId="26" w16cid:durableId="58595125">
    <w:abstractNumId w:val="6"/>
  </w:num>
  <w:num w:numId="27" w16cid:durableId="1990943287">
    <w:abstractNumId w:val="31"/>
  </w:num>
  <w:num w:numId="28" w16cid:durableId="1538540364">
    <w:abstractNumId w:val="2"/>
  </w:num>
  <w:num w:numId="29" w16cid:durableId="1253246188">
    <w:abstractNumId w:val="25"/>
  </w:num>
  <w:num w:numId="30" w16cid:durableId="1512833359">
    <w:abstractNumId w:val="22"/>
  </w:num>
  <w:num w:numId="31" w16cid:durableId="827744238">
    <w:abstractNumId w:val="5"/>
  </w:num>
  <w:num w:numId="32" w16cid:durableId="535384969">
    <w:abstractNumId w:val="34"/>
  </w:num>
  <w:num w:numId="33" w16cid:durableId="571044798">
    <w:abstractNumId w:val="15"/>
  </w:num>
  <w:num w:numId="34" w16cid:durableId="982927946">
    <w:abstractNumId w:val="23"/>
  </w:num>
  <w:num w:numId="35" w16cid:durableId="2080403475">
    <w:abstractNumId w:val="8"/>
  </w:num>
  <w:num w:numId="36" w16cid:durableId="1647005861">
    <w:abstractNumId w:val="33"/>
  </w:num>
  <w:num w:numId="37" w16cid:durableId="667640567">
    <w:abstractNumId w:val="20"/>
  </w:num>
  <w:num w:numId="38" w16cid:durableId="26877909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8B4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35C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6FF6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925"/>
    <w:rsid w:val="002C0C02"/>
    <w:rsid w:val="002C1277"/>
    <w:rsid w:val="002C60AD"/>
    <w:rsid w:val="002D0E0E"/>
    <w:rsid w:val="002D6023"/>
    <w:rsid w:val="002E263F"/>
    <w:rsid w:val="002E695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A107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7DB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ADC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08B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6687"/>
    <w:rsid w:val="00821A1B"/>
    <w:rsid w:val="008262E9"/>
    <w:rsid w:val="00827E69"/>
    <w:rsid w:val="00831C35"/>
    <w:rsid w:val="00835C4D"/>
    <w:rsid w:val="00842879"/>
    <w:rsid w:val="00843F48"/>
    <w:rsid w:val="00851423"/>
    <w:rsid w:val="008569C6"/>
    <w:rsid w:val="00857848"/>
    <w:rsid w:val="008651B4"/>
    <w:rsid w:val="008654B6"/>
    <w:rsid w:val="00870CAC"/>
    <w:rsid w:val="0087139C"/>
    <w:rsid w:val="00873419"/>
    <w:rsid w:val="00880E83"/>
    <w:rsid w:val="00892F28"/>
    <w:rsid w:val="008A09CA"/>
    <w:rsid w:val="008A0C5F"/>
    <w:rsid w:val="008A3DEA"/>
    <w:rsid w:val="008A4EB9"/>
    <w:rsid w:val="008A74C0"/>
    <w:rsid w:val="008B1694"/>
    <w:rsid w:val="008C295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22C"/>
    <w:rsid w:val="00997205"/>
    <w:rsid w:val="009A07DC"/>
    <w:rsid w:val="009A32ED"/>
    <w:rsid w:val="009B1F6B"/>
    <w:rsid w:val="009C0D12"/>
    <w:rsid w:val="009C192E"/>
    <w:rsid w:val="009C2E3E"/>
    <w:rsid w:val="009C44B2"/>
    <w:rsid w:val="009C6C0C"/>
    <w:rsid w:val="009D06A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592"/>
    <w:rsid w:val="00A514B7"/>
    <w:rsid w:val="00A54A0B"/>
    <w:rsid w:val="00A54BBC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3525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B7712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67AD"/>
    <w:rsid w:val="00D47AD7"/>
    <w:rsid w:val="00D51529"/>
    <w:rsid w:val="00D5201E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080F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63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A10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48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49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04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64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51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50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43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72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05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923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03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94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26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34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9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9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6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32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5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1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0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35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5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7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43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3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07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8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0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4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27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06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9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13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60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64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6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20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04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10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60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16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72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24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53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7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88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99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14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73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91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55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37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86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92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69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76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4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0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44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36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73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7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46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8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91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56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8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1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05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40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88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57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5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8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35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81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87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73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231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37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0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54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84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35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5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1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0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3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2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6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72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3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12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80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13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36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752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008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79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60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44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97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81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6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90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46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36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2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77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5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77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04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4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2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78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6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9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35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5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74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0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8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06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24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9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85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58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56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54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52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3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55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281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61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88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56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97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88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17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30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0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8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41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31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15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29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14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74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07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43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0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73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8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7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20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90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06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51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37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33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18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73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47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45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96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869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2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41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23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88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33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47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30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10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32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73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1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24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39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33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9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33-158836868-151/surrogate/Bl%c3%a5skontroller%2c%20urintappning%20och%20kateterisering%20av%20urinbl%c3%a5sa%20p%c3%a5%20AnOpIVA%20kliniken%20-%20Vuxen%20och%20barn%20fr%c3%a5n%2012%20%c3%a5r.pdf" TargetMode="External" Id="rId8" /><Relationship Type="http://schemas.openxmlformats.org/officeDocument/2006/relationships/footer" Target="footer2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3-1252922689-11/surrogate/Blodtomt%20f%c3%a4lt.pdf" TargetMode="Externa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styles" Target="styles.xml" Id="rId2" /><Relationship Type="http://schemas.openxmlformats.org/officeDocument/2006/relationships/fontTable" Target="fontTable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footer" Target="footer3.xml" Id="rId15" /><Relationship Type="http://schemas.openxmlformats.org/officeDocument/2006/relationships/hyperlink" Target="http://www.aaos.org/news/aaosnow/jan13/managing7.asp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nu10033-158836868-147/surrogate/Bl%c3%a5skontroller%20AnOpIVA-kliniken%20barn%20upp%20till%2012%20%c3%a5r.pdf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1048</Words>
  <Characters>5556</Characters>
  <Application>Microsoft Office Word</Application>
  <DocSecurity>0</DocSecurity>
  <Lines>46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Handkirurgi</dc:title>
  <dc:subject/>
  <dc:creator/>
  <keywords/>
  <lastModifiedBy/>
  <revision>1</revision>
  <dcterms:created xsi:type="dcterms:W3CDTF">2026-06-18T07:17:00.0000000Z</dcterms:created>
  <dcterms:modified xsi:type="dcterms:W3CDTF">2026-07-02T12:10:00.0000000Z</dcterms:modified>
</coreProperties>
</file>