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81455" w14:textId="77777777" w:rsidR="003C147B" w:rsidRDefault="003C147B" w:rsidP="00C34320">
      <w:pPr>
        <w:pStyle w:val="Rubrik2"/>
        <w:ind w:right="-2"/>
        <w:sectPr w:rsidR="003C147B" w:rsidSect="003C147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A0F205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3C147B" w:rsidRPr="003C147B" w14:paraId="356CC357" w14:textId="77777777" w:rsidTr="00094377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E718E4C" w14:textId="77777777" w:rsidR="003C147B" w:rsidRPr="003C147B" w:rsidRDefault="003C147B" w:rsidP="00C34320">
            <w:pPr>
              <w:pStyle w:val="Rubrik1"/>
              <w:ind w:right="-2"/>
            </w:pPr>
            <w:r w:rsidRPr="003C147B">
              <w:t>Etoricoxib – grundrutin för premedicinering och perioperativt bruk</w:t>
            </w:r>
          </w:p>
        </w:tc>
      </w:tr>
    </w:tbl>
    <w:p w14:paraId="288EB042" w14:textId="77777777" w:rsidR="003C147B" w:rsidRPr="003C147B" w:rsidRDefault="003C147B" w:rsidP="00C34320">
      <w:pPr>
        <w:pStyle w:val="Rubrik2"/>
        <w:ind w:right="-2"/>
      </w:pPr>
      <w:bookmarkStart w:id="1" w:name="_Toc501440349"/>
      <w:r w:rsidRPr="003C147B">
        <w:t xml:space="preserve">Revidering i denna version </w:t>
      </w:r>
      <w:bookmarkEnd w:id="1"/>
    </w:p>
    <w:p w14:paraId="050C8AAE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  <w:r w:rsidRPr="003C147B">
        <w:rPr>
          <w:szCs w:val="20"/>
        </w:rPr>
        <w:t>Ingen revidering</w:t>
      </w:r>
    </w:p>
    <w:p w14:paraId="4D30D940" w14:textId="77777777" w:rsidR="003C147B" w:rsidRPr="00C34320" w:rsidRDefault="003C147B" w:rsidP="00C34320">
      <w:pPr>
        <w:pStyle w:val="Rubrik2"/>
        <w:ind w:right="-2"/>
      </w:pPr>
      <w:bookmarkStart w:id="2" w:name="_Toc501440348"/>
      <w:r w:rsidRPr="00C34320">
        <w:t xml:space="preserve">Bakgrund </w:t>
      </w:r>
      <w:bookmarkEnd w:id="2"/>
    </w:p>
    <w:p w14:paraId="660B5440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  <w:r w:rsidRPr="003C147B">
        <w:t>Optimal premedicinering för varje patient är av stor vikt som grund för den</w:t>
      </w:r>
      <w:r w:rsidRPr="003C147B">
        <w:br/>
        <w:t>postoperativa smärtlindringen. Cox 2-hämmare, som Etoricoxib, har där och perioperativt en viktig plats som komplement till eller ersättning för opioider.</w:t>
      </w:r>
    </w:p>
    <w:p w14:paraId="5BABF995" w14:textId="77777777" w:rsidR="003C147B" w:rsidRPr="00C34320" w:rsidRDefault="003C147B" w:rsidP="00C34320">
      <w:pPr>
        <w:pStyle w:val="Rubrik2"/>
        <w:ind w:right="-2"/>
      </w:pPr>
      <w:bookmarkStart w:id="3" w:name="_Toc501440350"/>
      <w:r w:rsidRPr="00C34320">
        <w:t xml:space="preserve">Syfte </w:t>
      </w:r>
      <w:bookmarkEnd w:id="3"/>
    </w:p>
    <w:p w14:paraId="6F92BD44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  <w:bookmarkStart w:id="4" w:name="_Toc501440351"/>
      <w:r w:rsidRPr="003C147B">
        <w:t>Skapa en grundrutin för hur Etoricoxib kan användas i premedicinering och perioperativt, implementering görs i ingreppsspecifika rutiner.</w:t>
      </w:r>
    </w:p>
    <w:bookmarkEnd w:id="4"/>
    <w:p w14:paraId="6B73C85F" w14:textId="77777777" w:rsidR="003C147B" w:rsidRPr="00C34320" w:rsidRDefault="003C147B" w:rsidP="00C34320">
      <w:pPr>
        <w:pStyle w:val="Rubrik2"/>
        <w:ind w:right="-2"/>
      </w:pPr>
      <w:r w:rsidRPr="00C34320">
        <w:t>Vilka berörs</w:t>
      </w:r>
    </w:p>
    <w:p w14:paraId="53DAC94A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  <w:r w:rsidRPr="003C147B">
        <w:t>Läkare och sjuksköterskor på AnOpIVA kliniken</w:t>
      </w:r>
    </w:p>
    <w:p w14:paraId="0B690190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</w:p>
    <w:p w14:paraId="566DB772" w14:textId="77777777" w:rsidR="003C147B" w:rsidRPr="00C34320" w:rsidRDefault="003C147B" w:rsidP="00C34320">
      <w:pPr>
        <w:pStyle w:val="Rubrik2"/>
        <w:ind w:right="-2"/>
      </w:pPr>
      <w:r w:rsidRPr="00C34320">
        <w:t>Rutin premedicinering</w:t>
      </w:r>
    </w:p>
    <w:p w14:paraId="4A236ADA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  <w:r w:rsidRPr="003C147B">
        <w:rPr>
          <w:b/>
          <w:szCs w:val="20"/>
        </w:rPr>
        <w:br/>
      </w:r>
      <w:r w:rsidRPr="003C147B">
        <w:t xml:space="preserve">Patienter </w:t>
      </w:r>
      <w:proofErr w:type="gramStart"/>
      <w:r w:rsidRPr="003C147B">
        <w:tab/>
        <w:t>&lt; 75</w:t>
      </w:r>
      <w:proofErr w:type="gramEnd"/>
      <w:r w:rsidRPr="003C147B">
        <w:t xml:space="preserve"> år:</w:t>
      </w:r>
      <w:r w:rsidRPr="003C147B">
        <w:tab/>
        <w:t>Etoricoxib 120 mg</w:t>
      </w:r>
      <w:r w:rsidRPr="003C147B">
        <w:rPr>
          <w:szCs w:val="20"/>
        </w:rPr>
        <w:t xml:space="preserve">                     </w:t>
      </w:r>
    </w:p>
    <w:p w14:paraId="4BC71040" w14:textId="77777777" w:rsidR="003C147B" w:rsidRPr="003C147B" w:rsidRDefault="003C147B" w:rsidP="00C34320">
      <w:pPr>
        <w:spacing w:after="0" w:line="240" w:lineRule="auto"/>
        <w:ind w:right="-2"/>
      </w:pPr>
      <w:r w:rsidRPr="003C147B">
        <w:rPr>
          <w:szCs w:val="20"/>
        </w:rPr>
        <w:t xml:space="preserve">                 </w:t>
      </w:r>
      <w:r w:rsidRPr="003C147B">
        <w:rPr>
          <w:szCs w:val="20"/>
        </w:rPr>
        <w:tab/>
      </w:r>
      <w:r w:rsidRPr="003C147B">
        <w:t>≥ 75 år:</w:t>
      </w:r>
      <w:r w:rsidRPr="003C147B">
        <w:tab/>
        <w:t>Etoricoxib 60 - 90 mg</w:t>
      </w:r>
    </w:p>
    <w:p w14:paraId="2EC74609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</w:p>
    <w:p w14:paraId="7E8D266E" w14:textId="1F04D9C1" w:rsidR="003C147B" w:rsidRDefault="003C147B" w:rsidP="00C34320">
      <w:pPr>
        <w:spacing w:after="0" w:line="240" w:lineRule="auto"/>
        <w:ind w:right="-2"/>
      </w:pPr>
      <w:r w:rsidRPr="003C147B">
        <w:t xml:space="preserve">Åldersgränserna ska ses som en riktlinje, och individuella bedömningar kan göras. Dygnsdosen bör dock inte överskrida 120 mg. Etoricoxib kan användas ensamt eller i kombination med opioid och/eller Paracetamol. Samma doser kan också användas för att förstärka postoperativ smärtlindring. Vid ingrepp där NSAID </w:t>
      </w:r>
      <w:r w:rsidRPr="003C147B">
        <w:lastRenderedPageBreak/>
        <w:t>ingår peroperativt, ex. LIA vid knäplastik, och när användning av Etoricoxib är aktuellt, måste rekommenderade doser reduceras.</w:t>
      </w:r>
    </w:p>
    <w:p w14:paraId="7CC5B7B0" w14:textId="77777777" w:rsidR="00C34320" w:rsidRPr="003C147B" w:rsidRDefault="00C34320" w:rsidP="00C34320">
      <w:pPr>
        <w:spacing w:after="0" w:line="240" w:lineRule="auto"/>
        <w:ind w:right="-2"/>
        <w:rPr>
          <w:rFonts w:ascii="Arial" w:hAnsi="Arial" w:cs="Arial"/>
          <w:b/>
          <w:bCs/>
          <w:iCs/>
          <w:sz w:val="28"/>
          <w:szCs w:val="28"/>
        </w:rPr>
      </w:pPr>
    </w:p>
    <w:p w14:paraId="080839D5" w14:textId="77777777" w:rsidR="003C147B" w:rsidRPr="00C34320" w:rsidRDefault="003C147B" w:rsidP="00C34320">
      <w:pPr>
        <w:pStyle w:val="Rubrik2"/>
        <w:ind w:right="-2"/>
      </w:pPr>
      <w:r w:rsidRPr="00C34320">
        <w:t xml:space="preserve">Kontraindikationer/försiktighet </w:t>
      </w:r>
    </w:p>
    <w:p w14:paraId="3E9F5B33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</w:p>
    <w:p w14:paraId="027A7D90" w14:textId="77777777" w:rsidR="003C147B" w:rsidRPr="003C147B" w:rsidRDefault="003C147B" w:rsidP="00C34320">
      <w:pPr>
        <w:pStyle w:val="Rubrik3"/>
        <w:ind w:right="-2"/>
      </w:pPr>
      <w:r w:rsidRPr="003C147B">
        <w:t>Allmänt</w:t>
      </w:r>
    </w:p>
    <w:p w14:paraId="302F9C1C" w14:textId="77777777" w:rsidR="003C147B" w:rsidRPr="003C147B" w:rsidRDefault="003C147B" w:rsidP="00C34320">
      <w:pPr>
        <w:spacing w:after="0" w:line="240" w:lineRule="auto"/>
        <w:ind w:right="-2"/>
      </w:pPr>
    </w:p>
    <w:p w14:paraId="2D84AAC1" w14:textId="77777777" w:rsidR="003C147B" w:rsidRPr="003C147B" w:rsidRDefault="003C147B" w:rsidP="00C34320">
      <w:pPr>
        <w:spacing w:after="0" w:line="240" w:lineRule="auto"/>
        <w:ind w:right="-2"/>
      </w:pPr>
      <w:r w:rsidRPr="003C147B">
        <w:t>Med smärre skillnader likartade med Cox 1 hämmare – se FASS.</w:t>
      </w:r>
      <w:r w:rsidRPr="003C147B">
        <w:br/>
        <w:t xml:space="preserve">Vid korttidsanvändning som vid premedicinering/dygnsbehandling har flera förbehåll ingen tyngd. Ska inte ges vid ålder </w:t>
      </w:r>
      <w:proofErr w:type="gramStart"/>
      <w:r w:rsidRPr="003C147B">
        <w:t>&lt; 16</w:t>
      </w:r>
      <w:proofErr w:type="gramEnd"/>
      <w:r w:rsidRPr="003C147B">
        <w:t xml:space="preserve"> år, och graviditet. Där peroralt intag inte kunnat göras finns intravenöst alternativ som Parecoxib (Dynastat®)</w:t>
      </w:r>
    </w:p>
    <w:p w14:paraId="55976AA8" w14:textId="77777777" w:rsidR="003C147B" w:rsidRPr="003C147B" w:rsidRDefault="003C147B" w:rsidP="00C34320">
      <w:pPr>
        <w:pStyle w:val="Rubrik3"/>
        <w:ind w:right="-2"/>
        <w:rPr>
          <w:rFonts w:ascii="Arial" w:hAnsi="Arial" w:cs="Arial"/>
          <w:szCs w:val="20"/>
        </w:rPr>
      </w:pPr>
      <w:r w:rsidRPr="003C147B">
        <w:br/>
      </w:r>
      <w:r w:rsidRPr="00C34320">
        <w:t>Njursvikt</w:t>
      </w:r>
    </w:p>
    <w:p w14:paraId="2CE37FE1" w14:textId="77777777" w:rsidR="003C147B" w:rsidRPr="003C147B" w:rsidRDefault="003C147B" w:rsidP="00C34320">
      <w:pPr>
        <w:spacing w:after="0" w:line="240" w:lineRule="auto"/>
        <w:ind w:right="-2"/>
      </w:pPr>
      <w:r w:rsidRPr="003C147B">
        <w:br/>
        <w:t xml:space="preserve">Försiktighet vid njursvikt. Vid </w:t>
      </w:r>
      <w:proofErr w:type="spellStart"/>
      <w:r w:rsidRPr="003C147B">
        <w:t>kreatininclearance</w:t>
      </w:r>
      <w:proofErr w:type="spellEnd"/>
      <w:r w:rsidRPr="003C147B">
        <w:t xml:space="preserve"> ≥ 30 ml/min behövs ingen dosreducering, men ska inte användas vid sämre värden.</w:t>
      </w:r>
      <w:r w:rsidRPr="003C147B">
        <w:br/>
      </w:r>
    </w:p>
    <w:p w14:paraId="2EADB434" w14:textId="77777777" w:rsidR="003C147B" w:rsidRPr="003C147B" w:rsidRDefault="003C147B" w:rsidP="00C34320">
      <w:pPr>
        <w:pStyle w:val="Rubrik3"/>
        <w:ind w:right="-2"/>
      </w:pPr>
      <w:r w:rsidRPr="003C147B">
        <w:t>Blödning</w:t>
      </w:r>
    </w:p>
    <w:p w14:paraId="58E70415" w14:textId="77777777" w:rsidR="003C147B" w:rsidRPr="003C147B" w:rsidRDefault="003C147B" w:rsidP="00C34320">
      <w:pPr>
        <w:spacing w:after="0" w:line="240" w:lineRule="auto"/>
        <w:ind w:right="-2"/>
      </w:pPr>
      <w:r w:rsidRPr="003C147B">
        <w:br/>
        <w:t>Cox 2 hämmare har ingen påverkan på trombocytfunktionen, och är inget hinder för ryggbedövning</w:t>
      </w:r>
    </w:p>
    <w:p w14:paraId="319487A0" w14:textId="77777777" w:rsidR="003C147B" w:rsidRPr="003C147B" w:rsidRDefault="003C147B" w:rsidP="00C34320">
      <w:pPr>
        <w:spacing w:after="0" w:line="240" w:lineRule="auto"/>
        <w:ind w:right="-2"/>
      </w:pPr>
    </w:p>
    <w:p w14:paraId="2A23D17B" w14:textId="77777777" w:rsidR="003C147B" w:rsidRPr="003C147B" w:rsidRDefault="003C147B" w:rsidP="00C34320">
      <w:pPr>
        <w:spacing w:after="0" w:line="240" w:lineRule="auto"/>
        <w:ind w:right="-2"/>
      </w:pPr>
    </w:p>
    <w:p w14:paraId="3B2812AE" w14:textId="75DFAE92" w:rsidR="003C147B" w:rsidRPr="00C34320" w:rsidRDefault="003C147B" w:rsidP="00C34320">
      <w:pPr>
        <w:pStyle w:val="Rubrik2"/>
        <w:ind w:right="-2"/>
      </w:pPr>
      <w:r w:rsidRPr="00C34320">
        <w:t>Referenser</w:t>
      </w:r>
    </w:p>
    <w:p w14:paraId="0B61837E" w14:textId="77777777" w:rsidR="003C147B" w:rsidRPr="003C147B" w:rsidRDefault="003C147B" w:rsidP="00C34320">
      <w:pPr>
        <w:spacing w:after="0" w:line="240" w:lineRule="auto"/>
        <w:ind w:right="-2"/>
        <w:rPr>
          <w:i/>
          <w:szCs w:val="20"/>
        </w:rPr>
      </w:pPr>
      <w:r w:rsidRPr="003C147B">
        <w:rPr>
          <w:szCs w:val="20"/>
        </w:rPr>
        <w:t>-FASS</w:t>
      </w:r>
      <w:r w:rsidRPr="003C147B">
        <w:rPr>
          <w:szCs w:val="20"/>
        </w:rPr>
        <w:br/>
        <w:t xml:space="preserve">- </w:t>
      </w:r>
      <w:proofErr w:type="spellStart"/>
      <w:r w:rsidRPr="003C147B">
        <w:rPr>
          <w:szCs w:val="20"/>
        </w:rPr>
        <w:t>Single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dose</w:t>
      </w:r>
      <w:proofErr w:type="spellEnd"/>
      <w:r w:rsidRPr="003C147B">
        <w:rPr>
          <w:szCs w:val="20"/>
        </w:rPr>
        <w:t xml:space="preserve"> oral </w:t>
      </w:r>
      <w:proofErr w:type="spellStart"/>
      <w:r w:rsidRPr="003C147B">
        <w:rPr>
          <w:szCs w:val="20"/>
        </w:rPr>
        <w:t>etoricoxib</w:t>
      </w:r>
      <w:proofErr w:type="spellEnd"/>
      <w:r w:rsidRPr="003C147B">
        <w:rPr>
          <w:szCs w:val="20"/>
        </w:rPr>
        <w:t xml:space="preserve"> for </w:t>
      </w:r>
      <w:proofErr w:type="spellStart"/>
      <w:r w:rsidRPr="003C147B">
        <w:rPr>
          <w:szCs w:val="20"/>
        </w:rPr>
        <w:t>acute</w:t>
      </w:r>
      <w:proofErr w:type="spellEnd"/>
      <w:r w:rsidRPr="003C147B">
        <w:rPr>
          <w:szCs w:val="20"/>
        </w:rPr>
        <w:t xml:space="preserve"> postoperative pain in </w:t>
      </w:r>
      <w:proofErr w:type="spellStart"/>
      <w:r w:rsidRPr="003C147B">
        <w:rPr>
          <w:szCs w:val="20"/>
        </w:rPr>
        <w:t>adults</w:t>
      </w:r>
      <w:proofErr w:type="spellEnd"/>
      <w:r w:rsidRPr="003C147B">
        <w:rPr>
          <w:szCs w:val="20"/>
        </w:rPr>
        <w:t xml:space="preserve">. </w:t>
      </w:r>
      <w:proofErr w:type="spellStart"/>
      <w:r w:rsidRPr="003C147B">
        <w:rPr>
          <w:i/>
          <w:szCs w:val="20"/>
        </w:rPr>
        <w:t>Cochrane</w:t>
      </w:r>
      <w:proofErr w:type="spellEnd"/>
      <w:r w:rsidRPr="003C147B">
        <w:rPr>
          <w:i/>
          <w:szCs w:val="20"/>
        </w:rPr>
        <w:t xml:space="preserve"> </w:t>
      </w:r>
      <w:proofErr w:type="spellStart"/>
      <w:r w:rsidRPr="003C147B">
        <w:rPr>
          <w:i/>
          <w:szCs w:val="20"/>
        </w:rPr>
        <w:t>Database</w:t>
      </w:r>
      <w:proofErr w:type="spellEnd"/>
      <w:r w:rsidRPr="003C147B">
        <w:rPr>
          <w:i/>
          <w:szCs w:val="20"/>
        </w:rPr>
        <w:t xml:space="preserve"> </w:t>
      </w:r>
      <w:proofErr w:type="spellStart"/>
      <w:r w:rsidRPr="003C147B">
        <w:rPr>
          <w:i/>
          <w:szCs w:val="20"/>
        </w:rPr>
        <w:t>Syst</w:t>
      </w:r>
      <w:proofErr w:type="spellEnd"/>
      <w:r w:rsidRPr="003C147B">
        <w:rPr>
          <w:i/>
          <w:szCs w:val="20"/>
        </w:rPr>
        <w:t xml:space="preserve"> Rev. 2014</w:t>
      </w:r>
      <w:r w:rsidRPr="003C147B">
        <w:rPr>
          <w:i/>
          <w:szCs w:val="20"/>
        </w:rPr>
        <w:br/>
        <w:t xml:space="preserve">   May;(5):CD004309</w:t>
      </w:r>
      <w:r w:rsidRPr="003C147B">
        <w:rPr>
          <w:i/>
          <w:szCs w:val="20"/>
        </w:rPr>
        <w:br/>
      </w:r>
      <w:r w:rsidRPr="003C147B">
        <w:rPr>
          <w:szCs w:val="20"/>
        </w:rPr>
        <w:t xml:space="preserve">- The </w:t>
      </w:r>
      <w:proofErr w:type="spellStart"/>
      <w:r w:rsidRPr="003C147B">
        <w:rPr>
          <w:szCs w:val="20"/>
        </w:rPr>
        <w:t>Influence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of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Etorcoxib</w:t>
      </w:r>
      <w:proofErr w:type="spellEnd"/>
      <w:r w:rsidRPr="003C147B">
        <w:rPr>
          <w:szCs w:val="20"/>
        </w:rPr>
        <w:t xml:space="preserve"> on Pain Control for </w:t>
      </w:r>
      <w:proofErr w:type="spellStart"/>
      <w:r w:rsidRPr="003C147B">
        <w:rPr>
          <w:szCs w:val="20"/>
        </w:rPr>
        <w:t>Laparoscopic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Cholecystectomy</w:t>
      </w:r>
      <w:proofErr w:type="spellEnd"/>
      <w:r w:rsidRPr="003C147B">
        <w:rPr>
          <w:szCs w:val="20"/>
        </w:rPr>
        <w:t>: A Meta-</w:t>
      </w:r>
      <w:proofErr w:type="spellStart"/>
      <w:r w:rsidRPr="003C147B">
        <w:rPr>
          <w:szCs w:val="20"/>
        </w:rPr>
        <w:t>analysis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of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Randomized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Controlled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Trials</w:t>
      </w:r>
      <w:proofErr w:type="spellEnd"/>
      <w:r w:rsidRPr="003C147B">
        <w:rPr>
          <w:szCs w:val="20"/>
        </w:rPr>
        <w:t xml:space="preserve">. </w:t>
      </w:r>
      <w:proofErr w:type="spellStart"/>
      <w:r w:rsidRPr="003C147B">
        <w:rPr>
          <w:i/>
          <w:szCs w:val="20"/>
        </w:rPr>
        <w:t>Surg</w:t>
      </w:r>
      <w:proofErr w:type="spellEnd"/>
      <w:r w:rsidRPr="003C147B">
        <w:rPr>
          <w:i/>
          <w:szCs w:val="20"/>
        </w:rPr>
        <w:t xml:space="preserve"> </w:t>
      </w:r>
      <w:proofErr w:type="spellStart"/>
      <w:r w:rsidRPr="003C147B">
        <w:rPr>
          <w:i/>
          <w:szCs w:val="20"/>
        </w:rPr>
        <w:t>laparosc</w:t>
      </w:r>
      <w:proofErr w:type="spellEnd"/>
      <w:r w:rsidRPr="003C147B">
        <w:rPr>
          <w:i/>
          <w:szCs w:val="20"/>
        </w:rPr>
        <w:t xml:space="preserve"> </w:t>
      </w:r>
      <w:proofErr w:type="spellStart"/>
      <w:r w:rsidRPr="003C147B">
        <w:rPr>
          <w:i/>
          <w:szCs w:val="20"/>
        </w:rPr>
        <w:t>percutan</w:t>
      </w:r>
      <w:proofErr w:type="spellEnd"/>
      <w:r w:rsidRPr="003C147B">
        <w:rPr>
          <w:i/>
          <w:szCs w:val="20"/>
        </w:rPr>
        <w:t xml:space="preserve"> Tech. 2019 </w:t>
      </w:r>
      <w:proofErr w:type="gramStart"/>
      <w:r w:rsidRPr="003C147B">
        <w:rPr>
          <w:i/>
          <w:szCs w:val="20"/>
        </w:rPr>
        <w:t>Jun</w:t>
      </w:r>
      <w:proofErr w:type="gramEnd"/>
      <w:r w:rsidRPr="003C147B">
        <w:rPr>
          <w:i/>
          <w:szCs w:val="20"/>
        </w:rPr>
        <w:t>;29(3):150-154</w:t>
      </w:r>
      <w:r w:rsidRPr="003C147B">
        <w:rPr>
          <w:szCs w:val="20"/>
        </w:rPr>
        <w:br/>
        <w:t xml:space="preserve">-  </w:t>
      </w:r>
      <w:proofErr w:type="spellStart"/>
      <w:r w:rsidRPr="003C147B">
        <w:rPr>
          <w:szCs w:val="20"/>
        </w:rPr>
        <w:t>Effects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of</w:t>
      </w:r>
      <w:proofErr w:type="spellEnd"/>
      <w:r w:rsidRPr="003C147B">
        <w:rPr>
          <w:szCs w:val="20"/>
        </w:rPr>
        <w:t xml:space="preserve"> preoperative </w:t>
      </w:r>
      <w:proofErr w:type="spellStart"/>
      <w:r w:rsidRPr="003C147B">
        <w:rPr>
          <w:szCs w:val="20"/>
        </w:rPr>
        <w:t>single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dose</w:t>
      </w:r>
      <w:proofErr w:type="spellEnd"/>
      <w:r w:rsidRPr="003C147B">
        <w:rPr>
          <w:szCs w:val="20"/>
        </w:rPr>
        <w:t xml:space="preserve"> Etoricoxib on postoperative pain and </w:t>
      </w:r>
      <w:proofErr w:type="spellStart"/>
      <w:r w:rsidRPr="003C147B">
        <w:rPr>
          <w:szCs w:val="20"/>
        </w:rPr>
        <w:t>sleep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after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lumbar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discectomy</w:t>
      </w:r>
      <w:proofErr w:type="spellEnd"/>
      <w:r w:rsidRPr="003C147B">
        <w:rPr>
          <w:szCs w:val="20"/>
        </w:rPr>
        <w:t xml:space="preserve">: </w:t>
      </w:r>
      <w:proofErr w:type="spellStart"/>
      <w:r w:rsidRPr="003C147B">
        <w:rPr>
          <w:szCs w:val="20"/>
        </w:rPr>
        <w:t>prospective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randomized</w:t>
      </w:r>
      <w:proofErr w:type="spellEnd"/>
      <w:r w:rsidRPr="003C147B">
        <w:rPr>
          <w:szCs w:val="20"/>
        </w:rPr>
        <w:t xml:space="preserve"> double blind </w:t>
      </w:r>
      <w:proofErr w:type="spellStart"/>
      <w:r w:rsidRPr="003C147B">
        <w:rPr>
          <w:szCs w:val="20"/>
        </w:rPr>
        <w:t>controlled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study</w:t>
      </w:r>
      <w:proofErr w:type="spellEnd"/>
      <w:r w:rsidRPr="003C147B">
        <w:rPr>
          <w:szCs w:val="20"/>
        </w:rPr>
        <w:t xml:space="preserve">. </w:t>
      </w:r>
      <w:proofErr w:type="spellStart"/>
      <w:r w:rsidRPr="003C147B">
        <w:rPr>
          <w:i/>
          <w:szCs w:val="20"/>
        </w:rPr>
        <w:t>Middle</w:t>
      </w:r>
      <w:proofErr w:type="spellEnd"/>
      <w:r w:rsidRPr="003C147B">
        <w:rPr>
          <w:i/>
          <w:szCs w:val="20"/>
        </w:rPr>
        <w:t xml:space="preserve"> </w:t>
      </w:r>
      <w:proofErr w:type="spellStart"/>
      <w:r w:rsidRPr="003C147B">
        <w:rPr>
          <w:i/>
          <w:szCs w:val="20"/>
        </w:rPr>
        <w:t>East</w:t>
      </w:r>
      <w:proofErr w:type="spellEnd"/>
      <w:r w:rsidRPr="003C147B">
        <w:rPr>
          <w:i/>
          <w:szCs w:val="20"/>
        </w:rPr>
        <w:t xml:space="preserve"> J </w:t>
      </w:r>
      <w:proofErr w:type="spellStart"/>
      <w:r w:rsidRPr="003C147B">
        <w:rPr>
          <w:i/>
          <w:szCs w:val="20"/>
        </w:rPr>
        <w:t>Anaesthesiol</w:t>
      </w:r>
      <w:proofErr w:type="spellEnd"/>
      <w:r w:rsidRPr="003C147B">
        <w:rPr>
          <w:i/>
          <w:szCs w:val="20"/>
        </w:rPr>
        <w:t>.</w:t>
      </w:r>
      <w:r w:rsidRPr="003C147B">
        <w:rPr>
          <w:i/>
          <w:szCs w:val="20"/>
        </w:rPr>
        <w:br/>
        <w:t xml:space="preserve">    2012 </w:t>
      </w:r>
      <w:proofErr w:type="gramStart"/>
      <w:r w:rsidRPr="003C147B">
        <w:rPr>
          <w:i/>
          <w:szCs w:val="20"/>
        </w:rPr>
        <w:t>Jun</w:t>
      </w:r>
      <w:proofErr w:type="gramEnd"/>
      <w:r w:rsidRPr="003C147B">
        <w:rPr>
          <w:i/>
          <w:szCs w:val="20"/>
        </w:rPr>
        <w:t>;21(5):725-30.</w:t>
      </w:r>
      <w:r w:rsidRPr="003C147B">
        <w:rPr>
          <w:i/>
          <w:szCs w:val="20"/>
        </w:rPr>
        <w:br/>
      </w:r>
      <w:r w:rsidRPr="003C147B">
        <w:rPr>
          <w:szCs w:val="20"/>
        </w:rPr>
        <w:t xml:space="preserve">-  Risk </w:t>
      </w:r>
      <w:proofErr w:type="spellStart"/>
      <w:r w:rsidRPr="003C147B">
        <w:rPr>
          <w:szCs w:val="20"/>
        </w:rPr>
        <w:t>of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perioperative</w:t>
      </w:r>
      <w:proofErr w:type="spellEnd"/>
      <w:r w:rsidRPr="003C147B">
        <w:rPr>
          <w:szCs w:val="20"/>
        </w:rPr>
        <w:t xml:space="preserve"> bleeding </w:t>
      </w:r>
      <w:proofErr w:type="spellStart"/>
      <w:r w:rsidRPr="003C147B">
        <w:rPr>
          <w:szCs w:val="20"/>
        </w:rPr>
        <w:t>related</w:t>
      </w:r>
      <w:proofErr w:type="spellEnd"/>
      <w:r w:rsidRPr="003C147B">
        <w:rPr>
          <w:szCs w:val="20"/>
        </w:rPr>
        <w:t xml:space="preserve"> to </w:t>
      </w:r>
      <w:proofErr w:type="spellStart"/>
      <w:r w:rsidRPr="003C147B">
        <w:rPr>
          <w:szCs w:val="20"/>
        </w:rPr>
        <w:t>highly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selective</w:t>
      </w:r>
      <w:proofErr w:type="spellEnd"/>
      <w:r w:rsidRPr="003C147B">
        <w:rPr>
          <w:szCs w:val="20"/>
        </w:rPr>
        <w:t xml:space="preserve"> cyclooxygenase-2 inhibitors: A </w:t>
      </w:r>
      <w:proofErr w:type="spellStart"/>
      <w:r w:rsidRPr="003C147B">
        <w:rPr>
          <w:szCs w:val="20"/>
        </w:rPr>
        <w:t>systematic</w:t>
      </w:r>
      <w:proofErr w:type="spellEnd"/>
      <w:r w:rsidRPr="003C147B">
        <w:rPr>
          <w:szCs w:val="20"/>
        </w:rPr>
        <w:t xml:space="preserve"> </w:t>
      </w:r>
      <w:proofErr w:type="spellStart"/>
      <w:r w:rsidRPr="003C147B">
        <w:rPr>
          <w:szCs w:val="20"/>
        </w:rPr>
        <w:t>review</w:t>
      </w:r>
      <w:proofErr w:type="spellEnd"/>
      <w:r w:rsidRPr="003C147B">
        <w:rPr>
          <w:szCs w:val="20"/>
        </w:rPr>
        <w:t xml:space="preserve"> and </w:t>
      </w:r>
      <w:proofErr w:type="spellStart"/>
      <w:r w:rsidRPr="003C147B">
        <w:rPr>
          <w:szCs w:val="20"/>
        </w:rPr>
        <w:t>metaanalysis</w:t>
      </w:r>
      <w:proofErr w:type="spellEnd"/>
      <w:r w:rsidRPr="003C147B">
        <w:rPr>
          <w:szCs w:val="20"/>
        </w:rPr>
        <w:t xml:space="preserve">. </w:t>
      </w:r>
      <w:r w:rsidRPr="003C147B">
        <w:rPr>
          <w:i/>
          <w:szCs w:val="20"/>
        </w:rPr>
        <w:t xml:space="preserve">Semin </w:t>
      </w:r>
      <w:proofErr w:type="spellStart"/>
      <w:r w:rsidRPr="003C147B">
        <w:rPr>
          <w:i/>
          <w:szCs w:val="20"/>
        </w:rPr>
        <w:t>Arthritis</w:t>
      </w:r>
      <w:proofErr w:type="spellEnd"/>
      <w:r w:rsidRPr="003C147B">
        <w:rPr>
          <w:i/>
          <w:szCs w:val="20"/>
        </w:rPr>
        <w:t xml:space="preserve"> </w:t>
      </w:r>
      <w:proofErr w:type="spellStart"/>
      <w:r w:rsidRPr="003C147B">
        <w:rPr>
          <w:i/>
          <w:szCs w:val="20"/>
        </w:rPr>
        <w:t>Rheum</w:t>
      </w:r>
      <w:proofErr w:type="spellEnd"/>
      <w:r w:rsidRPr="003C147B">
        <w:rPr>
          <w:i/>
          <w:szCs w:val="20"/>
        </w:rPr>
        <w:t>. 2017 feb;46(4):</w:t>
      </w:r>
      <w:proofErr w:type="gramStart"/>
      <w:r w:rsidRPr="003C147B">
        <w:rPr>
          <w:i/>
          <w:szCs w:val="20"/>
        </w:rPr>
        <w:t>520-528</w:t>
      </w:r>
      <w:proofErr w:type="gramEnd"/>
      <w:r w:rsidRPr="003C147B">
        <w:rPr>
          <w:i/>
          <w:szCs w:val="20"/>
        </w:rPr>
        <w:t>.</w:t>
      </w:r>
    </w:p>
    <w:p w14:paraId="36FE29ED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</w:p>
    <w:p w14:paraId="4F9B48EE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</w:p>
    <w:p w14:paraId="1349B884" w14:textId="77777777" w:rsidR="003C147B" w:rsidRPr="003C147B" w:rsidRDefault="003C147B" w:rsidP="00C34320">
      <w:pPr>
        <w:spacing w:after="0" w:line="240" w:lineRule="auto"/>
        <w:ind w:right="-2"/>
        <w:rPr>
          <w:szCs w:val="20"/>
        </w:rPr>
      </w:pPr>
    </w:p>
    <w:bookmarkEnd w:id="0"/>
    <w:p w14:paraId="76B9F95B" w14:textId="24513497" w:rsidR="00536A5A" w:rsidRPr="00536A5A" w:rsidRDefault="00536A5A" w:rsidP="00C34320">
      <w:pPr>
        <w:spacing w:after="0" w:line="240" w:lineRule="auto"/>
        <w:ind w:right="-2"/>
      </w:pPr>
    </w:p>
    <w:sectPr w:rsidR="00536A5A" w:rsidRPr="00536A5A" w:rsidSect="003C147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69B2B" w14:textId="77777777" w:rsidR="006626C1" w:rsidRDefault="006626C1">
      <w:r>
        <w:separator/>
      </w:r>
    </w:p>
  </w:endnote>
  <w:endnote w:type="continuationSeparator" w:id="0">
    <w:p w14:paraId="72606F60" w14:textId="77777777" w:rsidR="006626C1" w:rsidRDefault="006626C1">
      <w:r>
        <w:continuationSeparator/>
      </w:r>
    </w:p>
  </w:endnote>
  <w:endnote w:type="continuationNotice" w:id="1">
    <w:p w14:paraId="550B92D6" w14:textId="77777777" w:rsidR="006626C1" w:rsidRDefault="006626C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4FCD40" w14:textId="77777777" w:rsidR="006626C1" w:rsidRDefault="006626C1"/>
  </w:footnote>
  <w:footnote w:type="continuationSeparator" w:id="0">
    <w:p w14:paraId="79A75BF0" w14:textId="77777777" w:rsidR="006626C1" w:rsidRDefault="006626C1">
      <w:r>
        <w:continuationSeparator/>
      </w:r>
    </w:p>
  </w:footnote>
  <w:footnote w:type="continuationNotice" w:id="1">
    <w:p w14:paraId="3902520B" w14:textId="77777777" w:rsidR="006626C1" w:rsidRDefault="006626C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07774035">
    <w:abstractNumId w:val="17"/>
  </w:num>
  <w:num w:numId="2" w16cid:durableId="35085460">
    <w:abstractNumId w:val="14"/>
  </w:num>
  <w:num w:numId="3" w16cid:durableId="1414356441">
    <w:abstractNumId w:val="0"/>
  </w:num>
  <w:num w:numId="4" w16cid:durableId="1262564063">
    <w:abstractNumId w:val="6"/>
  </w:num>
  <w:num w:numId="5" w16cid:durableId="1336493610">
    <w:abstractNumId w:val="15"/>
  </w:num>
  <w:num w:numId="6" w16cid:durableId="457988484">
    <w:abstractNumId w:val="2"/>
  </w:num>
  <w:num w:numId="7" w16cid:durableId="759763271">
    <w:abstractNumId w:val="11"/>
  </w:num>
  <w:num w:numId="8" w16cid:durableId="908271971">
    <w:abstractNumId w:val="8"/>
  </w:num>
  <w:num w:numId="9" w16cid:durableId="911427338">
    <w:abstractNumId w:val="1"/>
  </w:num>
  <w:num w:numId="10" w16cid:durableId="1167943116">
    <w:abstractNumId w:val="1"/>
  </w:num>
  <w:num w:numId="11" w16cid:durableId="493691277">
    <w:abstractNumId w:val="3"/>
  </w:num>
  <w:num w:numId="12" w16cid:durableId="82579383">
    <w:abstractNumId w:val="4"/>
  </w:num>
  <w:num w:numId="13" w16cid:durableId="915406940">
    <w:abstractNumId w:val="13"/>
  </w:num>
  <w:num w:numId="14" w16cid:durableId="46881481">
    <w:abstractNumId w:val="9"/>
  </w:num>
  <w:num w:numId="15" w16cid:durableId="1582564447">
    <w:abstractNumId w:val="7"/>
  </w:num>
  <w:num w:numId="16" w16cid:durableId="1909731044">
    <w:abstractNumId w:val="12"/>
  </w:num>
  <w:num w:numId="17" w16cid:durableId="1737240446">
    <w:abstractNumId w:val="5"/>
  </w:num>
  <w:num w:numId="18" w16cid:durableId="559829275">
    <w:abstractNumId w:val="10"/>
  </w:num>
  <w:num w:numId="19" w16cid:durableId="11084273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47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6C1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432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387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Etoricoxib – grundrutin för premedicinering och perioperativt bruk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2022-05-23T03:32:00.0000000Z</dcterms:created>
  <dcterms:modified xsi:type="dcterms:W3CDTF">2023-10-17T11:11:00.0000000Z</dcterms:modified>
</coreProperties>
</file>