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4E3EAE" w14:textId="77777777" w:rsidR="00A40172" w:rsidRDefault="00A40172" w:rsidP="00F35B05">
      <w:pPr>
        <w:pStyle w:val="Rubrik2"/>
        <w:sectPr w:rsidR="00A40172" w:rsidSect="00A4017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A40172" w:rsidRPr="00A40172" w14:paraId="08D87E99" w14:textId="77777777" w:rsidTr="00A55882">
        <w:trPr>
          <w:cantSplit/>
          <w:trHeight w:val="570"/>
        </w:trPr>
        <w:tc>
          <w:tcPr>
            <w:tcW w:w="9039" w:type="dxa"/>
            <w:tcBorders>
              <w:bottom w:val="single" w:sz="8" w:space="0" w:color="auto"/>
            </w:tcBorders>
            <w:tcMar>
              <w:left w:w="0" w:type="dxa"/>
              <w:right w:w="0" w:type="dxa"/>
            </w:tcMar>
            <w:vAlign w:val="bottom"/>
          </w:tcPr>
          <w:p w14:paraId="03D476A6" w14:textId="1EB9E58D" w:rsidR="00A40172" w:rsidRPr="00A40172" w:rsidRDefault="00A40172" w:rsidP="00CE476F">
            <w:pPr>
              <w:pStyle w:val="Rubrik1"/>
            </w:pPr>
            <w:r w:rsidRPr="00A40172">
              <w:rPr>
                <w:noProof/>
              </w:rPr>
              <mc:AlternateContent>
                <mc:Choice Requires="wps">
                  <w:drawing>
                    <wp:anchor distT="0" distB="0" distL="114300" distR="114300" simplePos="0" relativeHeight="251659264" behindDoc="0" locked="0" layoutInCell="1" allowOverlap="1" wp14:anchorId="0A7643D7" wp14:editId="2B48B0F8">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154DBE" w14:textId="77777777" w:rsidR="00A40172" w:rsidRPr="003D37FD" w:rsidRDefault="00A40172" w:rsidP="00A4017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40600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A7643D7"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6154DBE" w14:textId="77777777" w:rsidR="00A40172" w:rsidRPr="003D37FD" w:rsidRDefault="00A40172" w:rsidP="00A4017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40600</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Start w:id="3" w:name="_Toc501440347"/>
            <w:bookmarkEnd w:id="1"/>
            <w:bookmarkEnd w:id="2"/>
            <w:r w:rsidRPr="00A40172">
              <w:t xml:space="preserve">Dexmedetomidin (Dexdor®) vid sedering på operation </w:t>
            </w:r>
            <w:bookmarkEnd w:id="3"/>
          </w:p>
        </w:tc>
      </w:tr>
    </w:tbl>
    <w:p w14:paraId="747D6136" w14:textId="77777777" w:rsidR="00A40172" w:rsidRPr="00A40172" w:rsidRDefault="00A40172" w:rsidP="00BC764A">
      <w:pPr>
        <w:pStyle w:val="Rubrik2"/>
      </w:pPr>
      <w:bookmarkStart w:id="4" w:name="_Toc501440348"/>
      <w:r w:rsidRPr="00A40172">
        <w:t>Revidering i denna version:</w:t>
      </w:r>
    </w:p>
    <w:p w14:paraId="09074636" w14:textId="77777777" w:rsidR="00A40172" w:rsidRPr="00A40172" w:rsidRDefault="00A40172" w:rsidP="00CE476F">
      <w:pPr>
        <w:spacing w:after="0" w:line="240" w:lineRule="auto"/>
        <w:ind w:right="0"/>
        <w:rPr>
          <w:szCs w:val="20"/>
        </w:rPr>
      </w:pPr>
      <w:r w:rsidRPr="00A40172">
        <w:rPr>
          <w:szCs w:val="20"/>
        </w:rPr>
        <w:t>Ingen revidering.</w:t>
      </w:r>
    </w:p>
    <w:p w14:paraId="771D472D" w14:textId="77777777" w:rsidR="00A40172" w:rsidRPr="00A40172" w:rsidRDefault="00A40172" w:rsidP="00CE476F">
      <w:pPr>
        <w:pStyle w:val="Rubrik2"/>
        <w:rPr>
          <w:rFonts w:ascii="Calibri" w:hAnsi="Calibri" w:cs="Arial"/>
          <w:b/>
          <w:bCs w:val="0"/>
          <w:iCs/>
          <w:sz w:val="32"/>
          <w:szCs w:val="32"/>
        </w:rPr>
      </w:pPr>
      <w:r w:rsidRPr="00CE476F">
        <w:t>Bakgrund</w:t>
      </w:r>
      <w:r w:rsidRPr="00A40172">
        <w:rPr>
          <w:rFonts w:ascii="Calibri" w:hAnsi="Calibri" w:cs="Arial"/>
          <w:b/>
          <w:iCs/>
          <w:sz w:val="32"/>
          <w:szCs w:val="32"/>
        </w:rPr>
        <w:t xml:space="preserve"> </w:t>
      </w:r>
      <w:bookmarkEnd w:id="4"/>
    </w:p>
    <w:p w14:paraId="39408714" w14:textId="77777777" w:rsidR="00A40172" w:rsidRPr="00A40172" w:rsidRDefault="00A40172" w:rsidP="00CE476F">
      <w:pPr>
        <w:spacing w:after="0" w:line="240" w:lineRule="auto"/>
        <w:ind w:right="0"/>
        <w:rPr>
          <w:rFonts w:ascii="Verdana" w:hAnsi="Verdana"/>
          <w:color w:val="000000"/>
          <w:sz w:val="18"/>
          <w:szCs w:val="18"/>
        </w:rPr>
      </w:pPr>
      <w:r w:rsidRPr="00A40172">
        <w:rPr>
          <w:color w:val="000000"/>
        </w:rPr>
        <w:t xml:space="preserve">Den aktiva substansen dexmedetomidin, är en selektiv alfa-2-receptoragonist. Den verkar genom att binda till receptorer i hjärnan, så kallade alfa-2-receptorer, och gör att aktiviteten i det sympatiska nervsystemet minskar. Det sympatiska nervsystemet medverkar till att kontrollera ångest och oro, vakenhet och sömn samt blodtryck och puls. Genom att minska aktiviteten i det sympatiska nervsystemet bidrar dexmedetomidin till att göra patienterna lugna och sömniga. dexmedetomidin används bl a kliniskt på IVA för att slippa söva ner patienter som ligger i respirator och som premedicinering nasalt på barn. Det finns flera studier som visar att dexmedetomidin också minskar risken för postoperativt delirium (POD) (1). Riskpatienter för POD är hög ålder, långvarig kirurgi, ortopedisk- och urologisk kirurgi, depression, demens, co-morbiditet och kognitiv nedsättning (2). Mer studier behövs för att ringa in vilka patienter som har störst nytta av dexmedetomidin. </w:t>
      </w:r>
    </w:p>
    <w:p w14:paraId="7B8ADC4F" w14:textId="6DE4DA52" w:rsidR="00A40172" w:rsidRPr="00CE476F" w:rsidRDefault="00A40172" w:rsidP="00CE476F">
      <w:pPr>
        <w:pStyle w:val="Rubrik2"/>
      </w:pPr>
      <w:bookmarkStart w:id="5" w:name="_Toc501440350"/>
      <w:r w:rsidRPr="00CE476F">
        <w:t xml:space="preserve">Syfte </w:t>
      </w:r>
      <w:bookmarkEnd w:id="5"/>
    </w:p>
    <w:p w14:paraId="1932BEEF" w14:textId="77777777" w:rsidR="00A40172" w:rsidRPr="00A40172" w:rsidRDefault="00A40172" w:rsidP="00CE476F">
      <w:pPr>
        <w:spacing w:after="0" w:line="240" w:lineRule="auto"/>
        <w:ind w:right="0"/>
        <w:rPr>
          <w:szCs w:val="20"/>
        </w:rPr>
      </w:pPr>
      <w:r w:rsidRPr="00A40172">
        <w:rPr>
          <w:szCs w:val="20"/>
        </w:rPr>
        <w:t>Att ha riktlinjer för användningen av dexmedetomidin vid sedering av patienter på operation.</w:t>
      </w:r>
    </w:p>
    <w:p w14:paraId="4AD39098" w14:textId="77777777" w:rsidR="00A40172" w:rsidRPr="00A40172" w:rsidRDefault="00A40172" w:rsidP="00CE476F">
      <w:pPr>
        <w:spacing w:after="0" w:line="240" w:lineRule="auto"/>
        <w:ind w:right="0"/>
        <w:rPr>
          <w:szCs w:val="20"/>
        </w:rPr>
      </w:pPr>
    </w:p>
    <w:p w14:paraId="315EF2C8" w14:textId="77777777" w:rsidR="00A40172" w:rsidRPr="00A40172" w:rsidRDefault="00A40172" w:rsidP="00CE476F">
      <w:pPr>
        <w:pStyle w:val="Rubrik2"/>
        <w:rPr>
          <w:rFonts w:ascii="Calibri" w:hAnsi="Calibri" w:cs="Calibri"/>
          <w:b/>
          <w:sz w:val="32"/>
          <w:szCs w:val="32"/>
        </w:rPr>
      </w:pPr>
      <w:r w:rsidRPr="00CE476F">
        <w:t>Vilka</w:t>
      </w:r>
      <w:r w:rsidRPr="00A40172">
        <w:rPr>
          <w:rFonts w:ascii="Calibri" w:hAnsi="Calibri" w:cs="Calibri"/>
          <w:b/>
          <w:sz w:val="32"/>
          <w:szCs w:val="32"/>
        </w:rPr>
        <w:t xml:space="preserve"> </w:t>
      </w:r>
      <w:r w:rsidRPr="00CE476F">
        <w:t>berörs</w:t>
      </w:r>
      <w:r w:rsidRPr="00A40172">
        <w:rPr>
          <w:rFonts w:ascii="Calibri" w:hAnsi="Calibri" w:cs="Calibri"/>
          <w:b/>
          <w:sz w:val="32"/>
          <w:szCs w:val="32"/>
        </w:rPr>
        <w:t xml:space="preserve"> </w:t>
      </w:r>
    </w:p>
    <w:p w14:paraId="2294BB26" w14:textId="77777777" w:rsidR="00A40172" w:rsidRPr="00A40172" w:rsidRDefault="00A40172" w:rsidP="00CE476F">
      <w:pPr>
        <w:spacing w:after="0" w:line="240" w:lineRule="auto"/>
        <w:ind w:right="0"/>
        <w:rPr>
          <w:szCs w:val="20"/>
        </w:rPr>
      </w:pPr>
      <w:r w:rsidRPr="00A40172">
        <w:rPr>
          <w:szCs w:val="20"/>
        </w:rPr>
        <w:t>Narkosläkare, narkossköterskor och sjuksköterskor på operationsavdelningen och UVA, NÄL.</w:t>
      </w:r>
    </w:p>
    <w:p w14:paraId="3EDC6823" w14:textId="77777777" w:rsidR="00A40172" w:rsidRPr="00A40172" w:rsidRDefault="00A40172" w:rsidP="00CE476F">
      <w:pPr>
        <w:spacing w:after="0" w:line="240" w:lineRule="auto"/>
        <w:ind w:right="0"/>
        <w:rPr>
          <w:szCs w:val="20"/>
        </w:rPr>
      </w:pPr>
    </w:p>
    <w:p w14:paraId="2893DD8F" w14:textId="77777777" w:rsidR="00A40172" w:rsidRPr="00A40172" w:rsidRDefault="00A40172" w:rsidP="00CE476F">
      <w:pPr>
        <w:pStyle w:val="Rubrik2"/>
        <w:rPr>
          <w:rFonts w:ascii="Calibri" w:hAnsi="Calibri"/>
          <w:b/>
          <w:sz w:val="28"/>
          <w:szCs w:val="28"/>
        </w:rPr>
      </w:pPr>
      <w:r w:rsidRPr="00CE476F">
        <w:lastRenderedPageBreak/>
        <w:t>Indikation</w:t>
      </w:r>
    </w:p>
    <w:p w14:paraId="4BA77E6E" w14:textId="77777777" w:rsidR="00A40172" w:rsidRPr="00A40172" w:rsidRDefault="00A40172" w:rsidP="00CE476F">
      <w:pPr>
        <w:spacing w:after="0" w:line="240" w:lineRule="auto"/>
        <w:ind w:right="0"/>
      </w:pPr>
      <w:r w:rsidRPr="00A40172">
        <w:t>Per- och postoperativ sedering av patienter med risk för POD. Skall inte användas tillsammans med propofolsedering.</w:t>
      </w:r>
    </w:p>
    <w:p w14:paraId="73AA26BD" w14:textId="77777777" w:rsidR="00A40172" w:rsidRPr="00A40172" w:rsidRDefault="00A40172" w:rsidP="00CE476F">
      <w:pPr>
        <w:spacing w:after="0" w:line="240" w:lineRule="auto"/>
        <w:ind w:right="0"/>
      </w:pPr>
    </w:p>
    <w:p w14:paraId="619D0643" w14:textId="77777777" w:rsidR="00A40172" w:rsidRPr="00A40172" w:rsidRDefault="00A40172" w:rsidP="00CE476F">
      <w:pPr>
        <w:pStyle w:val="Rubrik2"/>
        <w:rPr>
          <w:rFonts w:ascii="Calibri" w:hAnsi="Calibri"/>
          <w:b/>
          <w:sz w:val="28"/>
          <w:szCs w:val="28"/>
        </w:rPr>
      </w:pPr>
      <w:r w:rsidRPr="00CE476F">
        <w:t>Kontraindikation</w:t>
      </w:r>
    </w:p>
    <w:p w14:paraId="60061DDE" w14:textId="77777777" w:rsidR="00A40172" w:rsidRPr="00A40172" w:rsidRDefault="00A40172" w:rsidP="00CE476F">
      <w:pPr>
        <w:numPr>
          <w:ilvl w:val="0"/>
          <w:numId w:val="20"/>
        </w:numPr>
        <w:spacing w:after="0" w:line="240" w:lineRule="auto"/>
        <w:ind w:left="1418" w:right="0"/>
      </w:pPr>
      <w:r w:rsidRPr="00A40172">
        <w:t>AV-block II och III</w:t>
      </w:r>
    </w:p>
    <w:p w14:paraId="65B4AC35" w14:textId="77777777" w:rsidR="00A40172" w:rsidRPr="00A40172" w:rsidRDefault="00A40172" w:rsidP="00CE476F">
      <w:pPr>
        <w:numPr>
          <w:ilvl w:val="0"/>
          <w:numId w:val="20"/>
        </w:numPr>
        <w:spacing w:after="0" w:line="240" w:lineRule="auto"/>
        <w:ind w:left="1418" w:right="0"/>
      </w:pPr>
      <w:r w:rsidRPr="00A40172">
        <w:t>Graviditet</w:t>
      </w:r>
    </w:p>
    <w:p w14:paraId="5F3F4FEF" w14:textId="77777777" w:rsidR="00A40172" w:rsidRPr="00A40172" w:rsidRDefault="00A40172" w:rsidP="00CE476F">
      <w:pPr>
        <w:numPr>
          <w:ilvl w:val="0"/>
          <w:numId w:val="20"/>
        </w:numPr>
        <w:spacing w:after="0" w:line="240" w:lineRule="auto"/>
        <w:ind w:left="1418" w:right="0"/>
      </w:pPr>
      <w:r w:rsidRPr="00A40172">
        <w:t>Hypovolemi</w:t>
      </w:r>
    </w:p>
    <w:p w14:paraId="1AEA6622" w14:textId="77777777" w:rsidR="00A40172" w:rsidRPr="00A40172" w:rsidRDefault="00A40172" w:rsidP="00CE476F">
      <w:pPr>
        <w:spacing w:after="0" w:line="240" w:lineRule="auto"/>
        <w:ind w:right="0"/>
        <w:rPr>
          <w:rFonts w:ascii="Calibri" w:hAnsi="Calibri"/>
          <w:b/>
          <w:sz w:val="28"/>
          <w:szCs w:val="28"/>
        </w:rPr>
      </w:pPr>
    </w:p>
    <w:p w14:paraId="2D5CE5D1" w14:textId="77777777" w:rsidR="00A40172" w:rsidRPr="00A40172" w:rsidRDefault="00A40172" w:rsidP="00CE476F">
      <w:pPr>
        <w:pStyle w:val="Rubrik2"/>
        <w:rPr>
          <w:rFonts w:ascii="Calibri" w:hAnsi="Calibri"/>
          <w:b/>
          <w:sz w:val="28"/>
          <w:szCs w:val="28"/>
        </w:rPr>
      </w:pPr>
      <w:r w:rsidRPr="00CE476F">
        <w:t>Biverkningar</w:t>
      </w:r>
    </w:p>
    <w:p w14:paraId="5FE956FE" w14:textId="77777777" w:rsidR="00A40172" w:rsidRPr="00A40172" w:rsidRDefault="00A40172" w:rsidP="00CE476F">
      <w:pPr>
        <w:spacing w:after="0" w:line="240" w:lineRule="auto"/>
        <w:ind w:right="0"/>
        <w:rPr>
          <w:szCs w:val="20"/>
        </w:rPr>
      </w:pPr>
      <w:r w:rsidRPr="00A40172">
        <w:rPr>
          <w:szCs w:val="20"/>
        </w:rPr>
        <w:t>Dosrelaterade biverkningar. Ovanliga om man undviker bolus och håller sig till de låga infusionsdoserna nedan.</w:t>
      </w:r>
    </w:p>
    <w:p w14:paraId="2C0DDB54" w14:textId="77777777" w:rsidR="00945D05" w:rsidRDefault="00A40172" w:rsidP="00B229C9">
      <w:pPr>
        <w:spacing w:after="0" w:line="240" w:lineRule="auto"/>
        <w:ind w:left="1418" w:right="0" w:hanging="142"/>
        <w:rPr>
          <w:szCs w:val="20"/>
        </w:rPr>
      </w:pPr>
      <w:r w:rsidRPr="00A40172">
        <w:rPr>
          <w:szCs w:val="20"/>
        </w:rPr>
        <w:t xml:space="preserve">-Bradykardi och sinusarrest vid snabb injektion och särskilt hos yngre </w:t>
      </w:r>
    </w:p>
    <w:p w14:paraId="15BB46D6" w14:textId="2AA3ECC6" w:rsidR="00A40172" w:rsidRPr="00A40172" w:rsidRDefault="00945D05" w:rsidP="00B229C9">
      <w:pPr>
        <w:spacing w:after="0" w:line="240" w:lineRule="auto"/>
        <w:ind w:left="1418" w:right="0" w:hanging="142"/>
        <w:rPr>
          <w:szCs w:val="20"/>
        </w:rPr>
      </w:pPr>
      <w:r>
        <w:rPr>
          <w:szCs w:val="20"/>
        </w:rPr>
        <w:t xml:space="preserve"> </w:t>
      </w:r>
      <w:r w:rsidR="00A40172" w:rsidRPr="00A40172">
        <w:rPr>
          <w:szCs w:val="20"/>
        </w:rPr>
        <w:t>vagotona patienter.</w:t>
      </w:r>
    </w:p>
    <w:p w14:paraId="4C993D2F" w14:textId="379DF11B" w:rsidR="00A40172" w:rsidRPr="00A40172" w:rsidRDefault="00A40172" w:rsidP="002E6BE2">
      <w:pPr>
        <w:spacing w:after="0" w:line="240" w:lineRule="auto"/>
        <w:ind w:left="1304" w:right="0"/>
        <w:rPr>
          <w:szCs w:val="20"/>
        </w:rPr>
      </w:pPr>
      <w:r w:rsidRPr="00A40172">
        <w:rPr>
          <w:szCs w:val="20"/>
        </w:rPr>
        <w:t>-Hypotension och bradykardi. Särskilt hos patienter med hypovolemi, diabetes</w:t>
      </w:r>
      <w:r w:rsidR="00945D05">
        <w:rPr>
          <w:szCs w:val="20"/>
        </w:rPr>
        <w:t xml:space="preserve">,   </w:t>
      </w:r>
      <w:r w:rsidRPr="00A40172">
        <w:rPr>
          <w:szCs w:val="20"/>
        </w:rPr>
        <w:t>kronisk hypertension och äldre</w:t>
      </w:r>
    </w:p>
    <w:p w14:paraId="2DCD0BD1" w14:textId="459C162D" w:rsidR="00A40172" w:rsidRPr="00A40172" w:rsidRDefault="00B229C9" w:rsidP="002E6BE2">
      <w:pPr>
        <w:spacing w:after="0" w:line="240" w:lineRule="auto"/>
        <w:ind w:left="1134" w:right="0"/>
        <w:rPr>
          <w:szCs w:val="20"/>
        </w:rPr>
      </w:pPr>
      <w:r>
        <w:rPr>
          <w:szCs w:val="20"/>
        </w:rPr>
        <w:t xml:space="preserve">  </w:t>
      </w:r>
      <w:r w:rsidR="00A40172" w:rsidRPr="00A40172">
        <w:rPr>
          <w:szCs w:val="20"/>
        </w:rPr>
        <w:t>-Samtidig tillförsel av vasodilatatorer kan resultera i hypotension.</w:t>
      </w:r>
    </w:p>
    <w:p w14:paraId="2E4B1F4D" w14:textId="77777777" w:rsidR="00A40172" w:rsidRPr="00A40172" w:rsidRDefault="00A40172" w:rsidP="002E6BE2">
      <w:pPr>
        <w:spacing w:after="0" w:line="240" w:lineRule="auto"/>
        <w:ind w:left="1304" w:right="0"/>
        <w:rPr>
          <w:szCs w:val="20"/>
        </w:rPr>
      </w:pPr>
      <w:r w:rsidRPr="00A40172">
        <w:rPr>
          <w:szCs w:val="20"/>
        </w:rPr>
        <w:t>-Plötsligt uppvaknande och oro vid stimulering. Dexdor har ingen smärtstillande effekt utan kan mer liknas vid vanlig sömn.</w:t>
      </w:r>
    </w:p>
    <w:p w14:paraId="12FCA6AA" w14:textId="77777777" w:rsidR="00A40172" w:rsidRPr="00A40172" w:rsidRDefault="00A40172" w:rsidP="00CE476F">
      <w:pPr>
        <w:spacing w:after="0" w:line="240" w:lineRule="auto"/>
        <w:ind w:right="0"/>
        <w:rPr>
          <w:szCs w:val="20"/>
        </w:rPr>
      </w:pPr>
    </w:p>
    <w:p w14:paraId="01928B7F" w14:textId="77777777" w:rsidR="00A40172" w:rsidRPr="00A40172" w:rsidRDefault="00A40172" w:rsidP="00CE476F">
      <w:pPr>
        <w:pStyle w:val="Rubrik2"/>
        <w:rPr>
          <w:rFonts w:ascii="Calibri" w:hAnsi="Calibri"/>
          <w:b/>
          <w:sz w:val="28"/>
          <w:szCs w:val="28"/>
        </w:rPr>
      </w:pPr>
      <w:r w:rsidRPr="00CE476F">
        <w:t>Dosering</w:t>
      </w:r>
    </w:p>
    <w:p w14:paraId="6DFE4267" w14:textId="77777777" w:rsidR="00A40172" w:rsidRPr="00A40172" w:rsidRDefault="00A40172" w:rsidP="00CE476F">
      <w:pPr>
        <w:autoSpaceDE w:val="0"/>
        <w:autoSpaceDN w:val="0"/>
        <w:adjustRightInd w:val="0"/>
        <w:spacing w:after="0" w:line="240" w:lineRule="auto"/>
        <w:ind w:right="0"/>
        <w:rPr>
          <w:rFonts w:ascii="MS Shell Dlg 2" w:hAnsi="MS Shell Dlg 2" w:cs="MS Shell Dlg 2"/>
          <w:sz w:val="16"/>
          <w:szCs w:val="16"/>
        </w:rPr>
      </w:pPr>
      <w:r w:rsidRPr="00A40172">
        <w:rPr>
          <w:rFonts w:ascii="Calibri" w:hAnsi="Calibri"/>
        </w:rPr>
        <w:t>Ingen bolus. Börja med en infusion på 0,4</w:t>
      </w:r>
      <w:r w:rsidRPr="00A40172">
        <w:t xml:space="preserve"> µg</w:t>
      </w:r>
      <w:r w:rsidRPr="00A40172">
        <w:rPr>
          <w:rFonts w:ascii="Calibri" w:hAnsi="Calibri"/>
        </w:rPr>
        <w:t xml:space="preserve">/kg/h, doseringsintervall 0,4-0,8 </w:t>
      </w:r>
      <w:r w:rsidRPr="00A40172">
        <w:t>µg</w:t>
      </w:r>
    </w:p>
    <w:p w14:paraId="4E465D42" w14:textId="77777777" w:rsidR="00A40172" w:rsidRPr="00A40172" w:rsidRDefault="00A40172" w:rsidP="00CE476F">
      <w:pPr>
        <w:autoSpaceDE w:val="0"/>
        <w:autoSpaceDN w:val="0"/>
        <w:adjustRightInd w:val="0"/>
        <w:spacing w:after="0" w:line="240" w:lineRule="auto"/>
        <w:ind w:right="0"/>
        <w:rPr>
          <w:rFonts w:ascii="Calibri" w:hAnsi="Calibri"/>
        </w:rPr>
      </w:pPr>
      <w:r w:rsidRPr="00A40172">
        <w:rPr>
          <w:rFonts w:ascii="Calibri" w:hAnsi="Calibri"/>
        </w:rPr>
        <w:t>/kg/h. Koppla infusionen direkt när patienten kommer till op. Långsamt insättande effekt. Fortsatt infusion under operation och på UVA, där det sätts ut efter 1-2 h.</w:t>
      </w:r>
    </w:p>
    <w:p w14:paraId="7C748B4F" w14:textId="77777777" w:rsidR="00A40172" w:rsidRPr="00A40172" w:rsidRDefault="00A40172" w:rsidP="00CE476F">
      <w:pPr>
        <w:autoSpaceDE w:val="0"/>
        <w:autoSpaceDN w:val="0"/>
        <w:adjustRightInd w:val="0"/>
        <w:spacing w:after="0" w:line="240" w:lineRule="auto"/>
        <w:ind w:right="0"/>
        <w:rPr>
          <w:rFonts w:ascii="Calibri" w:hAnsi="Calibri"/>
          <w:sz w:val="16"/>
          <w:szCs w:val="16"/>
        </w:rPr>
      </w:pPr>
    </w:p>
    <w:p w14:paraId="1E1149D7" w14:textId="77777777" w:rsidR="00A40172" w:rsidRPr="00A40172" w:rsidRDefault="00A40172" w:rsidP="00CE476F">
      <w:pPr>
        <w:autoSpaceDE w:val="0"/>
        <w:autoSpaceDN w:val="0"/>
        <w:adjustRightInd w:val="0"/>
        <w:spacing w:after="0" w:line="240" w:lineRule="auto"/>
        <w:ind w:right="0"/>
        <w:rPr>
          <w:rFonts w:ascii="Calibri" w:hAnsi="Calibri"/>
        </w:rPr>
      </w:pPr>
      <w:r w:rsidRPr="00A40172">
        <w:rPr>
          <w:rFonts w:ascii="Calibri" w:hAnsi="Calibri"/>
          <w:b/>
        </w:rPr>
        <w:t>För sprutpump</w:t>
      </w:r>
      <w:r w:rsidRPr="00A40172">
        <w:rPr>
          <w:rFonts w:ascii="Calibri" w:hAnsi="Calibri"/>
        </w:rPr>
        <w:t xml:space="preserve">: </w:t>
      </w:r>
      <w:r w:rsidRPr="00A40172">
        <w:t>dexmedetomidin får inte ges outspätt. 2 ml dexmedetomidin (100 µg/ml) späds med 23 ml NaCl 9 mg/ml. Blandningens koncentration blir då 8 µg/ml.</w:t>
      </w:r>
      <w:r w:rsidRPr="00A40172">
        <w:rPr>
          <w:rFonts w:ascii="Calibri" w:hAnsi="Calibri"/>
        </w:rPr>
        <w:t xml:space="preserve">          </w:t>
      </w:r>
    </w:p>
    <w:p w14:paraId="184A8590" w14:textId="77777777" w:rsidR="00A40172" w:rsidRPr="00A40172" w:rsidRDefault="00A40172" w:rsidP="00CE476F">
      <w:pPr>
        <w:autoSpaceDE w:val="0"/>
        <w:autoSpaceDN w:val="0"/>
        <w:adjustRightInd w:val="0"/>
        <w:spacing w:after="0" w:line="240" w:lineRule="auto"/>
        <w:ind w:right="0"/>
        <w:rPr>
          <w:rFonts w:ascii="MS Shell Dlg 2" w:hAnsi="MS Shell Dlg 2" w:cs="MS Shell Dlg 2"/>
          <w:sz w:val="16"/>
          <w:szCs w:val="16"/>
        </w:rPr>
      </w:pPr>
      <w:r w:rsidRPr="00A40172">
        <w:rPr>
          <w:rFonts w:ascii="Calibri" w:hAnsi="Calibri"/>
        </w:rPr>
        <w:t xml:space="preserve">                                                                                                                                                     </w:t>
      </w:r>
    </w:p>
    <w:p w14:paraId="7DF2B196" w14:textId="3807E674" w:rsidR="00A40172" w:rsidRPr="00A40172" w:rsidRDefault="00A40172" w:rsidP="00CE476F">
      <w:pPr>
        <w:autoSpaceDE w:val="0"/>
        <w:autoSpaceDN w:val="0"/>
        <w:adjustRightInd w:val="0"/>
        <w:spacing w:after="0" w:line="240" w:lineRule="auto"/>
        <w:ind w:right="0"/>
      </w:pPr>
      <w:r w:rsidRPr="00A40172">
        <w:t>dexmedetomidin</w:t>
      </w:r>
      <w:r w:rsidRPr="00A40172">
        <w:rPr>
          <w:sz w:val="26"/>
          <w:szCs w:val="26"/>
        </w:rPr>
        <w:t xml:space="preserve"> </w:t>
      </w:r>
      <w:r w:rsidRPr="00A40172">
        <w:t>(8µg/ml) underhållsinfusion (ml/h) efter vikt</w:t>
      </w:r>
    </w:p>
    <w:p w14:paraId="6293C43F" w14:textId="77777777" w:rsidR="00A40172" w:rsidRPr="00A40172" w:rsidRDefault="00A40172" w:rsidP="00A40172">
      <w:pPr>
        <w:autoSpaceDE w:val="0"/>
        <w:autoSpaceDN w:val="0"/>
        <w:adjustRightInd w:val="0"/>
        <w:spacing w:after="0" w:line="240" w:lineRule="auto"/>
        <w:ind w:left="0" w:right="0"/>
      </w:pPr>
    </w:p>
    <w:p w14:paraId="59DC8F5C" w14:textId="77777777" w:rsidR="00A40172" w:rsidRPr="00A40172" w:rsidRDefault="00A40172" w:rsidP="00A40172">
      <w:pPr>
        <w:autoSpaceDE w:val="0"/>
        <w:autoSpaceDN w:val="0"/>
        <w:adjustRightInd w:val="0"/>
        <w:spacing w:after="0" w:line="240" w:lineRule="auto"/>
        <w:ind w:left="0" w:right="0"/>
        <w:rPr>
          <w:sz w:val="16"/>
          <w:szCs w:val="16"/>
        </w:rPr>
      </w:pPr>
    </w:p>
    <w:tbl>
      <w:tblPr>
        <w:tblW w:w="8396" w:type="dxa"/>
        <w:tblInd w:w="70" w:type="dxa"/>
        <w:tblCellMar>
          <w:left w:w="70" w:type="dxa"/>
          <w:right w:w="70" w:type="dxa"/>
        </w:tblCellMar>
        <w:tblLook w:val="04A0" w:firstRow="1" w:lastRow="0" w:firstColumn="1" w:lastColumn="0" w:noHBand="0" w:noVBand="1"/>
      </w:tblPr>
      <w:tblGrid>
        <w:gridCol w:w="1083"/>
        <w:gridCol w:w="700"/>
        <w:gridCol w:w="700"/>
        <w:gridCol w:w="699"/>
        <w:gridCol w:w="699"/>
        <w:gridCol w:w="699"/>
        <w:gridCol w:w="953"/>
        <w:gridCol w:w="953"/>
        <w:gridCol w:w="953"/>
        <w:gridCol w:w="957"/>
      </w:tblGrid>
      <w:tr w:rsidR="00A40172" w:rsidRPr="00A40172" w14:paraId="61F89252" w14:textId="77777777" w:rsidTr="00A55882">
        <w:trPr>
          <w:trHeight w:val="351"/>
        </w:trPr>
        <w:tc>
          <w:tcPr>
            <w:tcW w:w="1083" w:type="dxa"/>
            <w:tcBorders>
              <w:top w:val="nil"/>
              <w:left w:val="nil"/>
              <w:bottom w:val="nil"/>
              <w:right w:val="nil"/>
            </w:tcBorders>
            <w:shd w:val="clear" w:color="auto" w:fill="auto"/>
            <w:noWrap/>
            <w:vAlign w:val="bottom"/>
            <w:hideMark/>
          </w:tcPr>
          <w:p w14:paraId="7D749A87" w14:textId="77777777" w:rsidR="00A40172" w:rsidRPr="00A40172" w:rsidRDefault="00A40172" w:rsidP="00A40172">
            <w:pPr>
              <w:spacing w:after="0" w:line="240" w:lineRule="auto"/>
              <w:ind w:left="0" w:right="0"/>
              <w:rPr>
                <w:sz w:val="20"/>
              </w:rPr>
            </w:pPr>
          </w:p>
        </w:tc>
        <w:tc>
          <w:tcPr>
            <w:tcW w:w="7313"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D5932A3" w14:textId="77777777" w:rsidR="00A40172" w:rsidRPr="00A40172" w:rsidRDefault="00A40172" w:rsidP="00A40172">
            <w:pPr>
              <w:spacing w:after="0" w:line="240" w:lineRule="auto"/>
              <w:ind w:left="0" w:right="0"/>
              <w:rPr>
                <w:rFonts w:ascii="Calibri" w:hAnsi="Calibri"/>
                <w:color w:val="000000"/>
                <w:sz w:val="22"/>
                <w:szCs w:val="22"/>
              </w:rPr>
            </w:pPr>
            <w:r w:rsidRPr="00A40172">
              <w:rPr>
                <w:rFonts w:ascii="Calibri" w:hAnsi="Calibri"/>
                <w:color w:val="000000"/>
                <w:sz w:val="22"/>
                <w:szCs w:val="22"/>
              </w:rPr>
              <w:t xml:space="preserve">                                                     Kroppsvikt (kg)</w:t>
            </w:r>
          </w:p>
        </w:tc>
      </w:tr>
      <w:tr w:rsidR="00A40172" w:rsidRPr="00A40172" w14:paraId="5FD00F29" w14:textId="77777777" w:rsidTr="00A55882">
        <w:trPr>
          <w:trHeight w:val="351"/>
        </w:trPr>
        <w:tc>
          <w:tcPr>
            <w:tcW w:w="10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123E6A" w14:textId="77777777" w:rsidR="00A40172" w:rsidRPr="00A40172" w:rsidRDefault="00A40172" w:rsidP="00A40172">
            <w:pPr>
              <w:spacing w:after="0" w:line="240" w:lineRule="auto"/>
              <w:ind w:left="0" w:right="0"/>
              <w:rPr>
                <w:rFonts w:ascii="Calibri" w:hAnsi="Calibri"/>
                <w:color w:val="000000"/>
                <w:sz w:val="22"/>
                <w:szCs w:val="22"/>
              </w:rPr>
            </w:pPr>
            <w:r w:rsidRPr="00A40172">
              <w:rPr>
                <w:rFonts w:ascii="Calibri" w:hAnsi="Calibri"/>
                <w:color w:val="000000"/>
                <w:sz w:val="22"/>
                <w:szCs w:val="22"/>
              </w:rPr>
              <w:t>Dos (µg/kg/h)</w:t>
            </w:r>
          </w:p>
        </w:tc>
        <w:tc>
          <w:tcPr>
            <w:tcW w:w="700" w:type="dxa"/>
            <w:tcBorders>
              <w:top w:val="nil"/>
              <w:left w:val="nil"/>
              <w:bottom w:val="single" w:sz="4" w:space="0" w:color="auto"/>
              <w:right w:val="single" w:sz="4" w:space="0" w:color="auto"/>
            </w:tcBorders>
            <w:shd w:val="clear" w:color="auto" w:fill="auto"/>
            <w:noWrap/>
            <w:vAlign w:val="bottom"/>
            <w:hideMark/>
          </w:tcPr>
          <w:p w14:paraId="0EF12E32"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40</w:t>
            </w:r>
          </w:p>
        </w:tc>
        <w:tc>
          <w:tcPr>
            <w:tcW w:w="700" w:type="dxa"/>
            <w:tcBorders>
              <w:top w:val="nil"/>
              <w:left w:val="nil"/>
              <w:bottom w:val="single" w:sz="4" w:space="0" w:color="auto"/>
              <w:right w:val="single" w:sz="4" w:space="0" w:color="auto"/>
            </w:tcBorders>
            <w:shd w:val="clear" w:color="auto" w:fill="auto"/>
            <w:noWrap/>
            <w:vAlign w:val="bottom"/>
            <w:hideMark/>
          </w:tcPr>
          <w:p w14:paraId="5585E4CB"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50</w:t>
            </w:r>
          </w:p>
        </w:tc>
        <w:tc>
          <w:tcPr>
            <w:tcW w:w="699" w:type="dxa"/>
            <w:tcBorders>
              <w:top w:val="nil"/>
              <w:left w:val="nil"/>
              <w:bottom w:val="single" w:sz="4" w:space="0" w:color="auto"/>
              <w:right w:val="single" w:sz="4" w:space="0" w:color="auto"/>
            </w:tcBorders>
            <w:shd w:val="clear" w:color="auto" w:fill="auto"/>
            <w:noWrap/>
            <w:vAlign w:val="bottom"/>
            <w:hideMark/>
          </w:tcPr>
          <w:p w14:paraId="0CA7152B"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60</w:t>
            </w:r>
          </w:p>
        </w:tc>
        <w:tc>
          <w:tcPr>
            <w:tcW w:w="699" w:type="dxa"/>
            <w:tcBorders>
              <w:top w:val="nil"/>
              <w:left w:val="nil"/>
              <w:bottom w:val="single" w:sz="4" w:space="0" w:color="auto"/>
              <w:right w:val="single" w:sz="4" w:space="0" w:color="auto"/>
            </w:tcBorders>
            <w:shd w:val="clear" w:color="auto" w:fill="auto"/>
            <w:noWrap/>
            <w:vAlign w:val="bottom"/>
            <w:hideMark/>
          </w:tcPr>
          <w:p w14:paraId="00E3C8CC"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70</w:t>
            </w:r>
          </w:p>
        </w:tc>
        <w:tc>
          <w:tcPr>
            <w:tcW w:w="699" w:type="dxa"/>
            <w:tcBorders>
              <w:top w:val="nil"/>
              <w:left w:val="nil"/>
              <w:bottom w:val="single" w:sz="4" w:space="0" w:color="auto"/>
              <w:right w:val="single" w:sz="4" w:space="0" w:color="auto"/>
            </w:tcBorders>
            <w:shd w:val="clear" w:color="auto" w:fill="auto"/>
            <w:noWrap/>
            <w:vAlign w:val="bottom"/>
            <w:hideMark/>
          </w:tcPr>
          <w:p w14:paraId="3D9AFA1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80</w:t>
            </w:r>
          </w:p>
        </w:tc>
        <w:tc>
          <w:tcPr>
            <w:tcW w:w="953" w:type="dxa"/>
            <w:tcBorders>
              <w:top w:val="nil"/>
              <w:left w:val="nil"/>
              <w:bottom w:val="single" w:sz="4" w:space="0" w:color="auto"/>
              <w:right w:val="single" w:sz="4" w:space="0" w:color="auto"/>
            </w:tcBorders>
            <w:shd w:val="clear" w:color="auto" w:fill="auto"/>
            <w:noWrap/>
            <w:vAlign w:val="bottom"/>
            <w:hideMark/>
          </w:tcPr>
          <w:p w14:paraId="7D796F90"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90</w:t>
            </w:r>
          </w:p>
        </w:tc>
        <w:tc>
          <w:tcPr>
            <w:tcW w:w="953" w:type="dxa"/>
            <w:tcBorders>
              <w:top w:val="nil"/>
              <w:left w:val="nil"/>
              <w:bottom w:val="single" w:sz="4" w:space="0" w:color="auto"/>
              <w:right w:val="single" w:sz="4" w:space="0" w:color="auto"/>
            </w:tcBorders>
            <w:shd w:val="clear" w:color="auto" w:fill="auto"/>
            <w:noWrap/>
            <w:vAlign w:val="bottom"/>
            <w:hideMark/>
          </w:tcPr>
          <w:p w14:paraId="36B9F4DA"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100</w:t>
            </w:r>
          </w:p>
        </w:tc>
        <w:tc>
          <w:tcPr>
            <w:tcW w:w="953" w:type="dxa"/>
            <w:tcBorders>
              <w:top w:val="nil"/>
              <w:left w:val="nil"/>
              <w:bottom w:val="single" w:sz="4" w:space="0" w:color="auto"/>
              <w:right w:val="single" w:sz="4" w:space="0" w:color="auto"/>
            </w:tcBorders>
            <w:shd w:val="clear" w:color="auto" w:fill="auto"/>
            <w:noWrap/>
            <w:vAlign w:val="bottom"/>
            <w:hideMark/>
          </w:tcPr>
          <w:p w14:paraId="16F32DAF"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110</w:t>
            </w:r>
          </w:p>
        </w:tc>
        <w:tc>
          <w:tcPr>
            <w:tcW w:w="957" w:type="dxa"/>
            <w:tcBorders>
              <w:top w:val="nil"/>
              <w:left w:val="nil"/>
              <w:bottom w:val="single" w:sz="4" w:space="0" w:color="auto"/>
              <w:right w:val="single" w:sz="4" w:space="0" w:color="auto"/>
            </w:tcBorders>
            <w:shd w:val="clear" w:color="auto" w:fill="auto"/>
            <w:noWrap/>
            <w:vAlign w:val="bottom"/>
            <w:hideMark/>
          </w:tcPr>
          <w:p w14:paraId="0A2C47ED"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120</w:t>
            </w:r>
          </w:p>
        </w:tc>
      </w:tr>
      <w:tr w:rsidR="00A40172" w:rsidRPr="00A40172" w14:paraId="0476B2CB" w14:textId="77777777" w:rsidTr="00A55882">
        <w:trPr>
          <w:trHeight w:val="351"/>
        </w:trPr>
        <w:tc>
          <w:tcPr>
            <w:tcW w:w="1083" w:type="dxa"/>
            <w:tcBorders>
              <w:top w:val="nil"/>
              <w:left w:val="single" w:sz="4" w:space="0" w:color="auto"/>
              <w:bottom w:val="single" w:sz="4" w:space="0" w:color="auto"/>
              <w:right w:val="single" w:sz="4" w:space="0" w:color="auto"/>
            </w:tcBorders>
            <w:shd w:val="clear" w:color="auto" w:fill="auto"/>
            <w:noWrap/>
            <w:vAlign w:val="bottom"/>
            <w:hideMark/>
          </w:tcPr>
          <w:p w14:paraId="4BE27D5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0,2</w:t>
            </w:r>
          </w:p>
        </w:tc>
        <w:tc>
          <w:tcPr>
            <w:tcW w:w="700" w:type="dxa"/>
            <w:tcBorders>
              <w:top w:val="nil"/>
              <w:left w:val="nil"/>
              <w:bottom w:val="single" w:sz="4" w:space="0" w:color="auto"/>
              <w:right w:val="single" w:sz="4" w:space="0" w:color="auto"/>
            </w:tcBorders>
            <w:shd w:val="clear" w:color="auto" w:fill="auto"/>
            <w:noWrap/>
            <w:vAlign w:val="bottom"/>
            <w:hideMark/>
          </w:tcPr>
          <w:p w14:paraId="4AEF96EC"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w:t>
            </w:r>
          </w:p>
        </w:tc>
        <w:tc>
          <w:tcPr>
            <w:tcW w:w="700" w:type="dxa"/>
            <w:tcBorders>
              <w:top w:val="nil"/>
              <w:left w:val="nil"/>
              <w:bottom w:val="single" w:sz="4" w:space="0" w:color="auto"/>
              <w:right w:val="single" w:sz="4" w:space="0" w:color="auto"/>
            </w:tcBorders>
            <w:shd w:val="clear" w:color="auto" w:fill="auto"/>
            <w:noWrap/>
            <w:vAlign w:val="bottom"/>
            <w:hideMark/>
          </w:tcPr>
          <w:p w14:paraId="647DC28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1,5</w:t>
            </w:r>
          </w:p>
        </w:tc>
        <w:tc>
          <w:tcPr>
            <w:tcW w:w="699" w:type="dxa"/>
            <w:tcBorders>
              <w:top w:val="nil"/>
              <w:left w:val="nil"/>
              <w:bottom w:val="single" w:sz="4" w:space="0" w:color="auto"/>
              <w:right w:val="single" w:sz="4" w:space="0" w:color="auto"/>
            </w:tcBorders>
            <w:shd w:val="clear" w:color="auto" w:fill="auto"/>
            <w:noWrap/>
            <w:vAlign w:val="bottom"/>
            <w:hideMark/>
          </w:tcPr>
          <w:p w14:paraId="479CE3B3"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1,5</w:t>
            </w:r>
          </w:p>
        </w:tc>
        <w:tc>
          <w:tcPr>
            <w:tcW w:w="699" w:type="dxa"/>
            <w:tcBorders>
              <w:top w:val="nil"/>
              <w:left w:val="nil"/>
              <w:bottom w:val="single" w:sz="4" w:space="0" w:color="auto"/>
              <w:right w:val="single" w:sz="4" w:space="0" w:color="auto"/>
            </w:tcBorders>
            <w:shd w:val="clear" w:color="auto" w:fill="auto"/>
            <w:noWrap/>
            <w:vAlign w:val="bottom"/>
            <w:hideMark/>
          </w:tcPr>
          <w:p w14:paraId="68D83360"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w:t>
            </w:r>
          </w:p>
        </w:tc>
        <w:tc>
          <w:tcPr>
            <w:tcW w:w="699" w:type="dxa"/>
            <w:tcBorders>
              <w:top w:val="nil"/>
              <w:left w:val="nil"/>
              <w:bottom w:val="single" w:sz="4" w:space="0" w:color="auto"/>
              <w:right w:val="single" w:sz="4" w:space="0" w:color="auto"/>
            </w:tcBorders>
            <w:shd w:val="clear" w:color="auto" w:fill="auto"/>
            <w:noWrap/>
            <w:vAlign w:val="bottom"/>
            <w:hideMark/>
          </w:tcPr>
          <w:p w14:paraId="4937D28D"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w:t>
            </w:r>
          </w:p>
        </w:tc>
        <w:tc>
          <w:tcPr>
            <w:tcW w:w="953" w:type="dxa"/>
            <w:tcBorders>
              <w:top w:val="nil"/>
              <w:left w:val="nil"/>
              <w:bottom w:val="single" w:sz="4" w:space="0" w:color="auto"/>
              <w:right w:val="single" w:sz="4" w:space="0" w:color="auto"/>
            </w:tcBorders>
            <w:shd w:val="clear" w:color="auto" w:fill="auto"/>
            <w:noWrap/>
            <w:vAlign w:val="bottom"/>
            <w:hideMark/>
          </w:tcPr>
          <w:p w14:paraId="7D953B8B"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2,5</w:t>
            </w:r>
          </w:p>
        </w:tc>
        <w:tc>
          <w:tcPr>
            <w:tcW w:w="953" w:type="dxa"/>
            <w:tcBorders>
              <w:top w:val="nil"/>
              <w:left w:val="nil"/>
              <w:bottom w:val="single" w:sz="4" w:space="0" w:color="auto"/>
              <w:right w:val="single" w:sz="4" w:space="0" w:color="auto"/>
            </w:tcBorders>
            <w:shd w:val="clear" w:color="auto" w:fill="auto"/>
            <w:noWrap/>
            <w:vAlign w:val="bottom"/>
            <w:hideMark/>
          </w:tcPr>
          <w:p w14:paraId="611A38E8"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2,5</w:t>
            </w:r>
          </w:p>
        </w:tc>
        <w:tc>
          <w:tcPr>
            <w:tcW w:w="953" w:type="dxa"/>
            <w:tcBorders>
              <w:top w:val="nil"/>
              <w:left w:val="nil"/>
              <w:bottom w:val="single" w:sz="4" w:space="0" w:color="auto"/>
              <w:right w:val="single" w:sz="4" w:space="0" w:color="auto"/>
            </w:tcBorders>
            <w:shd w:val="clear" w:color="auto" w:fill="auto"/>
            <w:noWrap/>
            <w:vAlign w:val="bottom"/>
            <w:hideMark/>
          </w:tcPr>
          <w:p w14:paraId="46060E66"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3</w:t>
            </w:r>
          </w:p>
        </w:tc>
        <w:tc>
          <w:tcPr>
            <w:tcW w:w="957" w:type="dxa"/>
            <w:tcBorders>
              <w:top w:val="nil"/>
              <w:left w:val="nil"/>
              <w:bottom w:val="single" w:sz="4" w:space="0" w:color="auto"/>
              <w:right w:val="single" w:sz="4" w:space="0" w:color="auto"/>
            </w:tcBorders>
            <w:shd w:val="clear" w:color="auto" w:fill="auto"/>
            <w:noWrap/>
            <w:vAlign w:val="bottom"/>
            <w:hideMark/>
          </w:tcPr>
          <w:p w14:paraId="71632B07"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3</w:t>
            </w:r>
          </w:p>
        </w:tc>
      </w:tr>
      <w:tr w:rsidR="00A40172" w:rsidRPr="00A40172" w14:paraId="5153A7BB" w14:textId="77777777" w:rsidTr="00A55882">
        <w:trPr>
          <w:trHeight w:val="351"/>
        </w:trPr>
        <w:tc>
          <w:tcPr>
            <w:tcW w:w="1083" w:type="dxa"/>
            <w:tcBorders>
              <w:top w:val="nil"/>
              <w:left w:val="single" w:sz="4" w:space="0" w:color="auto"/>
              <w:bottom w:val="single" w:sz="4" w:space="0" w:color="auto"/>
              <w:right w:val="single" w:sz="4" w:space="0" w:color="auto"/>
            </w:tcBorders>
            <w:shd w:val="clear" w:color="auto" w:fill="auto"/>
            <w:noWrap/>
            <w:vAlign w:val="bottom"/>
            <w:hideMark/>
          </w:tcPr>
          <w:p w14:paraId="58B5C3FA"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0,3</w:t>
            </w:r>
          </w:p>
        </w:tc>
        <w:tc>
          <w:tcPr>
            <w:tcW w:w="700" w:type="dxa"/>
            <w:tcBorders>
              <w:top w:val="nil"/>
              <w:left w:val="nil"/>
              <w:bottom w:val="single" w:sz="4" w:space="0" w:color="auto"/>
              <w:right w:val="single" w:sz="4" w:space="0" w:color="auto"/>
            </w:tcBorders>
            <w:shd w:val="clear" w:color="auto" w:fill="auto"/>
            <w:noWrap/>
            <w:vAlign w:val="bottom"/>
            <w:hideMark/>
          </w:tcPr>
          <w:p w14:paraId="502C2A6E"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1,5</w:t>
            </w:r>
          </w:p>
        </w:tc>
        <w:tc>
          <w:tcPr>
            <w:tcW w:w="700" w:type="dxa"/>
            <w:tcBorders>
              <w:top w:val="nil"/>
              <w:left w:val="nil"/>
              <w:bottom w:val="single" w:sz="4" w:space="0" w:color="auto"/>
              <w:right w:val="single" w:sz="4" w:space="0" w:color="auto"/>
            </w:tcBorders>
            <w:shd w:val="clear" w:color="auto" w:fill="auto"/>
            <w:noWrap/>
            <w:vAlign w:val="bottom"/>
            <w:hideMark/>
          </w:tcPr>
          <w:p w14:paraId="4964AB48"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w:t>
            </w:r>
          </w:p>
        </w:tc>
        <w:tc>
          <w:tcPr>
            <w:tcW w:w="699" w:type="dxa"/>
            <w:tcBorders>
              <w:top w:val="nil"/>
              <w:left w:val="nil"/>
              <w:bottom w:val="single" w:sz="4" w:space="0" w:color="auto"/>
              <w:right w:val="single" w:sz="4" w:space="0" w:color="auto"/>
            </w:tcBorders>
            <w:shd w:val="clear" w:color="auto" w:fill="auto"/>
            <w:noWrap/>
            <w:vAlign w:val="bottom"/>
            <w:hideMark/>
          </w:tcPr>
          <w:p w14:paraId="360BC385"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2,5</w:t>
            </w:r>
          </w:p>
        </w:tc>
        <w:tc>
          <w:tcPr>
            <w:tcW w:w="699" w:type="dxa"/>
            <w:tcBorders>
              <w:top w:val="nil"/>
              <w:left w:val="nil"/>
              <w:bottom w:val="single" w:sz="4" w:space="0" w:color="auto"/>
              <w:right w:val="single" w:sz="4" w:space="0" w:color="auto"/>
            </w:tcBorders>
            <w:shd w:val="clear" w:color="auto" w:fill="auto"/>
            <w:noWrap/>
            <w:vAlign w:val="bottom"/>
            <w:hideMark/>
          </w:tcPr>
          <w:p w14:paraId="7C58A166"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2,5</w:t>
            </w:r>
          </w:p>
        </w:tc>
        <w:tc>
          <w:tcPr>
            <w:tcW w:w="699" w:type="dxa"/>
            <w:tcBorders>
              <w:top w:val="nil"/>
              <w:left w:val="nil"/>
              <w:bottom w:val="single" w:sz="4" w:space="0" w:color="auto"/>
              <w:right w:val="single" w:sz="4" w:space="0" w:color="auto"/>
            </w:tcBorders>
            <w:shd w:val="clear" w:color="auto" w:fill="auto"/>
            <w:noWrap/>
            <w:vAlign w:val="bottom"/>
            <w:hideMark/>
          </w:tcPr>
          <w:p w14:paraId="6F34CF52"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3</w:t>
            </w:r>
          </w:p>
        </w:tc>
        <w:tc>
          <w:tcPr>
            <w:tcW w:w="953" w:type="dxa"/>
            <w:tcBorders>
              <w:top w:val="nil"/>
              <w:left w:val="nil"/>
              <w:bottom w:val="single" w:sz="4" w:space="0" w:color="auto"/>
              <w:right w:val="single" w:sz="4" w:space="0" w:color="auto"/>
            </w:tcBorders>
            <w:shd w:val="clear" w:color="auto" w:fill="auto"/>
            <w:noWrap/>
            <w:vAlign w:val="bottom"/>
            <w:hideMark/>
          </w:tcPr>
          <w:p w14:paraId="58027400"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3,5</w:t>
            </w:r>
          </w:p>
        </w:tc>
        <w:tc>
          <w:tcPr>
            <w:tcW w:w="953" w:type="dxa"/>
            <w:tcBorders>
              <w:top w:val="nil"/>
              <w:left w:val="nil"/>
              <w:bottom w:val="single" w:sz="4" w:space="0" w:color="auto"/>
              <w:right w:val="single" w:sz="4" w:space="0" w:color="auto"/>
            </w:tcBorders>
            <w:shd w:val="clear" w:color="auto" w:fill="auto"/>
            <w:noWrap/>
            <w:vAlign w:val="bottom"/>
            <w:hideMark/>
          </w:tcPr>
          <w:p w14:paraId="7128FD8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4</w:t>
            </w:r>
          </w:p>
        </w:tc>
        <w:tc>
          <w:tcPr>
            <w:tcW w:w="953" w:type="dxa"/>
            <w:tcBorders>
              <w:top w:val="nil"/>
              <w:left w:val="nil"/>
              <w:bottom w:val="single" w:sz="4" w:space="0" w:color="auto"/>
              <w:right w:val="single" w:sz="4" w:space="0" w:color="auto"/>
            </w:tcBorders>
            <w:shd w:val="clear" w:color="auto" w:fill="auto"/>
            <w:noWrap/>
            <w:vAlign w:val="bottom"/>
            <w:hideMark/>
          </w:tcPr>
          <w:p w14:paraId="4C93734B"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4</w:t>
            </w:r>
          </w:p>
        </w:tc>
        <w:tc>
          <w:tcPr>
            <w:tcW w:w="957" w:type="dxa"/>
            <w:tcBorders>
              <w:top w:val="nil"/>
              <w:left w:val="nil"/>
              <w:bottom w:val="single" w:sz="4" w:space="0" w:color="auto"/>
              <w:right w:val="single" w:sz="4" w:space="0" w:color="auto"/>
            </w:tcBorders>
            <w:shd w:val="clear" w:color="auto" w:fill="auto"/>
            <w:noWrap/>
            <w:vAlign w:val="bottom"/>
            <w:hideMark/>
          </w:tcPr>
          <w:p w14:paraId="4FBAEE45"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4,5</w:t>
            </w:r>
          </w:p>
        </w:tc>
      </w:tr>
      <w:tr w:rsidR="00A40172" w:rsidRPr="00A40172" w14:paraId="39A83993" w14:textId="77777777" w:rsidTr="00A55882">
        <w:trPr>
          <w:trHeight w:val="351"/>
        </w:trPr>
        <w:tc>
          <w:tcPr>
            <w:tcW w:w="1083" w:type="dxa"/>
            <w:tcBorders>
              <w:top w:val="nil"/>
              <w:left w:val="single" w:sz="4" w:space="0" w:color="auto"/>
              <w:bottom w:val="single" w:sz="4" w:space="0" w:color="auto"/>
              <w:right w:val="single" w:sz="4" w:space="0" w:color="auto"/>
            </w:tcBorders>
            <w:shd w:val="clear" w:color="auto" w:fill="auto"/>
            <w:noWrap/>
            <w:vAlign w:val="bottom"/>
            <w:hideMark/>
          </w:tcPr>
          <w:p w14:paraId="1156828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0,4</w:t>
            </w:r>
          </w:p>
        </w:tc>
        <w:tc>
          <w:tcPr>
            <w:tcW w:w="700" w:type="dxa"/>
            <w:tcBorders>
              <w:top w:val="nil"/>
              <w:left w:val="nil"/>
              <w:bottom w:val="single" w:sz="4" w:space="0" w:color="auto"/>
              <w:right w:val="single" w:sz="4" w:space="0" w:color="auto"/>
            </w:tcBorders>
            <w:shd w:val="clear" w:color="auto" w:fill="auto"/>
            <w:noWrap/>
            <w:vAlign w:val="bottom"/>
            <w:hideMark/>
          </w:tcPr>
          <w:p w14:paraId="3EDA6DD4"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w:t>
            </w:r>
          </w:p>
        </w:tc>
        <w:tc>
          <w:tcPr>
            <w:tcW w:w="700" w:type="dxa"/>
            <w:tcBorders>
              <w:top w:val="nil"/>
              <w:left w:val="nil"/>
              <w:bottom w:val="single" w:sz="4" w:space="0" w:color="auto"/>
              <w:right w:val="single" w:sz="4" w:space="0" w:color="auto"/>
            </w:tcBorders>
            <w:shd w:val="clear" w:color="auto" w:fill="auto"/>
            <w:noWrap/>
            <w:vAlign w:val="bottom"/>
            <w:hideMark/>
          </w:tcPr>
          <w:p w14:paraId="5CB4305C"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2,5</w:t>
            </w:r>
          </w:p>
        </w:tc>
        <w:tc>
          <w:tcPr>
            <w:tcW w:w="699" w:type="dxa"/>
            <w:tcBorders>
              <w:top w:val="nil"/>
              <w:left w:val="nil"/>
              <w:bottom w:val="single" w:sz="4" w:space="0" w:color="auto"/>
              <w:right w:val="single" w:sz="4" w:space="0" w:color="auto"/>
            </w:tcBorders>
            <w:shd w:val="clear" w:color="auto" w:fill="auto"/>
            <w:noWrap/>
            <w:vAlign w:val="bottom"/>
            <w:hideMark/>
          </w:tcPr>
          <w:p w14:paraId="07B02B2B"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3</w:t>
            </w:r>
          </w:p>
        </w:tc>
        <w:tc>
          <w:tcPr>
            <w:tcW w:w="699" w:type="dxa"/>
            <w:tcBorders>
              <w:top w:val="nil"/>
              <w:left w:val="nil"/>
              <w:bottom w:val="single" w:sz="4" w:space="0" w:color="auto"/>
              <w:right w:val="single" w:sz="4" w:space="0" w:color="auto"/>
            </w:tcBorders>
            <w:shd w:val="clear" w:color="auto" w:fill="auto"/>
            <w:noWrap/>
            <w:vAlign w:val="bottom"/>
            <w:hideMark/>
          </w:tcPr>
          <w:p w14:paraId="0C74B9C3"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3,5</w:t>
            </w:r>
          </w:p>
        </w:tc>
        <w:tc>
          <w:tcPr>
            <w:tcW w:w="699" w:type="dxa"/>
            <w:tcBorders>
              <w:top w:val="nil"/>
              <w:left w:val="nil"/>
              <w:bottom w:val="single" w:sz="4" w:space="0" w:color="auto"/>
              <w:right w:val="single" w:sz="4" w:space="0" w:color="auto"/>
            </w:tcBorders>
            <w:shd w:val="clear" w:color="auto" w:fill="auto"/>
            <w:noWrap/>
            <w:vAlign w:val="bottom"/>
            <w:hideMark/>
          </w:tcPr>
          <w:p w14:paraId="7507169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4</w:t>
            </w:r>
          </w:p>
        </w:tc>
        <w:tc>
          <w:tcPr>
            <w:tcW w:w="953" w:type="dxa"/>
            <w:tcBorders>
              <w:top w:val="nil"/>
              <w:left w:val="nil"/>
              <w:bottom w:val="single" w:sz="4" w:space="0" w:color="auto"/>
              <w:right w:val="single" w:sz="4" w:space="0" w:color="auto"/>
            </w:tcBorders>
            <w:shd w:val="clear" w:color="auto" w:fill="auto"/>
            <w:noWrap/>
            <w:vAlign w:val="bottom"/>
            <w:hideMark/>
          </w:tcPr>
          <w:p w14:paraId="2BFAE498"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4,5</w:t>
            </w:r>
          </w:p>
        </w:tc>
        <w:tc>
          <w:tcPr>
            <w:tcW w:w="953" w:type="dxa"/>
            <w:tcBorders>
              <w:top w:val="nil"/>
              <w:left w:val="nil"/>
              <w:bottom w:val="single" w:sz="4" w:space="0" w:color="auto"/>
              <w:right w:val="single" w:sz="4" w:space="0" w:color="auto"/>
            </w:tcBorders>
            <w:shd w:val="clear" w:color="auto" w:fill="auto"/>
            <w:noWrap/>
            <w:vAlign w:val="bottom"/>
            <w:hideMark/>
          </w:tcPr>
          <w:p w14:paraId="53205C2E"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5</w:t>
            </w:r>
          </w:p>
        </w:tc>
        <w:tc>
          <w:tcPr>
            <w:tcW w:w="953" w:type="dxa"/>
            <w:tcBorders>
              <w:top w:val="nil"/>
              <w:left w:val="nil"/>
              <w:bottom w:val="single" w:sz="4" w:space="0" w:color="auto"/>
              <w:right w:val="single" w:sz="4" w:space="0" w:color="auto"/>
            </w:tcBorders>
            <w:shd w:val="clear" w:color="auto" w:fill="auto"/>
            <w:noWrap/>
            <w:vAlign w:val="bottom"/>
            <w:hideMark/>
          </w:tcPr>
          <w:p w14:paraId="1B7D3D0F"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5,5</w:t>
            </w:r>
          </w:p>
        </w:tc>
        <w:tc>
          <w:tcPr>
            <w:tcW w:w="957" w:type="dxa"/>
            <w:tcBorders>
              <w:top w:val="nil"/>
              <w:left w:val="nil"/>
              <w:bottom w:val="single" w:sz="4" w:space="0" w:color="auto"/>
              <w:right w:val="single" w:sz="4" w:space="0" w:color="auto"/>
            </w:tcBorders>
            <w:shd w:val="clear" w:color="auto" w:fill="auto"/>
            <w:noWrap/>
            <w:vAlign w:val="bottom"/>
            <w:hideMark/>
          </w:tcPr>
          <w:p w14:paraId="2E9C34F4"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6</w:t>
            </w:r>
          </w:p>
        </w:tc>
      </w:tr>
      <w:tr w:rsidR="00A40172" w:rsidRPr="00A40172" w14:paraId="204A6ADD" w14:textId="77777777" w:rsidTr="00A55882">
        <w:trPr>
          <w:trHeight w:val="351"/>
        </w:trPr>
        <w:tc>
          <w:tcPr>
            <w:tcW w:w="1083" w:type="dxa"/>
            <w:tcBorders>
              <w:top w:val="nil"/>
              <w:left w:val="single" w:sz="4" w:space="0" w:color="auto"/>
              <w:bottom w:val="single" w:sz="4" w:space="0" w:color="auto"/>
              <w:right w:val="single" w:sz="4" w:space="0" w:color="auto"/>
            </w:tcBorders>
            <w:shd w:val="clear" w:color="auto" w:fill="auto"/>
            <w:noWrap/>
            <w:vAlign w:val="bottom"/>
            <w:hideMark/>
          </w:tcPr>
          <w:p w14:paraId="05B59A71"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0,5</w:t>
            </w:r>
          </w:p>
        </w:tc>
        <w:tc>
          <w:tcPr>
            <w:tcW w:w="700" w:type="dxa"/>
            <w:tcBorders>
              <w:top w:val="nil"/>
              <w:left w:val="nil"/>
              <w:bottom w:val="single" w:sz="4" w:space="0" w:color="auto"/>
              <w:right w:val="single" w:sz="4" w:space="0" w:color="auto"/>
            </w:tcBorders>
            <w:shd w:val="clear" w:color="auto" w:fill="auto"/>
            <w:noWrap/>
            <w:vAlign w:val="bottom"/>
            <w:hideMark/>
          </w:tcPr>
          <w:p w14:paraId="22F292F5"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2,5</w:t>
            </w:r>
          </w:p>
        </w:tc>
        <w:tc>
          <w:tcPr>
            <w:tcW w:w="700" w:type="dxa"/>
            <w:tcBorders>
              <w:top w:val="nil"/>
              <w:left w:val="nil"/>
              <w:bottom w:val="single" w:sz="4" w:space="0" w:color="auto"/>
              <w:right w:val="single" w:sz="4" w:space="0" w:color="auto"/>
            </w:tcBorders>
            <w:shd w:val="clear" w:color="auto" w:fill="auto"/>
            <w:noWrap/>
            <w:vAlign w:val="bottom"/>
            <w:hideMark/>
          </w:tcPr>
          <w:p w14:paraId="4EFC736E"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3</w:t>
            </w:r>
          </w:p>
        </w:tc>
        <w:tc>
          <w:tcPr>
            <w:tcW w:w="699" w:type="dxa"/>
            <w:tcBorders>
              <w:top w:val="nil"/>
              <w:left w:val="nil"/>
              <w:bottom w:val="single" w:sz="4" w:space="0" w:color="auto"/>
              <w:right w:val="single" w:sz="4" w:space="0" w:color="auto"/>
            </w:tcBorders>
            <w:shd w:val="clear" w:color="auto" w:fill="auto"/>
            <w:noWrap/>
            <w:vAlign w:val="bottom"/>
            <w:hideMark/>
          </w:tcPr>
          <w:p w14:paraId="45E5262A"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4</w:t>
            </w:r>
          </w:p>
        </w:tc>
        <w:tc>
          <w:tcPr>
            <w:tcW w:w="699" w:type="dxa"/>
            <w:tcBorders>
              <w:top w:val="nil"/>
              <w:left w:val="nil"/>
              <w:bottom w:val="single" w:sz="4" w:space="0" w:color="auto"/>
              <w:right w:val="single" w:sz="4" w:space="0" w:color="auto"/>
            </w:tcBorders>
            <w:shd w:val="clear" w:color="auto" w:fill="auto"/>
            <w:noWrap/>
            <w:vAlign w:val="bottom"/>
            <w:hideMark/>
          </w:tcPr>
          <w:p w14:paraId="02F605FC"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4,5</w:t>
            </w:r>
          </w:p>
        </w:tc>
        <w:tc>
          <w:tcPr>
            <w:tcW w:w="699" w:type="dxa"/>
            <w:tcBorders>
              <w:top w:val="nil"/>
              <w:left w:val="nil"/>
              <w:bottom w:val="single" w:sz="4" w:space="0" w:color="auto"/>
              <w:right w:val="single" w:sz="4" w:space="0" w:color="auto"/>
            </w:tcBorders>
            <w:shd w:val="clear" w:color="auto" w:fill="auto"/>
            <w:noWrap/>
            <w:vAlign w:val="bottom"/>
            <w:hideMark/>
          </w:tcPr>
          <w:p w14:paraId="3350372A"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5</w:t>
            </w:r>
          </w:p>
        </w:tc>
        <w:tc>
          <w:tcPr>
            <w:tcW w:w="953" w:type="dxa"/>
            <w:tcBorders>
              <w:top w:val="nil"/>
              <w:left w:val="nil"/>
              <w:bottom w:val="single" w:sz="4" w:space="0" w:color="auto"/>
              <w:right w:val="single" w:sz="4" w:space="0" w:color="auto"/>
            </w:tcBorders>
            <w:shd w:val="clear" w:color="auto" w:fill="auto"/>
            <w:noWrap/>
            <w:vAlign w:val="bottom"/>
            <w:hideMark/>
          </w:tcPr>
          <w:p w14:paraId="27611CF4"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5,5</w:t>
            </w:r>
          </w:p>
        </w:tc>
        <w:tc>
          <w:tcPr>
            <w:tcW w:w="953" w:type="dxa"/>
            <w:tcBorders>
              <w:top w:val="nil"/>
              <w:left w:val="nil"/>
              <w:bottom w:val="single" w:sz="4" w:space="0" w:color="auto"/>
              <w:right w:val="single" w:sz="4" w:space="0" w:color="auto"/>
            </w:tcBorders>
            <w:shd w:val="clear" w:color="auto" w:fill="auto"/>
            <w:noWrap/>
            <w:vAlign w:val="bottom"/>
            <w:hideMark/>
          </w:tcPr>
          <w:p w14:paraId="53A08D30"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6,5</w:t>
            </w:r>
          </w:p>
        </w:tc>
        <w:tc>
          <w:tcPr>
            <w:tcW w:w="953" w:type="dxa"/>
            <w:tcBorders>
              <w:top w:val="nil"/>
              <w:left w:val="nil"/>
              <w:bottom w:val="single" w:sz="4" w:space="0" w:color="auto"/>
              <w:right w:val="single" w:sz="4" w:space="0" w:color="auto"/>
            </w:tcBorders>
            <w:shd w:val="clear" w:color="auto" w:fill="auto"/>
            <w:noWrap/>
            <w:vAlign w:val="bottom"/>
            <w:hideMark/>
          </w:tcPr>
          <w:p w14:paraId="51554E64"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7</w:t>
            </w:r>
          </w:p>
        </w:tc>
        <w:tc>
          <w:tcPr>
            <w:tcW w:w="957" w:type="dxa"/>
            <w:tcBorders>
              <w:top w:val="nil"/>
              <w:left w:val="nil"/>
              <w:bottom w:val="single" w:sz="4" w:space="0" w:color="auto"/>
              <w:right w:val="single" w:sz="4" w:space="0" w:color="auto"/>
            </w:tcBorders>
            <w:shd w:val="clear" w:color="auto" w:fill="auto"/>
            <w:noWrap/>
            <w:vAlign w:val="bottom"/>
            <w:hideMark/>
          </w:tcPr>
          <w:p w14:paraId="50AD3801"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7,5</w:t>
            </w:r>
          </w:p>
        </w:tc>
      </w:tr>
      <w:tr w:rsidR="00A40172" w:rsidRPr="00A40172" w14:paraId="762E359A" w14:textId="77777777" w:rsidTr="00A55882">
        <w:trPr>
          <w:trHeight w:val="351"/>
        </w:trPr>
        <w:tc>
          <w:tcPr>
            <w:tcW w:w="1083" w:type="dxa"/>
            <w:tcBorders>
              <w:top w:val="nil"/>
              <w:left w:val="single" w:sz="4" w:space="0" w:color="auto"/>
              <w:bottom w:val="single" w:sz="4" w:space="0" w:color="auto"/>
              <w:right w:val="single" w:sz="4" w:space="0" w:color="auto"/>
            </w:tcBorders>
            <w:shd w:val="clear" w:color="auto" w:fill="auto"/>
            <w:noWrap/>
            <w:vAlign w:val="bottom"/>
            <w:hideMark/>
          </w:tcPr>
          <w:p w14:paraId="61F2545C"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0,8</w:t>
            </w:r>
          </w:p>
        </w:tc>
        <w:tc>
          <w:tcPr>
            <w:tcW w:w="700" w:type="dxa"/>
            <w:tcBorders>
              <w:top w:val="nil"/>
              <w:left w:val="nil"/>
              <w:bottom w:val="single" w:sz="4" w:space="0" w:color="auto"/>
              <w:right w:val="single" w:sz="4" w:space="0" w:color="auto"/>
            </w:tcBorders>
            <w:shd w:val="clear" w:color="auto" w:fill="auto"/>
            <w:noWrap/>
            <w:vAlign w:val="bottom"/>
            <w:hideMark/>
          </w:tcPr>
          <w:p w14:paraId="289B307B"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4</w:t>
            </w:r>
          </w:p>
        </w:tc>
        <w:tc>
          <w:tcPr>
            <w:tcW w:w="700" w:type="dxa"/>
            <w:tcBorders>
              <w:top w:val="nil"/>
              <w:left w:val="nil"/>
              <w:bottom w:val="single" w:sz="4" w:space="0" w:color="auto"/>
              <w:right w:val="single" w:sz="4" w:space="0" w:color="auto"/>
            </w:tcBorders>
            <w:shd w:val="clear" w:color="auto" w:fill="auto"/>
            <w:noWrap/>
            <w:vAlign w:val="bottom"/>
            <w:hideMark/>
          </w:tcPr>
          <w:p w14:paraId="649F971A"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5</w:t>
            </w:r>
          </w:p>
        </w:tc>
        <w:tc>
          <w:tcPr>
            <w:tcW w:w="699" w:type="dxa"/>
            <w:tcBorders>
              <w:top w:val="nil"/>
              <w:left w:val="nil"/>
              <w:bottom w:val="single" w:sz="4" w:space="0" w:color="auto"/>
              <w:right w:val="single" w:sz="4" w:space="0" w:color="auto"/>
            </w:tcBorders>
            <w:shd w:val="clear" w:color="auto" w:fill="auto"/>
            <w:noWrap/>
            <w:vAlign w:val="bottom"/>
            <w:hideMark/>
          </w:tcPr>
          <w:p w14:paraId="5974B808"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5,5</w:t>
            </w:r>
          </w:p>
        </w:tc>
        <w:tc>
          <w:tcPr>
            <w:tcW w:w="699" w:type="dxa"/>
            <w:tcBorders>
              <w:top w:val="nil"/>
              <w:left w:val="nil"/>
              <w:bottom w:val="single" w:sz="4" w:space="0" w:color="auto"/>
              <w:right w:val="single" w:sz="4" w:space="0" w:color="auto"/>
            </w:tcBorders>
            <w:shd w:val="clear" w:color="auto" w:fill="auto"/>
            <w:noWrap/>
            <w:vAlign w:val="bottom"/>
            <w:hideMark/>
          </w:tcPr>
          <w:p w14:paraId="6DC4E0D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6,5</w:t>
            </w:r>
          </w:p>
        </w:tc>
        <w:tc>
          <w:tcPr>
            <w:tcW w:w="699" w:type="dxa"/>
            <w:tcBorders>
              <w:top w:val="nil"/>
              <w:left w:val="nil"/>
              <w:bottom w:val="single" w:sz="4" w:space="0" w:color="auto"/>
              <w:right w:val="single" w:sz="4" w:space="0" w:color="auto"/>
            </w:tcBorders>
            <w:shd w:val="clear" w:color="auto" w:fill="auto"/>
            <w:noWrap/>
            <w:vAlign w:val="bottom"/>
            <w:hideMark/>
          </w:tcPr>
          <w:p w14:paraId="34F2CBC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7,5</w:t>
            </w:r>
          </w:p>
        </w:tc>
        <w:tc>
          <w:tcPr>
            <w:tcW w:w="953" w:type="dxa"/>
            <w:tcBorders>
              <w:top w:val="nil"/>
              <w:left w:val="nil"/>
              <w:bottom w:val="single" w:sz="4" w:space="0" w:color="auto"/>
              <w:right w:val="single" w:sz="4" w:space="0" w:color="auto"/>
            </w:tcBorders>
            <w:shd w:val="clear" w:color="auto" w:fill="auto"/>
            <w:noWrap/>
            <w:vAlign w:val="bottom"/>
            <w:hideMark/>
          </w:tcPr>
          <w:p w14:paraId="6180A7AC"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8,5</w:t>
            </w:r>
          </w:p>
        </w:tc>
        <w:tc>
          <w:tcPr>
            <w:tcW w:w="953" w:type="dxa"/>
            <w:tcBorders>
              <w:top w:val="nil"/>
              <w:left w:val="nil"/>
              <w:bottom w:val="single" w:sz="4" w:space="0" w:color="auto"/>
              <w:right w:val="single" w:sz="4" w:space="0" w:color="auto"/>
            </w:tcBorders>
            <w:shd w:val="clear" w:color="auto" w:fill="auto"/>
            <w:noWrap/>
            <w:vAlign w:val="bottom"/>
            <w:hideMark/>
          </w:tcPr>
          <w:p w14:paraId="1FAD6088"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9,5</w:t>
            </w:r>
          </w:p>
        </w:tc>
        <w:tc>
          <w:tcPr>
            <w:tcW w:w="953" w:type="dxa"/>
            <w:tcBorders>
              <w:top w:val="nil"/>
              <w:left w:val="nil"/>
              <w:bottom w:val="single" w:sz="4" w:space="0" w:color="auto"/>
              <w:right w:val="single" w:sz="4" w:space="0" w:color="auto"/>
            </w:tcBorders>
            <w:shd w:val="clear" w:color="auto" w:fill="auto"/>
            <w:noWrap/>
            <w:vAlign w:val="bottom"/>
            <w:hideMark/>
          </w:tcPr>
          <w:p w14:paraId="595CFC3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10,5</w:t>
            </w:r>
          </w:p>
        </w:tc>
        <w:tc>
          <w:tcPr>
            <w:tcW w:w="957" w:type="dxa"/>
            <w:tcBorders>
              <w:top w:val="nil"/>
              <w:left w:val="nil"/>
              <w:bottom w:val="single" w:sz="4" w:space="0" w:color="auto"/>
              <w:right w:val="single" w:sz="4" w:space="0" w:color="auto"/>
            </w:tcBorders>
            <w:shd w:val="clear" w:color="auto" w:fill="auto"/>
            <w:noWrap/>
            <w:vAlign w:val="bottom"/>
            <w:hideMark/>
          </w:tcPr>
          <w:p w14:paraId="5F450719"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11,5</w:t>
            </w:r>
          </w:p>
        </w:tc>
      </w:tr>
      <w:tr w:rsidR="00A40172" w:rsidRPr="00A40172" w14:paraId="0B3BF8C5" w14:textId="77777777" w:rsidTr="00A55882">
        <w:trPr>
          <w:trHeight w:val="351"/>
        </w:trPr>
        <w:tc>
          <w:tcPr>
            <w:tcW w:w="1083" w:type="dxa"/>
            <w:tcBorders>
              <w:top w:val="nil"/>
              <w:left w:val="single" w:sz="4" w:space="0" w:color="auto"/>
              <w:bottom w:val="single" w:sz="4" w:space="0" w:color="auto"/>
              <w:right w:val="single" w:sz="4" w:space="0" w:color="auto"/>
            </w:tcBorders>
            <w:shd w:val="clear" w:color="auto" w:fill="auto"/>
            <w:noWrap/>
            <w:vAlign w:val="bottom"/>
            <w:hideMark/>
          </w:tcPr>
          <w:p w14:paraId="65CB47E2"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w:t>
            </w:r>
          </w:p>
        </w:tc>
        <w:tc>
          <w:tcPr>
            <w:tcW w:w="700" w:type="dxa"/>
            <w:tcBorders>
              <w:top w:val="nil"/>
              <w:left w:val="nil"/>
              <w:bottom w:val="single" w:sz="4" w:space="0" w:color="auto"/>
              <w:right w:val="single" w:sz="4" w:space="0" w:color="auto"/>
            </w:tcBorders>
            <w:shd w:val="clear" w:color="auto" w:fill="auto"/>
            <w:noWrap/>
            <w:vAlign w:val="bottom"/>
            <w:hideMark/>
          </w:tcPr>
          <w:p w14:paraId="42919B84"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5</w:t>
            </w:r>
          </w:p>
        </w:tc>
        <w:tc>
          <w:tcPr>
            <w:tcW w:w="700" w:type="dxa"/>
            <w:tcBorders>
              <w:top w:val="nil"/>
              <w:left w:val="nil"/>
              <w:bottom w:val="single" w:sz="4" w:space="0" w:color="auto"/>
              <w:right w:val="single" w:sz="4" w:space="0" w:color="auto"/>
            </w:tcBorders>
            <w:shd w:val="clear" w:color="auto" w:fill="auto"/>
            <w:noWrap/>
            <w:vAlign w:val="bottom"/>
            <w:hideMark/>
          </w:tcPr>
          <w:p w14:paraId="6707FECD"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6,5</w:t>
            </w:r>
          </w:p>
        </w:tc>
        <w:tc>
          <w:tcPr>
            <w:tcW w:w="699" w:type="dxa"/>
            <w:tcBorders>
              <w:top w:val="nil"/>
              <w:left w:val="nil"/>
              <w:bottom w:val="single" w:sz="4" w:space="0" w:color="auto"/>
              <w:right w:val="single" w:sz="4" w:space="0" w:color="auto"/>
            </w:tcBorders>
            <w:shd w:val="clear" w:color="auto" w:fill="auto"/>
            <w:noWrap/>
            <w:vAlign w:val="bottom"/>
            <w:hideMark/>
          </w:tcPr>
          <w:p w14:paraId="38C6F53C"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7,5</w:t>
            </w:r>
          </w:p>
        </w:tc>
        <w:tc>
          <w:tcPr>
            <w:tcW w:w="699" w:type="dxa"/>
            <w:tcBorders>
              <w:top w:val="nil"/>
              <w:left w:val="nil"/>
              <w:bottom w:val="single" w:sz="4" w:space="0" w:color="auto"/>
              <w:right w:val="single" w:sz="4" w:space="0" w:color="auto"/>
            </w:tcBorders>
            <w:shd w:val="clear" w:color="auto" w:fill="auto"/>
            <w:noWrap/>
            <w:vAlign w:val="bottom"/>
            <w:hideMark/>
          </w:tcPr>
          <w:p w14:paraId="43BAD4D1"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9</w:t>
            </w:r>
          </w:p>
        </w:tc>
        <w:tc>
          <w:tcPr>
            <w:tcW w:w="699" w:type="dxa"/>
            <w:tcBorders>
              <w:top w:val="nil"/>
              <w:left w:val="nil"/>
              <w:bottom w:val="single" w:sz="4" w:space="0" w:color="auto"/>
              <w:right w:val="single" w:sz="4" w:space="0" w:color="auto"/>
            </w:tcBorders>
            <w:shd w:val="clear" w:color="auto" w:fill="auto"/>
            <w:noWrap/>
            <w:vAlign w:val="bottom"/>
            <w:hideMark/>
          </w:tcPr>
          <w:p w14:paraId="71831D7B"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10</w:t>
            </w:r>
          </w:p>
        </w:tc>
        <w:tc>
          <w:tcPr>
            <w:tcW w:w="953" w:type="dxa"/>
            <w:tcBorders>
              <w:top w:val="nil"/>
              <w:left w:val="nil"/>
              <w:bottom w:val="single" w:sz="4" w:space="0" w:color="auto"/>
              <w:right w:val="single" w:sz="4" w:space="0" w:color="auto"/>
            </w:tcBorders>
            <w:shd w:val="clear" w:color="auto" w:fill="auto"/>
            <w:noWrap/>
            <w:vAlign w:val="bottom"/>
            <w:hideMark/>
          </w:tcPr>
          <w:p w14:paraId="4E0EE36E"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11,5</w:t>
            </w:r>
          </w:p>
        </w:tc>
        <w:tc>
          <w:tcPr>
            <w:tcW w:w="953" w:type="dxa"/>
            <w:tcBorders>
              <w:top w:val="nil"/>
              <w:left w:val="nil"/>
              <w:bottom w:val="single" w:sz="4" w:space="0" w:color="auto"/>
              <w:right w:val="single" w:sz="4" w:space="0" w:color="auto"/>
            </w:tcBorders>
            <w:shd w:val="clear" w:color="auto" w:fill="auto"/>
            <w:noWrap/>
            <w:vAlign w:val="bottom"/>
            <w:hideMark/>
          </w:tcPr>
          <w:p w14:paraId="2C37D498"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12,5</w:t>
            </w:r>
          </w:p>
        </w:tc>
        <w:tc>
          <w:tcPr>
            <w:tcW w:w="953" w:type="dxa"/>
            <w:tcBorders>
              <w:top w:val="nil"/>
              <w:left w:val="nil"/>
              <w:bottom w:val="single" w:sz="4" w:space="0" w:color="auto"/>
              <w:right w:val="single" w:sz="4" w:space="0" w:color="auto"/>
            </w:tcBorders>
            <w:shd w:val="clear" w:color="auto" w:fill="auto"/>
            <w:noWrap/>
            <w:vAlign w:val="bottom"/>
            <w:hideMark/>
          </w:tcPr>
          <w:p w14:paraId="74E398B1"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14</w:t>
            </w:r>
          </w:p>
        </w:tc>
        <w:tc>
          <w:tcPr>
            <w:tcW w:w="957" w:type="dxa"/>
            <w:tcBorders>
              <w:top w:val="nil"/>
              <w:left w:val="nil"/>
              <w:bottom w:val="single" w:sz="4" w:space="0" w:color="auto"/>
              <w:right w:val="single" w:sz="4" w:space="0" w:color="auto"/>
            </w:tcBorders>
            <w:shd w:val="clear" w:color="auto" w:fill="auto"/>
            <w:noWrap/>
            <w:vAlign w:val="bottom"/>
            <w:hideMark/>
          </w:tcPr>
          <w:p w14:paraId="5A65B775" w14:textId="77777777" w:rsidR="00A40172" w:rsidRPr="00A40172" w:rsidRDefault="00A40172" w:rsidP="00A40172">
            <w:pPr>
              <w:spacing w:after="0" w:line="240" w:lineRule="auto"/>
              <w:ind w:left="0" w:right="0"/>
              <w:jc w:val="right"/>
              <w:rPr>
                <w:rFonts w:ascii="Calibri" w:hAnsi="Calibri"/>
                <w:color w:val="000000"/>
                <w:sz w:val="22"/>
                <w:szCs w:val="22"/>
              </w:rPr>
            </w:pPr>
            <w:r w:rsidRPr="00A40172">
              <w:rPr>
                <w:rFonts w:ascii="Calibri" w:hAnsi="Calibri"/>
                <w:color w:val="000000"/>
                <w:sz w:val="22"/>
                <w:szCs w:val="22"/>
              </w:rPr>
              <w:t>15</w:t>
            </w:r>
          </w:p>
        </w:tc>
      </w:tr>
    </w:tbl>
    <w:p w14:paraId="16C35B4F" w14:textId="77777777" w:rsidR="00A40172" w:rsidRPr="00A40172" w:rsidRDefault="00A40172" w:rsidP="00A40172">
      <w:pPr>
        <w:spacing w:after="0" w:line="240" w:lineRule="auto"/>
        <w:ind w:left="0" w:right="0"/>
      </w:pPr>
      <w:r w:rsidRPr="00A40172">
        <w:t>Utgå från idealvikten (BMI 25)</w:t>
      </w:r>
    </w:p>
    <w:p w14:paraId="5F92B2F3" w14:textId="77777777" w:rsidR="00A40172" w:rsidRPr="00A40172" w:rsidRDefault="00A40172" w:rsidP="00A40172">
      <w:pPr>
        <w:spacing w:after="0" w:line="240" w:lineRule="auto"/>
        <w:ind w:left="0" w:right="0"/>
        <w:rPr>
          <w:sz w:val="16"/>
          <w:szCs w:val="16"/>
        </w:rPr>
      </w:pPr>
    </w:p>
    <w:p w14:paraId="19E7F889" w14:textId="77777777" w:rsidR="00A40172" w:rsidRPr="00A40172" w:rsidRDefault="00A40172" w:rsidP="00CE476F">
      <w:pPr>
        <w:pStyle w:val="Rubrik2"/>
        <w:rPr>
          <w:rFonts w:ascii="Calibri" w:hAnsi="Calibri"/>
          <w:b/>
          <w:sz w:val="28"/>
          <w:szCs w:val="28"/>
        </w:rPr>
      </w:pPr>
      <w:r w:rsidRPr="00CE476F">
        <w:t>Administrering</w:t>
      </w:r>
    </w:p>
    <w:p w14:paraId="73365497" w14:textId="77777777" w:rsidR="00A40172" w:rsidRPr="00A40172" w:rsidRDefault="00A40172" w:rsidP="00CE476F">
      <w:pPr>
        <w:autoSpaceDE w:val="0"/>
        <w:autoSpaceDN w:val="0"/>
        <w:adjustRightInd w:val="0"/>
        <w:spacing w:after="0" w:line="240" w:lineRule="auto"/>
        <w:ind w:right="0"/>
      </w:pPr>
      <w:r w:rsidRPr="00A40172">
        <w:t>Den färdiga blandningen med dexmedetomidin 8 µg/ml infunderas via volympump. Kan ges i perifer ven. Går att infundera tillsammans med andra klara lösningar men</w:t>
      </w:r>
      <w:r w:rsidRPr="00A40172">
        <w:rPr>
          <w:b/>
        </w:rPr>
        <w:t xml:space="preserve"> inte</w:t>
      </w:r>
      <w:r w:rsidRPr="00A40172">
        <w:t xml:space="preserve"> med fettlösningar, t ex Propofol.</w:t>
      </w:r>
    </w:p>
    <w:p w14:paraId="0658273C" w14:textId="77777777" w:rsidR="00A40172" w:rsidRPr="00A40172" w:rsidRDefault="00A40172" w:rsidP="00CE476F">
      <w:pPr>
        <w:autoSpaceDE w:val="0"/>
        <w:autoSpaceDN w:val="0"/>
        <w:adjustRightInd w:val="0"/>
        <w:spacing w:after="0" w:line="240" w:lineRule="auto"/>
        <w:ind w:right="0"/>
      </w:pPr>
    </w:p>
    <w:p w14:paraId="7EE5DE5E" w14:textId="77777777" w:rsidR="00A40172" w:rsidRPr="00CE476F" w:rsidRDefault="00A40172" w:rsidP="00CE476F">
      <w:pPr>
        <w:pStyle w:val="Rubrik2"/>
      </w:pPr>
      <w:r w:rsidRPr="00CE476F">
        <w:t>Förvaring/hållbarhet</w:t>
      </w:r>
    </w:p>
    <w:p w14:paraId="5390B77B" w14:textId="77777777" w:rsidR="00A40172" w:rsidRPr="00A40172" w:rsidRDefault="00A40172" w:rsidP="00CE476F">
      <w:pPr>
        <w:autoSpaceDE w:val="0"/>
        <w:autoSpaceDN w:val="0"/>
        <w:adjustRightInd w:val="0"/>
        <w:spacing w:after="0" w:line="240" w:lineRule="auto"/>
        <w:ind w:right="0"/>
      </w:pPr>
      <w:r w:rsidRPr="00A40172">
        <w:t>Bör användas omedelbart efter spädning.</w:t>
      </w:r>
    </w:p>
    <w:p w14:paraId="71DBC2EC" w14:textId="77777777" w:rsidR="00A40172" w:rsidRPr="00A40172" w:rsidRDefault="00A40172" w:rsidP="00CE476F">
      <w:pPr>
        <w:spacing w:after="0" w:line="240" w:lineRule="auto"/>
        <w:ind w:right="0"/>
      </w:pPr>
    </w:p>
    <w:p w14:paraId="16D1BE64" w14:textId="77777777" w:rsidR="00A40172" w:rsidRPr="00CE476F" w:rsidRDefault="00A40172" w:rsidP="00CE476F">
      <w:pPr>
        <w:pStyle w:val="Rubrik2"/>
      </w:pPr>
      <w:r w:rsidRPr="00CE476F">
        <w:t>Litteratur</w:t>
      </w:r>
    </w:p>
    <w:p w14:paraId="0781B01D" w14:textId="77777777" w:rsidR="00A40172" w:rsidRPr="00A40172" w:rsidRDefault="00A40172" w:rsidP="00CE476F">
      <w:pPr>
        <w:numPr>
          <w:ilvl w:val="0"/>
          <w:numId w:val="21"/>
        </w:numPr>
        <w:spacing w:after="0" w:line="240" w:lineRule="auto"/>
        <w:ind w:left="1276" w:right="-567" w:hanging="284"/>
        <w:rPr>
          <w:lang w:val="en-US"/>
        </w:rPr>
      </w:pPr>
      <w:r w:rsidRPr="00A40172">
        <w:rPr>
          <w:lang w:val="en-US"/>
        </w:rPr>
        <w:t>Duan X, Coburn M, Rossaint R, et al. Efficacy of perioperative dexmedetomidine</w:t>
      </w:r>
      <w:r w:rsidRPr="00A40172">
        <w:rPr>
          <w:szCs w:val="20"/>
          <w:lang w:val="en-US"/>
        </w:rPr>
        <w:t xml:space="preserve"> </w:t>
      </w:r>
      <w:r w:rsidRPr="00A40172">
        <w:rPr>
          <w:lang w:val="en-US"/>
        </w:rPr>
        <w:t>on postoperative delirium: systematic review and meta-analysis with</w:t>
      </w:r>
      <w:r w:rsidRPr="00A40172">
        <w:rPr>
          <w:szCs w:val="20"/>
          <w:lang w:val="en-US"/>
        </w:rPr>
        <w:t xml:space="preserve"> </w:t>
      </w:r>
      <w:r w:rsidRPr="00A40172">
        <w:rPr>
          <w:lang w:val="en-US"/>
        </w:rPr>
        <w:t>trial sequential analysis of randomised controlled trials. Br J Anaesth 2018;121:384–397.</w:t>
      </w:r>
    </w:p>
    <w:p w14:paraId="154DFB57" w14:textId="646C6AE4" w:rsidR="00A40172" w:rsidRPr="00A40172" w:rsidRDefault="00A40172" w:rsidP="00CE476F">
      <w:pPr>
        <w:numPr>
          <w:ilvl w:val="0"/>
          <w:numId w:val="21"/>
        </w:numPr>
        <w:spacing w:after="0" w:line="240" w:lineRule="auto"/>
        <w:ind w:left="1276" w:right="-567" w:hanging="284"/>
        <w:rPr>
          <w:lang w:val="en-US"/>
        </w:rPr>
      </w:pPr>
      <w:r w:rsidRPr="00CE476F">
        <w:rPr>
          <w:lang w:val="en-US"/>
        </w:rPr>
        <w:t xml:space="preserve">Sanders RD, Pandharipande PP, Davidson AJ, et al. </w:t>
      </w:r>
      <w:r w:rsidRPr="00A40172">
        <w:rPr>
          <w:lang w:val="en-US"/>
        </w:rPr>
        <w:t xml:space="preserve">Managing POD and </w:t>
      </w:r>
    </w:p>
    <w:p w14:paraId="6BAFF1EC" w14:textId="4FCA88BE" w:rsidR="00A40172" w:rsidRPr="00CE476F" w:rsidRDefault="00CE476F" w:rsidP="00CE476F">
      <w:pPr>
        <w:spacing w:after="0" w:line="240" w:lineRule="auto"/>
        <w:ind w:right="-567"/>
        <w:rPr>
          <w:lang w:val="en-US"/>
        </w:rPr>
      </w:pPr>
      <w:r>
        <w:rPr>
          <w:lang w:val="en-US"/>
        </w:rPr>
        <w:t xml:space="preserve">    </w:t>
      </w:r>
      <w:r w:rsidR="00A40172" w:rsidRPr="00A40172">
        <w:rPr>
          <w:lang w:val="en-US"/>
        </w:rPr>
        <w:t xml:space="preserve"> cognitive decline in adults. BMJ 2011; 343:d4331.</w:t>
      </w:r>
    </w:p>
    <w:p w14:paraId="57E0E936" w14:textId="77777777" w:rsidR="00A40172" w:rsidRPr="00A40172" w:rsidRDefault="00A40172" w:rsidP="00CE476F">
      <w:pPr>
        <w:spacing w:after="0" w:line="240" w:lineRule="auto"/>
        <w:ind w:left="993" w:right="0"/>
        <w:rPr>
          <w:szCs w:val="20"/>
        </w:rPr>
      </w:pPr>
      <w:bookmarkStart w:id="6" w:name="_Toc501440352"/>
      <w:bookmarkEnd w:id="6"/>
    </w:p>
    <w:bookmarkEnd w:id="0"/>
    <w:p w14:paraId="76B9F95B" w14:textId="24513497" w:rsidR="00536A5A" w:rsidRPr="00536A5A" w:rsidRDefault="00536A5A" w:rsidP="00536A5A">
      <w:pPr>
        <w:spacing w:after="0" w:line="240" w:lineRule="auto"/>
        <w:ind w:left="0" w:right="0"/>
      </w:pPr>
    </w:p>
    <w:sectPr w:rsidR="00536A5A" w:rsidRPr="00536A5A" w:rsidSect="00A4017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D94349" w14:textId="77777777" w:rsidR="00536C70" w:rsidRDefault="00536C70">
      <w:r>
        <w:separator/>
      </w:r>
    </w:p>
  </w:endnote>
  <w:endnote w:type="continuationSeparator" w:id="0">
    <w:p w14:paraId="146B4537" w14:textId="77777777" w:rsidR="00536C70" w:rsidRDefault="00536C70">
      <w:r>
        <w:continuationSeparator/>
      </w:r>
    </w:p>
  </w:endnote>
  <w:endnote w:type="continuationNotice" w:id="1">
    <w:p w14:paraId="446A8000" w14:textId="77777777" w:rsidR="00536C70" w:rsidRDefault="00536C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Shell Dlg 2">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5F0A01" w14:textId="77777777" w:rsidR="00536C70" w:rsidRDefault="00536C70"/>
  </w:footnote>
  <w:footnote w:type="continuationSeparator" w:id="0">
    <w:p w14:paraId="62BFEBB3" w14:textId="77777777" w:rsidR="00536C70" w:rsidRDefault="00536C70">
      <w:r>
        <w:continuationSeparator/>
      </w:r>
    </w:p>
  </w:footnote>
  <w:footnote w:type="continuationNotice" w:id="1">
    <w:p w14:paraId="6A1A57A5" w14:textId="77777777" w:rsidR="00536C70" w:rsidRDefault="00536C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906A2C"/>
    <w:multiLevelType w:val="hybridMultilevel"/>
    <w:tmpl w:val="3EFA49E4"/>
    <w:lvl w:ilvl="0" w:tplc="FFFFFFFF">
      <w:numFmt w:val="bullet"/>
      <w:lvlText w:val="-"/>
      <w:lvlJc w:val="left"/>
      <w:pPr>
        <w:ind w:left="720" w:hanging="360"/>
      </w:pPr>
      <w:rPr>
        <w:rFonts w:ascii="Calibri" w:eastAsia="Times New Roman" w:hAnsi="Calibri"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6D66EA8"/>
    <w:multiLevelType w:val="hybridMultilevel"/>
    <w:tmpl w:val="E1A4DA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37363902">
    <w:abstractNumId w:val="19"/>
  </w:num>
  <w:num w:numId="2" w16cid:durableId="542907041">
    <w:abstractNumId w:val="15"/>
  </w:num>
  <w:num w:numId="3" w16cid:durableId="1649700357">
    <w:abstractNumId w:val="0"/>
  </w:num>
  <w:num w:numId="4" w16cid:durableId="1187983613">
    <w:abstractNumId w:val="6"/>
  </w:num>
  <w:num w:numId="5" w16cid:durableId="578832764">
    <w:abstractNumId w:val="17"/>
  </w:num>
  <w:num w:numId="6" w16cid:durableId="2059351072">
    <w:abstractNumId w:val="2"/>
  </w:num>
  <w:num w:numId="7" w16cid:durableId="383023804">
    <w:abstractNumId w:val="12"/>
  </w:num>
  <w:num w:numId="8" w16cid:durableId="939486789">
    <w:abstractNumId w:val="8"/>
  </w:num>
  <w:num w:numId="9" w16cid:durableId="1406605088">
    <w:abstractNumId w:val="1"/>
  </w:num>
  <w:num w:numId="10" w16cid:durableId="1597056723">
    <w:abstractNumId w:val="1"/>
  </w:num>
  <w:num w:numId="11" w16cid:durableId="1952397695">
    <w:abstractNumId w:val="3"/>
  </w:num>
  <w:num w:numId="12" w16cid:durableId="1570573169">
    <w:abstractNumId w:val="4"/>
  </w:num>
  <w:num w:numId="13" w16cid:durableId="913389682">
    <w:abstractNumId w:val="14"/>
  </w:num>
  <w:num w:numId="14" w16cid:durableId="1096751515">
    <w:abstractNumId w:val="9"/>
  </w:num>
  <w:num w:numId="15" w16cid:durableId="244416157">
    <w:abstractNumId w:val="7"/>
  </w:num>
  <w:num w:numId="16" w16cid:durableId="941180371">
    <w:abstractNumId w:val="13"/>
  </w:num>
  <w:num w:numId="17" w16cid:durableId="558788315">
    <w:abstractNumId w:val="5"/>
  </w:num>
  <w:num w:numId="18" w16cid:durableId="687098353">
    <w:abstractNumId w:val="11"/>
  </w:num>
  <w:num w:numId="19" w16cid:durableId="5518043">
    <w:abstractNumId w:val="18"/>
  </w:num>
  <w:num w:numId="20" w16cid:durableId="104273662">
    <w:abstractNumId w:val="10"/>
  </w:num>
  <w:num w:numId="21" w16cid:durableId="27953650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BE2"/>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36C70"/>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5D05"/>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172"/>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29C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764A"/>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76F"/>
    <w:rsid w:val="00CE4B73"/>
    <w:rsid w:val="00CF70BB"/>
    <w:rsid w:val="00D074DB"/>
    <w:rsid w:val="00D139CF"/>
    <w:rsid w:val="00D37E7F"/>
    <w:rsid w:val="00D464ED"/>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7AF5"/>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3</Pages>
  <Words>576</Words>
  <Characters>3059</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3628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Dexmedetomidin (Dexdor®) vid sedering på operation</dc:title>
  <dc:subject/>
  <dc:creator>patrik.jens.johansson@vgregion.se</dc:creator>
  <keywords/>
  <lastModifiedBy>Carina Turesson Roos</lastModifiedBy>
  <revision>8</revision>
  <lastPrinted>2016-03-31T10:56:00.0000000Z</lastPrinted>
  <dcterms:created xsi:type="dcterms:W3CDTF">2022-05-23T03:32:00.0000000Z</dcterms:created>
  <dcterms:modified xsi:type="dcterms:W3CDTF">2024-10-23T12:04:00.0000000Z</dcterms:modified>
</coreProperties>
</file>