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01608E8C" w:rsidR="00184167" w:rsidRDefault="00BE5AEF" w:rsidP="009A32ED">
      <w:pPr>
        <w:pStyle w:val="Rubrik1"/>
      </w:pPr>
      <w:r w:rsidRPr="00BE5AEF">
        <w:t>Intrahospital spinal rörelsebegränsning i samband med trauma</w:t>
      </w:r>
      <w:bookmarkStart w:id="0" w:name="_Toc321146591"/>
    </w:p>
    <w:p w14:paraId="11BC1DCA" w14:textId="77777777" w:rsidR="009A32ED" w:rsidRDefault="009A32ED" w:rsidP="00BE5AEF">
      <w:pPr>
        <w:pStyle w:val="Rubrik2"/>
      </w:pPr>
      <w:bookmarkStart w:id="1" w:name="_Toc100327184"/>
      <w:bookmarkStart w:id="2" w:name="_Toc232521050"/>
      <w:bookmarkEnd w:id="0"/>
      <w:r w:rsidRPr="00BE5AEF">
        <w:t>Förändringar</w:t>
      </w:r>
      <w:r>
        <w:t xml:space="preserve"> sedan föregående version</w:t>
      </w:r>
      <w:bookmarkEnd w:id="1"/>
      <w:bookmarkEnd w:id="2"/>
    </w:p>
    <w:p w14:paraId="35DDB9CF" w14:textId="4C03590E" w:rsidR="006670A0" w:rsidRPr="006670A0" w:rsidRDefault="006670A0" w:rsidP="006670A0">
      <w:r>
        <w:t>Mindre språklig revidering.</w:t>
      </w:r>
    </w:p>
    <w:p w14:paraId="69BCFD87" w14:textId="77777777" w:rsidR="009A32ED" w:rsidRDefault="009A32ED" w:rsidP="00BE5AEF">
      <w:pPr>
        <w:pStyle w:val="Rubrik2"/>
      </w:pPr>
      <w:bookmarkStart w:id="3" w:name="_Toc100327185"/>
      <w:bookmarkStart w:id="4" w:name="_Toc72840807"/>
      <w:bookmarkStart w:id="5" w:name="_Toc232521051"/>
      <w:r w:rsidRPr="00BE5AEF">
        <w:t>Sammanfattning</w:t>
      </w:r>
      <w:bookmarkEnd w:id="3"/>
      <w:bookmarkEnd w:id="5"/>
    </w:p>
    <w:p w14:paraId="305361E2" w14:textId="235E781B" w:rsidR="009A32ED" w:rsidRDefault="00BE5AEF" w:rsidP="00627535">
      <w:pPr>
        <w:ind w:right="282"/>
      </w:pPr>
      <w:r w:rsidRPr="00BE5AEF">
        <w:t>Spinal rörelsebegränsning ska anpassas efter patienten och inte tvärtom.</w:t>
      </w:r>
    </w:p>
    <w:p w14:paraId="3329EF77" w14:textId="23DAFE67" w:rsidR="00627535" w:rsidRPr="00627535" w:rsidRDefault="00B405A1" w:rsidP="00627535">
      <w:pPr>
        <w:pStyle w:val="Rubrik2"/>
        <w:rPr>
          <w:noProof/>
        </w:rPr>
      </w:pPr>
      <w:bookmarkStart w:id="6" w:name="_Toc232521052"/>
      <w:r>
        <w:t>Innehållsförteckning</w:t>
      </w:r>
      <w:bookmarkEnd w:id="6"/>
      <w:r w:rsidR="00D67C88">
        <w:fldChar w:fldCharType="begin"/>
      </w:r>
      <w:r w:rsidR="00D67C88">
        <w:instrText xml:space="preserve"> TOC \o "2-2" \h \z \u \t "Rubrik;1" </w:instrText>
      </w:r>
      <w:r w:rsidR="00D67C88">
        <w:fldChar w:fldCharType="separate"/>
      </w:r>
    </w:p>
    <w:p w14:paraId="6AD468BE" w14:textId="19087528" w:rsidR="00627535" w:rsidRDefault="00627535">
      <w:pPr>
        <w:pStyle w:val="Innehll2"/>
        <w:rPr>
          <w:rFonts w:asciiTheme="minorHAnsi" w:eastAsiaTheme="minorEastAsia" w:hAnsiTheme="minorHAnsi" w:cstheme="minorBidi"/>
          <w:noProof/>
          <w:kern w:val="2"/>
          <w14:ligatures w14:val="standardContextual"/>
        </w:rPr>
      </w:pPr>
      <w:hyperlink w:anchor="_Toc232521053" w:history="1">
        <w:r w:rsidRPr="009F1562">
          <w:rPr>
            <w:rStyle w:val="Hyperlnk"/>
            <w:rFonts w:eastAsia="MS Gothic"/>
            <w:noProof/>
          </w:rPr>
          <w:t>Syfte</w:t>
        </w:r>
        <w:r>
          <w:rPr>
            <w:noProof/>
            <w:webHidden/>
          </w:rPr>
          <w:tab/>
        </w:r>
        <w:r>
          <w:rPr>
            <w:noProof/>
            <w:webHidden/>
          </w:rPr>
          <w:fldChar w:fldCharType="begin"/>
        </w:r>
        <w:r>
          <w:rPr>
            <w:noProof/>
            <w:webHidden/>
          </w:rPr>
          <w:instrText xml:space="preserve"> PAGEREF _Toc232521053 \h </w:instrText>
        </w:r>
        <w:r>
          <w:rPr>
            <w:noProof/>
            <w:webHidden/>
          </w:rPr>
        </w:r>
        <w:r>
          <w:rPr>
            <w:noProof/>
            <w:webHidden/>
          </w:rPr>
          <w:fldChar w:fldCharType="separate"/>
        </w:r>
        <w:r>
          <w:rPr>
            <w:noProof/>
            <w:webHidden/>
          </w:rPr>
          <w:t>2</w:t>
        </w:r>
        <w:r>
          <w:rPr>
            <w:noProof/>
            <w:webHidden/>
          </w:rPr>
          <w:fldChar w:fldCharType="end"/>
        </w:r>
      </w:hyperlink>
    </w:p>
    <w:p w14:paraId="71C329EC" w14:textId="6C001A97" w:rsidR="00627535" w:rsidRDefault="00627535">
      <w:pPr>
        <w:pStyle w:val="Innehll2"/>
        <w:rPr>
          <w:rFonts w:asciiTheme="minorHAnsi" w:eastAsiaTheme="minorEastAsia" w:hAnsiTheme="minorHAnsi" w:cstheme="minorBidi"/>
          <w:noProof/>
          <w:kern w:val="2"/>
          <w14:ligatures w14:val="standardContextual"/>
        </w:rPr>
      </w:pPr>
      <w:hyperlink w:anchor="_Toc232521054" w:history="1">
        <w:r w:rsidRPr="009F1562">
          <w:rPr>
            <w:rStyle w:val="Hyperlnk"/>
            <w:rFonts w:eastAsia="MS Gothic"/>
            <w:noProof/>
          </w:rPr>
          <w:t>Bakgrund</w:t>
        </w:r>
        <w:r>
          <w:rPr>
            <w:noProof/>
            <w:webHidden/>
          </w:rPr>
          <w:tab/>
        </w:r>
        <w:r>
          <w:rPr>
            <w:noProof/>
            <w:webHidden/>
          </w:rPr>
          <w:fldChar w:fldCharType="begin"/>
        </w:r>
        <w:r>
          <w:rPr>
            <w:noProof/>
            <w:webHidden/>
          </w:rPr>
          <w:instrText xml:space="preserve"> PAGEREF _Toc232521054 \h </w:instrText>
        </w:r>
        <w:r>
          <w:rPr>
            <w:noProof/>
            <w:webHidden/>
          </w:rPr>
        </w:r>
        <w:r>
          <w:rPr>
            <w:noProof/>
            <w:webHidden/>
          </w:rPr>
          <w:fldChar w:fldCharType="separate"/>
        </w:r>
        <w:r>
          <w:rPr>
            <w:noProof/>
            <w:webHidden/>
          </w:rPr>
          <w:t>3</w:t>
        </w:r>
        <w:r>
          <w:rPr>
            <w:noProof/>
            <w:webHidden/>
          </w:rPr>
          <w:fldChar w:fldCharType="end"/>
        </w:r>
      </w:hyperlink>
    </w:p>
    <w:p w14:paraId="672C27F6" w14:textId="02EB5DB4" w:rsidR="00627535" w:rsidRDefault="00627535">
      <w:pPr>
        <w:pStyle w:val="Innehll2"/>
        <w:rPr>
          <w:rFonts w:asciiTheme="minorHAnsi" w:eastAsiaTheme="minorEastAsia" w:hAnsiTheme="minorHAnsi" w:cstheme="minorBidi"/>
          <w:noProof/>
          <w:kern w:val="2"/>
          <w14:ligatures w14:val="standardContextual"/>
        </w:rPr>
      </w:pPr>
      <w:hyperlink w:anchor="_Toc232521055" w:history="1">
        <w:r w:rsidRPr="009F1562">
          <w:rPr>
            <w:rStyle w:val="Hyperlnk"/>
            <w:rFonts w:eastAsia="MS Gothic"/>
            <w:noProof/>
          </w:rPr>
          <w:t>Arbetsbeskrivning/ Åtgärd</w:t>
        </w:r>
        <w:r>
          <w:rPr>
            <w:noProof/>
            <w:webHidden/>
          </w:rPr>
          <w:tab/>
        </w:r>
        <w:r>
          <w:rPr>
            <w:noProof/>
            <w:webHidden/>
          </w:rPr>
          <w:fldChar w:fldCharType="begin"/>
        </w:r>
        <w:r>
          <w:rPr>
            <w:noProof/>
            <w:webHidden/>
          </w:rPr>
          <w:instrText xml:space="preserve"> PAGEREF _Toc232521055 \h </w:instrText>
        </w:r>
        <w:r>
          <w:rPr>
            <w:noProof/>
            <w:webHidden/>
          </w:rPr>
        </w:r>
        <w:r>
          <w:rPr>
            <w:noProof/>
            <w:webHidden/>
          </w:rPr>
          <w:fldChar w:fldCharType="separate"/>
        </w:r>
        <w:r>
          <w:rPr>
            <w:noProof/>
            <w:webHidden/>
          </w:rPr>
          <w:t>3</w:t>
        </w:r>
        <w:r>
          <w:rPr>
            <w:noProof/>
            <w:webHidden/>
          </w:rPr>
          <w:fldChar w:fldCharType="end"/>
        </w:r>
      </w:hyperlink>
    </w:p>
    <w:p w14:paraId="2405F17E" w14:textId="4F6EE1FC" w:rsidR="00627535" w:rsidRDefault="00627535">
      <w:pPr>
        <w:pStyle w:val="Innehll2"/>
        <w:rPr>
          <w:rFonts w:asciiTheme="minorHAnsi" w:eastAsiaTheme="minorEastAsia" w:hAnsiTheme="minorHAnsi" w:cstheme="minorBidi"/>
          <w:noProof/>
          <w:kern w:val="2"/>
          <w14:ligatures w14:val="standardContextual"/>
        </w:rPr>
      </w:pPr>
      <w:hyperlink w:anchor="_Toc232521056" w:history="1">
        <w:r w:rsidRPr="009F1562">
          <w:rPr>
            <w:rStyle w:val="Hyperlnk"/>
            <w:rFonts w:eastAsia="MS Gothic"/>
            <w:noProof/>
          </w:rPr>
          <w:t>Allmän handläggning</w:t>
        </w:r>
        <w:r>
          <w:rPr>
            <w:noProof/>
            <w:webHidden/>
          </w:rPr>
          <w:tab/>
        </w:r>
        <w:r>
          <w:rPr>
            <w:noProof/>
            <w:webHidden/>
          </w:rPr>
          <w:fldChar w:fldCharType="begin"/>
        </w:r>
        <w:r>
          <w:rPr>
            <w:noProof/>
            <w:webHidden/>
          </w:rPr>
          <w:instrText xml:space="preserve"> PAGEREF _Toc232521056 \h </w:instrText>
        </w:r>
        <w:r>
          <w:rPr>
            <w:noProof/>
            <w:webHidden/>
          </w:rPr>
        </w:r>
        <w:r>
          <w:rPr>
            <w:noProof/>
            <w:webHidden/>
          </w:rPr>
          <w:fldChar w:fldCharType="separate"/>
        </w:r>
        <w:r>
          <w:rPr>
            <w:noProof/>
            <w:webHidden/>
          </w:rPr>
          <w:t>5</w:t>
        </w:r>
        <w:r>
          <w:rPr>
            <w:noProof/>
            <w:webHidden/>
          </w:rPr>
          <w:fldChar w:fldCharType="end"/>
        </w:r>
      </w:hyperlink>
    </w:p>
    <w:p w14:paraId="130E428C" w14:textId="182F22B1" w:rsidR="00627535" w:rsidRDefault="00627535">
      <w:pPr>
        <w:pStyle w:val="Innehll2"/>
        <w:rPr>
          <w:rFonts w:asciiTheme="minorHAnsi" w:eastAsiaTheme="minorEastAsia" w:hAnsiTheme="minorHAnsi" w:cstheme="minorBidi"/>
          <w:noProof/>
          <w:kern w:val="2"/>
          <w14:ligatures w14:val="standardContextual"/>
        </w:rPr>
      </w:pPr>
      <w:hyperlink w:anchor="_Toc232521057" w:history="1">
        <w:r w:rsidRPr="009F1562">
          <w:rPr>
            <w:rStyle w:val="Hyperlnk"/>
            <w:rFonts w:eastAsia="MS Gothic"/>
            <w:noProof/>
          </w:rPr>
          <w:t>Frikännande från spinal skada</w:t>
        </w:r>
        <w:r>
          <w:rPr>
            <w:noProof/>
            <w:webHidden/>
          </w:rPr>
          <w:tab/>
        </w:r>
        <w:r>
          <w:rPr>
            <w:noProof/>
            <w:webHidden/>
          </w:rPr>
          <w:fldChar w:fldCharType="begin"/>
        </w:r>
        <w:r>
          <w:rPr>
            <w:noProof/>
            <w:webHidden/>
          </w:rPr>
          <w:instrText xml:space="preserve"> PAGEREF _Toc232521057 \h </w:instrText>
        </w:r>
        <w:r>
          <w:rPr>
            <w:noProof/>
            <w:webHidden/>
          </w:rPr>
        </w:r>
        <w:r>
          <w:rPr>
            <w:noProof/>
            <w:webHidden/>
          </w:rPr>
          <w:fldChar w:fldCharType="separate"/>
        </w:r>
        <w:r>
          <w:rPr>
            <w:noProof/>
            <w:webHidden/>
          </w:rPr>
          <w:t>6</w:t>
        </w:r>
        <w:r>
          <w:rPr>
            <w:noProof/>
            <w:webHidden/>
          </w:rPr>
          <w:fldChar w:fldCharType="end"/>
        </w:r>
      </w:hyperlink>
    </w:p>
    <w:p w14:paraId="251BAB2F" w14:textId="74E76956" w:rsidR="00627535" w:rsidRDefault="00627535">
      <w:pPr>
        <w:pStyle w:val="Innehll2"/>
        <w:rPr>
          <w:rFonts w:asciiTheme="minorHAnsi" w:eastAsiaTheme="minorEastAsia" w:hAnsiTheme="minorHAnsi" w:cstheme="minorBidi"/>
          <w:noProof/>
          <w:kern w:val="2"/>
          <w14:ligatures w14:val="standardContextual"/>
        </w:rPr>
      </w:pPr>
      <w:hyperlink w:anchor="_Toc232521058" w:history="1">
        <w:r w:rsidRPr="009F1562">
          <w:rPr>
            <w:rStyle w:val="Hyperlnk"/>
            <w:rFonts w:eastAsia="MS Gothic"/>
            <w:noProof/>
          </w:rPr>
          <w:t>Avveckling av spinal rörelsebegränsning</w:t>
        </w:r>
        <w:r>
          <w:rPr>
            <w:noProof/>
            <w:webHidden/>
          </w:rPr>
          <w:tab/>
        </w:r>
        <w:r>
          <w:rPr>
            <w:noProof/>
            <w:webHidden/>
          </w:rPr>
          <w:fldChar w:fldCharType="begin"/>
        </w:r>
        <w:r>
          <w:rPr>
            <w:noProof/>
            <w:webHidden/>
          </w:rPr>
          <w:instrText xml:space="preserve"> PAGEREF _Toc232521058 \h </w:instrText>
        </w:r>
        <w:r>
          <w:rPr>
            <w:noProof/>
            <w:webHidden/>
          </w:rPr>
        </w:r>
        <w:r>
          <w:rPr>
            <w:noProof/>
            <w:webHidden/>
          </w:rPr>
          <w:fldChar w:fldCharType="separate"/>
        </w:r>
        <w:r>
          <w:rPr>
            <w:noProof/>
            <w:webHidden/>
          </w:rPr>
          <w:t>7</w:t>
        </w:r>
        <w:r>
          <w:rPr>
            <w:noProof/>
            <w:webHidden/>
          </w:rPr>
          <w:fldChar w:fldCharType="end"/>
        </w:r>
      </w:hyperlink>
    </w:p>
    <w:p w14:paraId="3182F800" w14:textId="44C40B48" w:rsidR="00627535" w:rsidRDefault="00627535">
      <w:pPr>
        <w:pStyle w:val="Innehll2"/>
        <w:rPr>
          <w:rFonts w:asciiTheme="minorHAnsi" w:eastAsiaTheme="minorEastAsia" w:hAnsiTheme="minorHAnsi" w:cstheme="minorBidi"/>
          <w:noProof/>
          <w:kern w:val="2"/>
          <w14:ligatures w14:val="standardContextual"/>
        </w:rPr>
      </w:pPr>
      <w:hyperlink w:anchor="_Toc232521059" w:history="1">
        <w:r w:rsidRPr="009F1562">
          <w:rPr>
            <w:rStyle w:val="Hyperlnk"/>
            <w:rFonts w:eastAsia="MS Gothic"/>
            <w:noProof/>
          </w:rPr>
          <w:t>Särskilda omständigheter</w:t>
        </w:r>
        <w:r>
          <w:rPr>
            <w:noProof/>
            <w:webHidden/>
          </w:rPr>
          <w:tab/>
        </w:r>
        <w:r>
          <w:rPr>
            <w:noProof/>
            <w:webHidden/>
          </w:rPr>
          <w:fldChar w:fldCharType="begin"/>
        </w:r>
        <w:r>
          <w:rPr>
            <w:noProof/>
            <w:webHidden/>
          </w:rPr>
          <w:instrText xml:space="preserve"> PAGEREF _Toc232521059 \h </w:instrText>
        </w:r>
        <w:r>
          <w:rPr>
            <w:noProof/>
            <w:webHidden/>
          </w:rPr>
        </w:r>
        <w:r>
          <w:rPr>
            <w:noProof/>
            <w:webHidden/>
          </w:rPr>
          <w:fldChar w:fldCharType="separate"/>
        </w:r>
        <w:r>
          <w:rPr>
            <w:noProof/>
            <w:webHidden/>
          </w:rPr>
          <w:t>7</w:t>
        </w:r>
        <w:r>
          <w:rPr>
            <w:noProof/>
            <w:webHidden/>
          </w:rPr>
          <w:fldChar w:fldCharType="end"/>
        </w:r>
      </w:hyperlink>
    </w:p>
    <w:p w14:paraId="0870EE3F" w14:textId="63BC25AB" w:rsidR="00627535" w:rsidRDefault="00627535">
      <w:pPr>
        <w:pStyle w:val="Innehll2"/>
        <w:rPr>
          <w:rFonts w:asciiTheme="minorHAnsi" w:eastAsiaTheme="minorEastAsia" w:hAnsiTheme="minorHAnsi" w:cstheme="minorBidi"/>
          <w:noProof/>
          <w:kern w:val="2"/>
          <w14:ligatures w14:val="standardContextual"/>
        </w:rPr>
      </w:pPr>
      <w:hyperlink w:anchor="_Toc232521060" w:history="1">
        <w:r w:rsidRPr="009F1562">
          <w:rPr>
            <w:rStyle w:val="Hyperlnk"/>
            <w:rFonts w:eastAsia="MS Gothic"/>
            <w:noProof/>
          </w:rPr>
          <w:t>Avveckling av spinal rörelsebegränsning</w:t>
        </w:r>
        <w:r>
          <w:rPr>
            <w:noProof/>
            <w:webHidden/>
          </w:rPr>
          <w:tab/>
        </w:r>
        <w:r>
          <w:rPr>
            <w:noProof/>
            <w:webHidden/>
          </w:rPr>
          <w:fldChar w:fldCharType="begin"/>
        </w:r>
        <w:r>
          <w:rPr>
            <w:noProof/>
            <w:webHidden/>
          </w:rPr>
          <w:instrText xml:space="preserve"> PAGEREF _Toc232521060 \h </w:instrText>
        </w:r>
        <w:r>
          <w:rPr>
            <w:noProof/>
            <w:webHidden/>
          </w:rPr>
        </w:r>
        <w:r>
          <w:rPr>
            <w:noProof/>
            <w:webHidden/>
          </w:rPr>
          <w:fldChar w:fldCharType="separate"/>
        </w:r>
        <w:r>
          <w:rPr>
            <w:noProof/>
            <w:webHidden/>
          </w:rPr>
          <w:t>8</w:t>
        </w:r>
        <w:r>
          <w:rPr>
            <w:noProof/>
            <w:webHidden/>
          </w:rPr>
          <w:fldChar w:fldCharType="end"/>
        </w:r>
      </w:hyperlink>
    </w:p>
    <w:p w14:paraId="6F709CFB" w14:textId="03A97D50" w:rsidR="00627535" w:rsidRDefault="00627535">
      <w:pPr>
        <w:pStyle w:val="Innehll2"/>
        <w:rPr>
          <w:rFonts w:asciiTheme="minorHAnsi" w:eastAsiaTheme="minorEastAsia" w:hAnsiTheme="minorHAnsi" w:cstheme="minorBidi"/>
          <w:noProof/>
          <w:kern w:val="2"/>
          <w14:ligatures w14:val="standardContextual"/>
        </w:rPr>
      </w:pPr>
      <w:hyperlink w:anchor="_Toc232521061" w:history="1">
        <w:r w:rsidRPr="009F1562">
          <w:rPr>
            <w:rStyle w:val="Hyperlnk"/>
            <w:rFonts w:eastAsia="MS Gothic"/>
            <w:noProof/>
          </w:rPr>
          <w:t>Förflyttning till annat sjukhus</w:t>
        </w:r>
        <w:r>
          <w:rPr>
            <w:noProof/>
            <w:webHidden/>
          </w:rPr>
          <w:tab/>
        </w:r>
        <w:r>
          <w:rPr>
            <w:noProof/>
            <w:webHidden/>
          </w:rPr>
          <w:fldChar w:fldCharType="begin"/>
        </w:r>
        <w:r>
          <w:rPr>
            <w:noProof/>
            <w:webHidden/>
          </w:rPr>
          <w:instrText xml:space="preserve"> PAGEREF _Toc232521061 \h </w:instrText>
        </w:r>
        <w:r>
          <w:rPr>
            <w:noProof/>
            <w:webHidden/>
          </w:rPr>
        </w:r>
        <w:r>
          <w:rPr>
            <w:noProof/>
            <w:webHidden/>
          </w:rPr>
          <w:fldChar w:fldCharType="separate"/>
        </w:r>
        <w:r>
          <w:rPr>
            <w:noProof/>
            <w:webHidden/>
          </w:rPr>
          <w:t>8</w:t>
        </w:r>
        <w:r>
          <w:rPr>
            <w:noProof/>
            <w:webHidden/>
          </w:rPr>
          <w:fldChar w:fldCharType="end"/>
        </w:r>
      </w:hyperlink>
    </w:p>
    <w:p w14:paraId="4E434EEE" w14:textId="61B25382" w:rsidR="00627535" w:rsidRDefault="00627535">
      <w:pPr>
        <w:pStyle w:val="Innehll2"/>
        <w:rPr>
          <w:rFonts w:asciiTheme="minorHAnsi" w:eastAsiaTheme="minorEastAsia" w:hAnsiTheme="minorHAnsi" w:cstheme="minorBidi"/>
          <w:noProof/>
          <w:kern w:val="2"/>
          <w14:ligatures w14:val="standardContextual"/>
        </w:rPr>
      </w:pPr>
      <w:hyperlink w:anchor="_Toc232521062" w:history="1">
        <w:r w:rsidRPr="009F1562">
          <w:rPr>
            <w:rStyle w:val="Hyperlnk"/>
            <w:rFonts w:eastAsia="MS Gothic"/>
            <w:noProof/>
          </w:rPr>
          <w:t>Intrahospital spinal rörelsebegränsning i samband med trauma hos barn (under 16 år)</w:t>
        </w:r>
        <w:r>
          <w:rPr>
            <w:noProof/>
            <w:webHidden/>
          </w:rPr>
          <w:tab/>
        </w:r>
        <w:r>
          <w:rPr>
            <w:noProof/>
            <w:webHidden/>
          </w:rPr>
          <w:fldChar w:fldCharType="begin"/>
        </w:r>
        <w:r>
          <w:rPr>
            <w:noProof/>
            <w:webHidden/>
          </w:rPr>
          <w:instrText xml:space="preserve"> PAGEREF _Toc232521062 \h </w:instrText>
        </w:r>
        <w:r>
          <w:rPr>
            <w:noProof/>
            <w:webHidden/>
          </w:rPr>
        </w:r>
        <w:r>
          <w:rPr>
            <w:noProof/>
            <w:webHidden/>
          </w:rPr>
          <w:fldChar w:fldCharType="separate"/>
        </w:r>
        <w:r>
          <w:rPr>
            <w:noProof/>
            <w:webHidden/>
          </w:rPr>
          <w:t>8</w:t>
        </w:r>
        <w:r>
          <w:rPr>
            <w:noProof/>
            <w:webHidden/>
          </w:rPr>
          <w:fldChar w:fldCharType="end"/>
        </w:r>
      </w:hyperlink>
    </w:p>
    <w:p w14:paraId="0737E325" w14:textId="10F7AD54" w:rsidR="00627535" w:rsidRDefault="00627535">
      <w:pPr>
        <w:pStyle w:val="Innehll2"/>
        <w:rPr>
          <w:rFonts w:asciiTheme="minorHAnsi" w:eastAsiaTheme="minorEastAsia" w:hAnsiTheme="minorHAnsi" w:cstheme="minorBidi"/>
          <w:noProof/>
          <w:kern w:val="2"/>
          <w14:ligatures w14:val="standardContextual"/>
        </w:rPr>
      </w:pPr>
      <w:hyperlink w:anchor="_Toc232521063" w:history="1">
        <w:r w:rsidRPr="009F1562">
          <w:rPr>
            <w:rStyle w:val="Hyperlnk"/>
            <w:rFonts w:eastAsia="MS Gothic"/>
            <w:noProof/>
          </w:rPr>
          <w:t>Definitioner</w:t>
        </w:r>
        <w:r>
          <w:rPr>
            <w:noProof/>
            <w:webHidden/>
          </w:rPr>
          <w:tab/>
        </w:r>
        <w:r>
          <w:rPr>
            <w:noProof/>
            <w:webHidden/>
          </w:rPr>
          <w:fldChar w:fldCharType="begin"/>
        </w:r>
        <w:r>
          <w:rPr>
            <w:noProof/>
            <w:webHidden/>
          </w:rPr>
          <w:instrText xml:space="preserve"> PAGEREF _Toc232521063 \h </w:instrText>
        </w:r>
        <w:r>
          <w:rPr>
            <w:noProof/>
            <w:webHidden/>
          </w:rPr>
        </w:r>
        <w:r>
          <w:rPr>
            <w:noProof/>
            <w:webHidden/>
          </w:rPr>
          <w:fldChar w:fldCharType="separate"/>
        </w:r>
        <w:r>
          <w:rPr>
            <w:noProof/>
            <w:webHidden/>
          </w:rPr>
          <w:t>9</w:t>
        </w:r>
        <w:r>
          <w:rPr>
            <w:noProof/>
            <w:webHidden/>
          </w:rPr>
          <w:fldChar w:fldCharType="end"/>
        </w:r>
      </w:hyperlink>
    </w:p>
    <w:p w14:paraId="0611BE63" w14:textId="72C48ED3" w:rsidR="00627535" w:rsidRDefault="00627535">
      <w:pPr>
        <w:pStyle w:val="Innehll2"/>
        <w:rPr>
          <w:rFonts w:asciiTheme="minorHAnsi" w:eastAsiaTheme="minorEastAsia" w:hAnsiTheme="minorHAnsi" w:cstheme="minorBidi"/>
          <w:noProof/>
          <w:kern w:val="2"/>
          <w14:ligatures w14:val="standardContextual"/>
        </w:rPr>
      </w:pPr>
      <w:hyperlink w:anchor="_Toc232521064" w:history="1">
        <w:r w:rsidRPr="009F1562">
          <w:rPr>
            <w:rStyle w:val="Hyperlnk"/>
            <w:rFonts w:eastAsia="MS Gothic"/>
            <w:noProof/>
          </w:rPr>
          <w:t>Referenser och relaterade dokument</w:t>
        </w:r>
        <w:r>
          <w:rPr>
            <w:noProof/>
            <w:webHidden/>
          </w:rPr>
          <w:tab/>
        </w:r>
        <w:r>
          <w:rPr>
            <w:noProof/>
            <w:webHidden/>
          </w:rPr>
          <w:fldChar w:fldCharType="begin"/>
        </w:r>
        <w:r>
          <w:rPr>
            <w:noProof/>
            <w:webHidden/>
          </w:rPr>
          <w:instrText xml:space="preserve"> PAGEREF _Toc232521064 \h </w:instrText>
        </w:r>
        <w:r>
          <w:rPr>
            <w:noProof/>
            <w:webHidden/>
          </w:rPr>
        </w:r>
        <w:r>
          <w:rPr>
            <w:noProof/>
            <w:webHidden/>
          </w:rPr>
          <w:fldChar w:fldCharType="separate"/>
        </w:r>
        <w:r>
          <w:rPr>
            <w:noProof/>
            <w:webHidden/>
          </w:rPr>
          <w:t>10</w:t>
        </w:r>
        <w:r>
          <w:rPr>
            <w:noProof/>
            <w:webHidden/>
          </w:rPr>
          <w:fldChar w:fldCharType="end"/>
        </w:r>
      </w:hyperlink>
    </w:p>
    <w:p w14:paraId="63D7193B" w14:textId="6C8AEA27" w:rsidR="00BE5AEF" w:rsidRDefault="00D67C88" w:rsidP="00627535">
      <w:pPr>
        <w:ind w:left="0"/>
      </w:pPr>
      <w:r>
        <w:lastRenderedPageBreak/>
        <w:fldChar w:fldCharType="end"/>
      </w:r>
      <w:bookmarkStart w:id="7" w:name="_Toc232521053"/>
      <w:r w:rsidR="00BE5AEF" w:rsidRPr="006703EB">
        <w:rPr>
          <w:rStyle w:val="Rubrik2Char"/>
        </w:rPr>
        <w:t>Syfte</w:t>
      </w:r>
      <w:bookmarkEnd w:id="7"/>
      <w:r w:rsidR="00BE5AEF">
        <w:br/>
      </w:r>
      <w:r w:rsidR="00BE5AEF" w:rsidRPr="7E47D4B0">
        <w:t>Tydliggöra intrahospital spinal rörelsebegränsning (SRB) för patienter vid Traumalarm nivå 1 och 2 för ett enhetligt och säkert omhändertagande.</w:t>
      </w:r>
    </w:p>
    <w:tbl>
      <w:tblPr>
        <w:tblStyle w:val="Tabellrutnt"/>
        <w:tblW w:w="9908" w:type="dxa"/>
        <w:tblLayout w:type="fixed"/>
        <w:tblLook w:val="04A0" w:firstRow="1" w:lastRow="0" w:firstColumn="1" w:lastColumn="0" w:noHBand="0" w:noVBand="1"/>
      </w:tblPr>
      <w:tblGrid>
        <w:gridCol w:w="3246"/>
        <w:gridCol w:w="3402"/>
        <w:gridCol w:w="3260"/>
      </w:tblGrid>
      <w:tr w:rsidR="00BE5AEF" w14:paraId="101BF361" w14:textId="77777777" w:rsidTr="00DD7C2B">
        <w:trPr>
          <w:trHeight w:val="375"/>
        </w:trPr>
        <w:tc>
          <w:tcPr>
            <w:tcW w:w="3246" w:type="dxa"/>
            <w:tcBorders>
              <w:top w:val="single" w:sz="12" w:space="0" w:color="auto"/>
              <w:left w:val="single" w:sz="12" w:space="0" w:color="auto"/>
              <w:bottom w:val="single" w:sz="12" w:space="0" w:color="auto"/>
              <w:right w:val="single" w:sz="12" w:space="0" w:color="auto"/>
            </w:tcBorders>
            <w:tcMar>
              <w:left w:w="108" w:type="dxa"/>
              <w:right w:w="108" w:type="dxa"/>
            </w:tcMar>
          </w:tcPr>
          <w:bookmarkEnd w:id="4"/>
          <w:p w14:paraId="1058ED98" w14:textId="77777777" w:rsidR="00BE5AEF" w:rsidRDefault="00BE5AEF" w:rsidP="00DD7C2B">
            <w:pPr>
              <w:tabs>
                <w:tab w:val="left" w:pos="0"/>
                <w:tab w:val="left" w:pos="426"/>
              </w:tabs>
              <w:ind w:right="0"/>
            </w:pPr>
            <w:r w:rsidRPr="7E47D4B0">
              <w:rPr>
                <w:b/>
                <w:bCs/>
              </w:rPr>
              <w:t>Trauma Nivå 1</w:t>
            </w:r>
          </w:p>
        </w:tc>
        <w:tc>
          <w:tcPr>
            <w:tcW w:w="3402" w:type="dxa"/>
            <w:tcBorders>
              <w:top w:val="single" w:sz="12" w:space="0" w:color="auto"/>
              <w:left w:val="single" w:sz="12" w:space="0" w:color="auto"/>
              <w:bottom w:val="single" w:sz="12" w:space="0" w:color="auto"/>
              <w:right w:val="single" w:sz="12" w:space="0" w:color="auto"/>
            </w:tcBorders>
            <w:tcMar>
              <w:left w:w="108" w:type="dxa"/>
              <w:right w:w="108" w:type="dxa"/>
            </w:tcMar>
          </w:tcPr>
          <w:p w14:paraId="3E9FA9CC" w14:textId="77777777" w:rsidR="00BE5AEF" w:rsidRDefault="00BE5AEF" w:rsidP="00DD7C2B">
            <w:pPr>
              <w:tabs>
                <w:tab w:val="left" w:pos="0"/>
                <w:tab w:val="left" w:pos="426"/>
              </w:tabs>
              <w:ind w:right="0"/>
            </w:pPr>
            <w:r w:rsidRPr="7E47D4B0">
              <w:rPr>
                <w:b/>
                <w:bCs/>
              </w:rPr>
              <w:t>Trauma Nivå 2</w:t>
            </w:r>
            <w:r>
              <w:rPr>
                <w:b/>
                <w:bCs/>
              </w:rPr>
              <w:br/>
              <w:t>- CT utförs inom 30 min</w:t>
            </w:r>
          </w:p>
        </w:tc>
        <w:tc>
          <w:tcPr>
            <w:tcW w:w="3260" w:type="dxa"/>
            <w:tcBorders>
              <w:top w:val="single" w:sz="12" w:space="0" w:color="auto"/>
              <w:left w:val="single" w:sz="12" w:space="0" w:color="auto"/>
              <w:bottom w:val="single" w:sz="12" w:space="0" w:color="auto"/>
              <w:right w:val="single" w:sz="12" w:space="0" w:color="auto"/>
            </w:tcBorders>
          </w:tcPr>
          <w:p w14:paraId="0E41DF30" w14:textId="77777777" w:rsidR="00BE5AEF" w:rsidRPr="7E47D4B0" w:rsidRDefault="00BE5AEF" w:rsidP="00DD7C2B">
            <w:pPr>
              <w:tabs>
                <w:tab w:val="left" w:pos="0"/>
                <w:tab w:val="left" w:pos="426"/>
              </w:tabs>
              <w:ind w:right="0"/>
              <w:rPr>
                <w:b/>
                <w:bCs/>
              </w:rPr>
            </w:pPr>
            <w:r>
              <w:rPr>
                <w:b/>
                <w:bCs/>
              </w:rPr>
              <w:t xml:space="preserve">Trauma Nivå 2 </w:t>
            </w:r>
            <w:r>
              <w:rPr>
                <w:b/>
                <w:bCs/>
              </w:rPr>
              <w:br/>
              <w:t>– CT utförs ej direkt</w:t>
            </w:r>
          </w:p>
        </w:tc>
      </w:tr>
      <w:tr w:rsidR="00BE5AEF" w:rsidRPr="00CC69FF" w14:paraId="5D46235E" w14:textId="77777777" w:rsidTr="00DD7C2B">
        <w:trPr>
          <w:trHeight w:val="300"/>
        </w:trPr>
        <w:tc>
          <w:tcPr>
            <w:tcW w:w="3246" w:type="dxa"/>
            <w:tcBorders>
              <w:top w:val="single" w:sz="12" w:space="0" w:color="auto"/>
              <w:left w:val="single" w:sz="12" w:space="0" w:color="auto"/>
              <w:bottom w:val="single" w:sz="12" w:space="0" w:color="auto"/>
              <w:right w:val="single" w:sz="12" w:space="0" w:color="auto"/>
            </w:tcBorders>
            <w:tcMar>
              <w:left w:w="108" w:type="dxa"/>
              <w:right w:w="108" w:type="dxa"/>
            </w:tcMar>
          </w:tcPr>
          <w:p w14:paraId="1B5499E5" w14:textId="77777777" w:rsidR="00BE5AEF" w:rsidRPr="00BE5AEF" w:rsidRDefault="00BE5AEF" w:rsidP="00BE5AEF">
            <w:pPr>
              <w:pStyle w:val="Liststycke"/>
              <w:numPr>
                <w:ilvl w:val="0"/>
                <w:numId w:val="22"/>
              </w:numPr>
              <w:shd w:val="clear" w:color="auto" w:fill="FFFFFF" w:themeFill="background1"/>
              <w:spacing w:after="0" w:line="288" w:lineRule="auto"/>
              <w:ind w:left="459" w:right="0"/>
              <w:rPr>
                <w:rFonts w:ascii="Calibri" w:eastAsia="Calibri" w:hAnsi="Calibri" w:cs="Calibri"/>
                <w:color w:val="000000" w:themeColor="text2"/>
                <w:sz w:val="20"/>
                <w:szCs w:val="20"/>
              </w:rPr>
            </w:pPr>
            <w:r w:rsidRPr="00BE5AEF">
              <w:rPr>
                <w:rFonts w:ascii="Calibri" w:eastAsia="Calibri" w:hAnsi="Calibri" w:cs="Calibri"/>
                <w:color w:val="000000" w:themeColor="text2"/>
                <w:sz w:val="20"/>
                <w:szCs w:val="20"/>
              </w:rPr>
              <w:t>CT-undersökning utförs direkt</w:t>
            </w:r>
          </w:p>
          <w:p w14:paraId="17A0AEE0" w14:textId="77777777" w:rsidR="00BE5AEF" w:rsidRPr="00BE5AEF" w:rsidRDefault="00BE5AEF" w:rsidP="00BE5AEF">
            <w:pPr>
              <w:pStyle w:val="Liststycke"/>
              <w:numPr>
                <w:ilvl w:val="0"/>
                <w:numId w:val="22"/>
              </w:numPr>
              <w:shd w:val="clear" w:color="auto" w:fill="FFFFFF" w:themeFill="background1"/>
              <w:spacing w:after="0" w:line="288" w:lineRule="auto"/>
              <w:ind w:left="459" w:right="0"/>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Patienten kvarstannar på Trauma transfer tills CT är gjord</w:t>
            </w:r>
          </w:p>
          <w:p w14:paraId="0A618233" w14:textId="77777777" w:rsidR="00BE5AEF" w:rsidRPr="00BE5AE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color w:val="000000" w:themeColor="text2"/>
                <w:sz w:val="20"/>
                <w:szCs w:val="20"/>
              </w:rPr>
            </w:pPr>
            <w:r w:rsidRPr="00BE5AEF">
              <w:rPr>
                <w:rFonts w:ascii="Calibri" w:eastAsia="Calibri" w:hAnsi="Calibri" w:cs="Calibri"/>
                <w:color w:val="000000" w:themeColor="text2"/>
                <w:sz w:val="20"/>
                <w:szCs w:val="20"/>
              </w:rPr>
              <w:t>Den skadade ska tas omhand på ett sätt så att minsta möjliga förflyttning görs</w:t>
            </w:r>
          </w:p>
          <w:p w14:paraId="59CC8231" w14:textId="77777777" w:rsidR="00BE5AEF" w:rsidRPr="00BE5AE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 xml:space="preserve">På röntgen: </w:t>
            </w:r>
          </w:p>
          <w:p w14:paraId="15AB7D53" w14:textId="77777777" w:rsidR="00BE5AEF" w:rsidRPr="00BE5AEF" w:rsidRDefault="00BE5AEF" w:rsidP="00BE5AEF">
            <w:pPr>
              <w:pStyle w:val="Liststycke"/>
              <w:numPr>
                <w:ilvl w:val="0"/>
                <w:numId w:val="21"/>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Förflyttning sker med hjälp av Trauma transfer</w:t>
            </w:r>
          </w:p>
          <w:p w14:paraId="6EF3A5BA" w14:textId="77777777" w:rsidR="00BE5AEF" w:rsidRPr="00BE5AEF" w:rsidRDefault="00BE5AEF" w:rsidP="00BE5AEF">
            <w:pPr>
              <w:pStyle w:val="Liststycke"/>
              <w:numPr>
                <w:ilvl w:val="0"/>
                <w:numId w:val="21"/>
              </w:numPr>
              <w:shd w:val="clear" w:color="auto" w:fill="FFFFFF" w:themeFill="background1"/>
              <w:spacing w:after="0" w:line="288" w:lineRule="auto"/>
              <w:ind w:right="0"/>
              <w:rPr>
                <w:rFonts w:ascii="Calibri" w:eastAsia="Calibri" w:hAnsi="Calibri" w:cs="Calibri"/>
                <w:color w:val="000000" w:themeColor="text2"/>
                <w:sz w:val="20"/>
                <w:szCs w:val="20"/>
              </w:rPr>
            </w:pPr>
            <w:r w:rsidRPr="00BE5AEF">
              <w:rPr>
                <w:rFonts w:ascii="Calibri" w:eastAsia="Calibri" w:hAnsi="Calibri" w:cs="Calibri"/>
                <w:color w:val="000000" w:themeColor="text2"/>
                <w:sz w:val="20"/>
                <w:szCs w:val="20"/>
              </w:rPr>
              <w:t>Rörelsebegränsning vid förflyttning</w:t>
            </w:r>
          </w:p>
          <w:p w14:paraId="1429C2D7" w14:textId="77777777" w:rsidR="00BE5AEF" w:rsidRPr="00BE5AE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Efter CT, vid ankomst till</w:t>
            </w:r>
            <w:r w:rsidRPr="00BE5AEF">
              <w:rPr>
                <w:rFonts w:ascii="Calibri" w:eastAsia="Calibri" w:hAnsi="Calibri" w:cs="Calibri"/>
                <w:b/>
                <w:bCs/>
                <w:color w:val="000000" w:themeColor="text2"/>
                <w:sz w:val="20"/>
                <w:szCs w:val="20"/>
              </w:rPr>
              <w:br/>
              <w:t xml:space="preserve">IVA/Akuten/avdelning: </w:t>
            </w:r>
          </w:p>
          <w:p w14:paraId="212465BC" w14:textId="77777777" w:rsidR="00BE5AEF" w:rsidRPr="00BE5AEF" w:rsidRDefault="00BE5AEF" w:rsidP="00BE5AEF">
            <w:pPr>
              <w:pStyle w:val="Liststycke"/>
              <w:numPr>
                <w:ilvl w:val="0"/>
                <w:numId w:val="20"/>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 xml:space="preserve">Säker </w:t>
            </w:r>
            <w:proofErr w:type="spellStart"/>
            <w:r w:rsidRPr="00BE5AEF">
              <w:rPr>
                <w:rFonts w:ascii="Calibri" w:eastAsia="Calibri" w:hAnsi="Calibri" w:cs="Calibri"/>
                <w:b/>
                <w:bCs/>
                <w:color w:val="000000" w:themeColor="text2"/>
                <w:sz w:val="20"/>
                <w:szCs w:val="20"/>
              </w:rPr>
              <w:t>överflytt</w:t>
            </w:r>
            <w:proofErr w:type="spellEnd"/>
            <w:r w:rsidRPr="00BE5AEF">
              <w:rPr>
                <w:rFonts w:ascii="Calibri" w:eastAsia="Calibri" w:hAnsi="Calibri" w:cs="Calibri"/>
                <w:b/>
                <w:bCs/>
                <w:color w:val="000000" w:themeColor="text2"/>
                <w:sz w:val="20"/>
                <w:szCs w:val="20"/>
              </w:rPr>
              <w:t xml:space="preserve"> till mjuk brits/säng med stöd för halsryggen,</w:t>
            </w:r>
            <w:r w:rsidRPr="00BE5AEF">
              <w:rPr>
                <w:rFonts w:ascii="Calibri" w:eastAsia="Calibri" w:hAnsi="Calibri" w:cs="Calibri"/>
                <w:color w:val="000000" w:themeColor="text2"/>
                <w:sz w:val="20"/>
                <w:szCs w:val="20"/>
              </w:rPr>
              <w:t xml:space="preserve"> huvudändan kan höjas till 30° om bekvämt</w:t>
            </w:r>
          </w:p>
          <w:p w14:paraId="0C5F968C" w14:textId="77777777" w:rsidR="00BE5AEF" w:rsidRPr="00BE5AEF" w:rsidRDefault="00BE5AEF" w:rsidP="00BE5AEF">
            <w:pPr>
              <w:pStyle w:val="Liststycke"/>
              <w:numPr>
                <w:ilvl w:val="0"/>
                <w:numId w:val="20"/>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color w:val="000000" w:themeColor="text2"/>
                <w:sz w:val="20"/>
                <w:szCs w:val="20"/>
              </w:rPr>
              <w:t>Den skadade ska tas omhand på ett sätt så att minsta möjliga förflyttning görs</w:t>
            </w:r>
          </w:p>
          <w:p w14:paraId="4A1F23A5" w14:textId="77777777" w:rsidR="00BE5AEF" w:rsidRPr="00BE5AEF" w:rsidRDefault="00BE5AEF" w:rsidP="00BE5AEF">
            <w:pPr>
              <w:pStyle w:val="Liststycke"/>
              <w:numPr>
                <w:ilvl w:val="0"/>
                <w:numId w:val="20"/>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Huvudblock eller sandsäckar</w:t>
            </w:r>
          </w:p>
          <w:p w14:paraId="27A73FEB" w14:textId="77777777" w:rsidR="00BE5AEF" w:rsidRPr="00BE5AEF" w:rsidRDefault="00BE5AEF" w:rsidP="00BE5AEF">
            <w:pPr>
              <w:pStyle w:val="Liststycke"/>
              <w:numPr>
                <w:ilvl w:val="0"/>
                <w:numId w:val="20"/>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Rörelsebegränsning vid förflyttning</w:t>
            </w:r>
          </w:p>
          <w:p w14:paraId="564BDF14" w14:textId="77777777" w:rsidR="00BE5AEF" w:rsidRPr="00BE5AEF" w:rsidRDefault="00BE5AEF" w:rsidP="00BE5AEF">
            <w:pPr>
              <w:pStyle w:val="Liststycke"/>
              <w:numPr>
                <w:ilvl w:val="0"/>
                <w:numId w:val="20"/>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Stockvändning</w:t>
            </w:r>
          </w:p>
          <w:p w14:paraId="0AE4D77A" w14:textId="0055FA7C" w:rsidR="00BE5AEF" w:rsidRPr="00BE5AEF" w:rsidRDefault="00BE5AEF" w:rsidP="00BE5AEF">
            <w:pPr>
              <w:pStyle w:val="Liststycke"/>
              <w:numPr>
                <w:ilvl w:val="0"/>
                <w:numId w:val="22"/>
              </w:numPr>
              <w:shd w:val="clear" w:color="auto" w:fill="FFFFFF" w:themeFill="background1"/>
              <w:spacing w:after="0" w:line="288" w:lineRule="auto"/>
              <w:ind w:left="459" w:right="0"/>
              <w:rPr>
                <w:rFonts w:ascii="Calibri" w:eastAsia="Calibri" w:hAnsi="Calibri" w:cs="Calibri"/>
                <w:color w:val="000000" w:themeColor="text2"/>
                <w:sz w:val="20"/>
                <w:szCs w:val="20"/>
              </w:rPr>
            </w:pPr>
            <w:r w:rsidRPr="00BE5AEF">
              <w:rPr>
                <w:rFonts w:ascii="Calibri" w:eastAsia="Calibri" w:hAnsi="Calibri" w:cs="Calibri"/>
                <w:color w:val="000000" w:themeColor="text2"/>
                <w:sz w:val="20"/>
                <w:szCs w:val="20"/>
              </w:rPr>
              <w:t>Beslut om avveckling av spinal rörelsebegränsning tas av ortoped när svar på CT föreligger</w:t>
            </w:r>
          </w:p>
        </w:tc>
        <w:tc>
          <w:tcPr>
            <w:tcW w:w="3402" w:type="dxa"/>
            <w:tcBorders>
              <w:top w:val="single" w:sz="12" w:space="0" w:color="auto"/>
              <w:left w:val="single" w:sz="12" w:space="0" w:color="auto"/>
              <w:bottom w:val="single" w:sz="12" w:space="0" w:color="auto"/>
              <w:right w:val="single" w:sz="12" w:space="0" w:color="auto"/>
            </w:tcBorders>
            <w:tcMar>
              <w:left w:w="108" w:type="dxa"/>
              <w:right w:w="108" w:type="dxa"/>
            </w:tcMar>
          </w:tcPr>
          <w:p w14:paraId="082B2AE1" w14:textId="77777777" w:rsidR="00BE5AEF" w:rsidRPr="00BE5AE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color w:val="000000" w:themeColor="text2"/>
                <w:sz w:val="20"/>
                <w:szCs w:val="20"/>
              </w:rPr>
            </w:pPr>
            <w:r w:rsidRPr="00BE5AEF">
              <w:rPr>
                <w:rFonts w:ascii="Calibri" w:eastAsia="Calibri" w:hAnsi="Calibri" w:cs="Calibri"/>
                <w:color w:val="000000" w:themeColor="text2"/>
                <w:sz w:val="20"/>
                <w:szCs w:val="20"/>
              </w:rPr>
              <w:t xml:space="preserve">Kontakt med röntgen </w:t>
            </w:r>
            <w:r w:rsidRPr="00BE5AEF">
              <w:rPr>
                <w:rFonts w:ascii="Calibri" w:eastAsia="Calibri" w:hAnsi="Calibri" w:cs="Calibri"/>
                <w:color w:val="000000" w:themeColor="text2"/>
                <w:sz w:val="20"/>
                <w:szCs w:val="20"/>
              </w:rPr>
              <w:br/>
            </w:r>
            <w:r w:rsidRPr="00BE5AEF">
              <w:rPr>
                <w:rFonts w:ascii="Calibri" w:eastAsia="Calibri" w:hAnsi="Calibri" w:cs="Calibri"/>
                <w:color w:val="000000" w:themeColor="text2"/>
                <w:sz w:val="20"/>
                <w:szCs w:val="20"/>
              </w:rPr>
              <w:sym w:font="Wingdings" w:char="F0E0"/>
            </w:r>
            <w:r w:rsidRPr="00BE5AEF">
              <w:rPr>
                <w:rFonts w:ascii="Calibri" w:eastAsia="Calibri" w:hAnsi="Calibri" w:cs="Calibri"/>
                <w:color w:val="000000" w:themeColor="text2"/>
                <w:sz w:val="20"/>
                <w:szCs w:val="20"/>
              </w:rPr>
              <w:t xml:space="preserve"> CT erbjuds inom 30 min</w:t>
            </w:r>
          </w:p>
          <w:p w14:paraId="7B18BF1E" w14:textId="77777777" w:rsidR="00BE5AEF" w:rsidRPr="00BE5AE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Patienten kvarstannar på Trauma transfer tills CT är gjord</w:t>
            </w:r>
          </w:p>
          <w:p w14:paraId="7F68E9BD" w14:textId="77777777" w:rsidR="00BE5AEF" w:rsidRPr="00BE5AE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color w:val="000000" w:themeColor="text2"/>
                <w:sz w:val="20"/>
                <w:szCs w:val="20"/>
              </w:rPr>
            </w:pPr>
            <w:r w:rsidRPr="00BE5AEF">
              <w:rPr>
                <w:rFonts w:ascii="Calibri" w:eastAsia="Calibri" w:hAnsi="Calibri" w:cs="Calibri"/>
                <w:color w:val="000000" w:themeColor="text2"/>
                <w:sz w:val="20"/>
                <w:szCs w:val="20"/>
              </w:rPr>
              <w:t>Den skadade ska tas omhand på ett sätt så att minsta möjliga förflyttning görs</w:t>
            </w:r>
          </w:p>
          <w:p w14:paraId="76DC03FF" w14:textId="77777777" w:rsidR="00BE5AEF" w:rsidRPr="00BE5AE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 xml:space="preserve">På röntgen: </w:t>
            </w:r>
          </w:p>
          <w:p w14:paraId="71925614" w14:textId="77777777" w:rsidR="00BE5AEF" w:rsidRPr="00BE5AEF" w:rsidRDefault="00BE5AEF" w:rsidP="00BE5AEF">
            <w:pPr>
              <w:pStyle w:val="Liststycke"/>
              <w:numPr>
                <w:ilvl w:val="0"/>
                <w:numId w:val="21"/>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Förflyttning sker med hjälp av Trauma transfer</w:t>
            </w:r>
          </w:p>
          <w:p w14:paraId="15FD34A1" w14:textId="77777777" w:rsidR="00BE5AEF" w:rsidRPr="00BE5AEF" w:rsidRDefault="00BE5AEF" w:rsidP="00BE5AEF">
            <w:pPr>
              <w:pStyle w:val="Liststycke"/>
              <w:numPr>
                <w:ilvl w:val="0"/>
                <w:numId w:val="21"/>
              </w:numPr>
              <w:shd w:val="clear" w:color="auto" w:fill="FFFFFF" w:themeFill="background1"/>
              <w:spacing w:after="0" w:line="288" w:lineRule="auto"/>
              <w:ind w:right="0"/>
              <w:rPr>
                <w:rFonts w:ascii="Calibri" w:eastAsia="Calibri" w:hAnsi="Calibri" w:cs="Calibri"/>
                <w:color w:val="000000" w:themeColor="text2"/>
                <w:sz w:val="20"/>
                <w:szCs w:val="20"/>
              </w:rPr>
            </w:pPr>
            <w:r w:rsidRPr="00BE5AEF">
              <w:rPr>
                <w:rFonts w:ascii="Calibri" w:eastAsia="Calibri" w:hAnsi="Calibri" w:cs="Calibri"/>
                <w:color w:val="000000" w:themeColor="text2"/>
                <w:sz w:val="20"/>
                <w:szCs w:val="20"/>
              </w:rPr>
              <w:t>Rörelsebegränsning vid förflyttning</w:t>
            </w:r>
          </w:p>
          <w:p w14:paraId="2DD8C59A" w14:textId="77777777" w:rsidR="00BE5AEF" w:rsidRPr="00BE5AE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Efter CT, vid ankomst till</w:t>
            </w:r>
            <w:r w:rsidRPr="00BE5AEF">
              <w:rPr>
                <w:rFonts w:ascii="Calibri" w:eastAsia="Calibri" w:hAnsi="Calibri" w:cs="Calibri"/>
                <w:b/>
                <w:bCs/>
                <w:color w:val="000000" w:themeColor="text2"/>
                <w:sz w:val="20"/>
                <w:szCs w:val="20"/>
              </w:rPr>
              <w:br/>
              <w:t xml:space="preserve">IVA/Akuten/avdelning: </w:t>
            </w:r>
          </w:p>
          <w:p w14:paraId="702178DD" w14:textId="77777777" w:rsidR="00BE5AEF" w:rsidRPr="00BE5AEF" w:rsidRDefault="00BE5AEF" w:rsidP="00BE5AEF">
            <w:pPr>
              <w:pStyle w:val="Liststycke"/>
              <w:numPr>
                <w:ilvl w:val="0"/>
                <w:numId w:val="20"/>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 xml:space="preserve">Säker </w:t>
            </w:r>
            <w:proofErr w:type="spellStart"/>
            <w:r w:rsidRPr="00BE5AEF">
              <w:rPr>
                <w:rFonts w:ascii="Calibri" w:eastAsia="Calibri" w:hAnsi="Calibri" w:cs="Calibri"/>
                <w:b/>
                <w:bCs/>
                <w:color w:val="000000" w:themeColor="text2"/>
                <w:sz w:val="20"/>
                <w:szCs w:val="20"/>
              </w:rPr>
              <w:t>överflytt</w:t>
            </w:r>
            <w:proofErr w:type="spellEnd"/>
            <w:r w:rsidRPr="00BE5AEF">
              <w:rPr>
                <w:rFonts w:ascii="Calibri" w:eastAsia="Calibri" w:hAnsi="Calibri" w:cs="Calibri"/>
                <w:b/>
                <w:bCs/>
                <w:color w:val="000000" w:themeColor="text2"/>
                <w:sz w:val="20"/>
                <w:szCs w:val="20"/>
              </w:rPr>
              <w:t xml:space="preserve"> till mjuk brits/säng med stöd för halsryggen,</w:t>
            </w:r>
            <w:r w:rsidRPr="00BE5AEF">
              <w:rPr>
                <w:rFonts w:ascii="Calibri" w:eastAsia="Calibri" w:hAnsi="Calibri" w:cs="Calibri"/>
                <w:color w:val="000000" w:themeColor="text2"/>
                <w:sz w:val="20"/>
                <w:szCs w:val="20"/>
              </w:rPr>
              <w:t xml:space="preserve"> huvudändan kan höjas till 30° om bekvämt</w:t>
            </w:r>
          </w:p>
          <w:p w14:paraId="4F26A0E8" w14:textId="77777777" w:rsidR="00BE5AEF" w:rsidRPr="00BE5AEF" w:rsidRDefault="00BE5AEF" w:rsidP="00BE5AEF">
            <w:pPr>
              <w:pStyle w:val="Liststycke"/>
              <w:numPr>
                <w:ilvl w:val="0"/>
                <w:numId w:val="20"/>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color w:val="000000" w:themeColor="text2"/>
                <w:sz w:val="20"/>
                <w:szCs w:val="20"/>
              </w:rPr>
              <w:t>Den skadade ska tas omhand på ett sätt så att minsta möjliga förflyttning görs</w:t>
            </w:r>
          </w:p>
          <w:p w14:paraId="17F7D068" w14:textId="77777777" w:rsidR="00BE5AEF" w:rsidRPr="00BE5AEF" w:rsidRDefault="00BE5AEF" w:rsidP="00BE5AEF">
            <w:pPr>
              <w:pStyle w:val="Liststycke"/>
              <w:numPr>
                <w:ilvl w:val="0"/>
                <w:numId w:val="20"/>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Huvudblock eller sandsäckar</w:t>
            </w:r>
          </w:p>
          <w:p w14:paraId="1902DD61" w14:textId="77777777" w:rsidR="00BE5AEF" w:rsidRPr="00BE5AEF" w:rsidRDefault="00BE5AEF" w:rsidP="00BE5AEF">
            <w:pPr>
              <w:pStyle w:val="Liststycke"/>
              <w:numPr>
                <w:ilvl w:val="0"/>
                <w:numId w:val="20"/>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Rörelsebegränsning vid förflyttning</w:t>
            </w:r>
          </w:p>
          <w:p w14:paraId="1DF3A38A" w14:textId="77777777" w:rsidR="00BE5AEF" w:rsidRPr="00BE5AEF" w:rsidRDefault="00BE5AEF" w:rsidP="00BE5AEF">
            <w:pPr>
              <w:pStyle w:val="Liststycke"/>
              <w:numPr>
                <w:ilvl w:val="0"/>
                <w:numId w:val="20"/>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Stockvändning</w:t>
            </w:r>
          </w:p>
          <w:p w14:paraId="26D59BAF" w14:textId="77777777" w:rsidR="00BE5AEF" w:rsidRPr="00CC69F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color w:val="000000" w:themeColor="text2"/>
                <w:sz w:val="18"/>
                <w:szCs w:val="18"/>
              </w:rPr>
            </w:pPr>
            <w:r w:rsidRPr="00BE5AEF">
              <w:rPr>
                <w:rFonts w:ascii="Calibri" w:eastAsia="Calibri" w:hAnsi="Calibri" w:cs="Calibri"/>
                <w:color w:val="000000" w:themeColor="text2"/>
                <w:sz w:val="20"/>
                <w:szCs w:val="20"/>
              </w:rPr>
              <w:t>Beslut om avveckling av spinal rörelsebegränsning tas av ortoped när svar på CT föreligger</w:t>
            </w:r>
          </w:p>
        </w:tc>
        <w:tc>
          <w:tcPr>
            <w:tcW w:w="3260" w:type="dxa"/>
            <w:tcBorders>
              <w:top w:val="single" w:sz="12" w:space="0" w:color="auto"/>
              <w:left w:val="single" w:sz="12" w:space="0" w:color="auto"/>
              <w:bottom w:val="single" w:sz="12" w:space="0" w:color="auto"/>
              <w:right w:val="single" w:sz="12" w:space="0" w:color="auto"/>
            </w:tcBorders>
          </w:tcPr>
          <w:p w14:paraId="6BC2450A" w14:textId="77777777" w:rsidR="00BE5AEF" w:rsidRPr="00BE5AE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color w:val="000000" w:themeColor="text2"/>
                <w:sz w:val="20"/>
                <w:szCs w:val="20"/>
              </w:rPr>
            </w:pPr>
            <w:r w:rsidRPr="00BE5AEF">
              <w:rPr>
                <w:rFonts w:ascii="Calibri" w:eastAsia="Calibri" w:hAnsi="Calibri" w:cs="Calibri"/>
                <w:color w:val="000000" w:themeColor="text2"/>
                <w:sz w:val="20"/>
                <w:szCs w:val="20"/>
              </w:rPr>
              <w:t xml:space="preserve">Kontakt med röntgen </w:t>
            </w:r>
            <w:r w:rsidRPr="00BE5AEF">
              <w:rPr>
                <w:rFonts w:ascii="Calibri" w:eastAsia="Calibri" w:hAnsi="Calibri" w:cs="Calibri"/>
                <w:color w:val="000000" w:themeColor="text2"/>
                <w:sz w:val="20"/>
                <w:szCs w:val="20"/>
              </w:rPr>
              <w:br/>
            </w:r>
            <w:r w:rsidRPr="00BE5AEF">
              <w:rPr>
                <w:rFonts w:ascii="Calibri" w:eastAsia="Calibri" w:hAnsi="Calibri" w:cs="Calibri"/>
                <w:color w:val="000000" w:themeColor="text2"/>
                <w:sz w:val="20"/>
                <w:szCs w:val="20"/>
              </w:rPr>
              <w:sym w:font="Wingdings" w:char="F0E0"/>
            </w:r>
            <w:r w:rsidRPr="00BE5AEF">
              <w:rPr>
                <w:rFonts w:ascii="Calibri" w:eastAsia="Calibri" w:hAnsi="Calibri" w:cs="Calibri"/>
                <w:color w:val="000000" w:themeColor="text2"/>
                <w:sz w:val="20"/>
                <w:szCs w:val="20"/>
              </w:rPr>
              <w:t xml:space="preserve"> CT erbjuds </w:t>
            </w:r>
            <w:r w:rsidRPr="00BE5AEF">
              <w:rPr>
                <w:rFonts w:ascii="Calibri" w:eastAsia="Calibri" w:hAnsi="Calibri" w:cs="Calibri"/>
                <w:b/>
                <w:bCs/>
                <w:color w:val="000000" w:themeColor="text2"/>
                <w:sz w:val="20"/>
                <w:szCs w:val="20"/>
              </w:rPr>
              <w:t>EJ</w:t>
            </w:r>
            <w:r w:rsidRPr="00BE5AEF">
              <w:rPr>
                <w:rFonts w:ascii="Calibri" w:eastAsia="Calibri" w:hAnsi="Calibri" w:cs="Calibri"/>
                <w:color w:val="000000" w:themeColor="text2"/>
                <w:sz w:val="20"/>
                <w:szCs w:val="20"/>
              </w:rPr>
              <w:t xml:space="preserve"> inom 30 min</w:t>
            </w:r>
          </w:p>
          <w:p w14:paraId="16DF80E1" w14:textId="77777777" w:rsidR="00BE5AEF" w:rsidRPr="00BE5AE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color w:val="000000" w:themeColor="text2"/>
                <w:sz w:val="20"/>
                <w:szCs w:val="20"/>
              </w:rPr>
            </w:pPr>
            <w:r w:rsidRPr="00BE5AEF">
              <w:rPr>
                <w:rFonts w:ascii="Calibri" w:eastAsia="Calibri" w:hAnsi="Calibri" w:cs="Calibri"/>
                <w:color w:val="000000" w:themeColor="text2"/>
                <w:sz w:val="20"/>
                <w:szCs w:val="20"/>
              </w:rPr>
              <w:t>CT-undersökning utförs ej direkt</w:t>
            </w:r>
          </w:p>
          <w:p w14:paraId="175FEF1D" w14:textId="77777777" w:rsidR="00BE5AEF" w:rsidRPr="00BE5AE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Trauma transfer avvecklas direkt</w:t>
            </w:r>
          </w:p>
          <w:p w14:paraId="5664E7ED" w14:textId="77777777" w:rsidR="00BE5AEF" w:rsidRPr="00BE5AE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color w:val="000000" w:themeColor="text2"/>
                <w:sz w:val="20"/>
                <w:szCs w:val="20"/>
              </w:rPr>
            </w:pPr>
            <w:r w:rsidRPr="00BE5AEF">
              <w:rPr>
                <w:rFonts w:ascii="Calibri" w:eastAsia="Calibri" w:hAnsi="Calibri" w:cs="Calibri"/>
                <w:color w:val="000000" w:themeColor="text2"/>
                <w:sz w:val="20"/>
                <w:szCs w:val="20"/>
              </w:rPr>
              <w:t xml:space="preserve">Säker </w:t>
            </w:r>
            <w:proofErr w:type="spellStart"/>
            <w:r w:rsidRPr="00BE5AEF">
              <w:rPr>
                <w:rFonts w:ascii="Calibri" w:eastAsia="Calibri" w:hAnsi="Calibri" w:cs="Calibri"/>
                <w:color w:val="000000" w:themeColor="text2"/>
                <w:sz w:val="20"/>
                <w:szCs w:val="20"/>
              </w:rPr>
              <w:t>överflytt</w:t>
            </w:r>
            <w:proofErr w:type="spellEnd"/>
            <w:r w:rsidRPr="00BE5AEF">
              <w:rPr>
                <w:rFonts w:ascii="Calibri" w:eastAsia="Calibri" w:hAnsi="Calibri" w:cs="Calibri"/>
                <w:color w:val="000000" w:themeColor="text2"/>
                <w:sz w:val="20"/>
                <w:szCs w:val="20"/>
              </w:rPr>
              <w:t xml:space="preserve"> till mjuk brits/säng med stöd för halsryggen, huvudändan kan höjas till 30° om bekvämt</w:t>
            </w:r>
          </w:p>
          <w:p w14:paraId="7822585E" w14:textId="77777777" w:rsidR="00BE5AEF" w:rsidRPr="00BE5AE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color w:val="000000" w:themeColor="text2"/>
                <w:sz w:val="20"/>
                <w:szCs w:val="20"/>
              </w:rPr>
            </w:pPr>
            <w:r w:rsidRPr="00BE5AEF">
              <w:rPr>
                <w:rFonts w:ascii="Calibri" w:eastAsia="Calibri" w:hAnsi="Calibri" w:cs="Calibri"/>
                <w:color w:val="000000" w:themeColor="text2"/>
                <w:sz w:val="20"/>
                <w:szCs w:val="20"/>
              </w:rPr>
              <w:t>Den skadade ska tas omhand på ett sätt så att minsta möjliga förflyttning görs</w:t>
            </w:r>
          </w:p>
          <w:p w14:paraId="58A51638" w14:textId="77777777" w:rsidR="00BE5AEF" w:rsidRPr="00BE5AE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 xml:space="preserve">På röntgen: </w:t>
            </w:r>
          </w:p>
          <w:p w14:paraId="505236CA" w14:textId="77777777" w:rsidR="00BE5AEF" w:rsidRPr="00BE5AEF" w:rsidRDefault="00BE5AEF" w:rsidP="00BE5AEF">
            <w:pPr>
              <w:pStyle w:val="Liststycke"/>
              <w:numPr>
                <w:ilvl w:val="0"/>
                <w:numId w:val="21"/>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Rörelsebegränsning vid förflyttning</w:t>
            </w:r>
          </w:p>
          <w:p w14:paraId="7D0CB20E" w14:textId="77777777" w:rsidR="00BE5AEF" w:rsidRPr="00BE5AEF" w:rsidRDefault="00BE5AEF" w:rsidP="00BE5AEF">
            <w:pPr>
              <w:pStyle w:val="Liststycke"/>
              <w:numPr>
                <w:ilvl w:val="0"/>
                <w:numId w:val="21"/>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Ingen Trauma transfer</w:t>
            </w:r>
          </w:p>
          <w:p w14:paraId="6B17B8A5" w14:textId="77777777" w:rsidR="00BE5AEF" w:rsidRPr="00BE5AE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 xml:space="preserve">På IVA/Akuten/avdelning: </w:t>
            </w:r>
          </w:p>
          <w:p w14:paraId="081391FF" w14:textId="77777777" w:rsidR="00BE5AEF" w:rsidRPr="00BE5AEF" w:rsidRDefault="00BE5AEF" w:rsidP="00BE5AEF">
            <w:pPr>
              <w:pStyle w:val="Liststycke"/>
              <w:numPr>
                <w:ilvl w:val="0"/>
                <w:numId w:val="20"/>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Huvudblock eller sandsäckar</w:t>
            </w:r>
          </w:p>
          <w:p w14:paraId="71D4A772" w14:textId="77777777" w:rsidR="00BE5AEF" w:rsidRPr="00BE5AEF" w:rsidRDefault="00BE5AEF" w:rsidP="00BE5AEF">
            <w:pPr>
              <w:pStyle w:val="Liststycke"/>
              <w:numPr>
                <w:ilvl w:val="0"/>
                <w:numId w:val="20"/>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Rörelsebegränsning vid förflyttning</w:t>
            </w:r>
          </w:p>
          <w:p w14:paraId="0628A905" w14:textId="77777777" w:rsidR="00BE5AEF" w:rsidRPr="00BE5AEF" w:rsidRDefault="00BE5AEF" w:rsidP="00BE5AEF">
            <w:pPr>
              <w:pStyle w:val="Liststycke"/>
              <w:numPr>
                <w:ilvl w:val="0"/>
                <w:numId w:val="20"/>
              </w:numPr>
              <w:shd w:val="clear" w:color="auto" w:fill="FFFFFF" w:themeFill="background1"/>
              <w:spacing w:after="0" w:line="288" w:lineRule="auto"/>
              <w:ind w:right="0"/>
              <w:rPr>
                <w:rFonts w:ascii="Calibri" w:eastAsia="Calibri" w:hAnsi="Calibri" w:cs="Calibri"/>
                <w:b/>
                <w:bCs/>
                <w:color w:val="000000" w:themeColor="text2"/>
                <w:sz w:val="20"/>
                <w:szCs w:val="20"/>
              </w:rPr>
            </w:pPr>
            <w:r w:rsidRPr="00BE5AEF">
              <w:rPr>
                <w:rFonts w:ascii="Calibri" w:eastAsia="Calibri" w:hAnsi="Calibri" w:cs="Calibri"/>
                <w:b/>
                <w:bCs/>
                <w:color w:val="000000" w:themeColor="text2"/>
                <w:sz w:val="20"/>
                <w:szCs w:val="20"/>
              </w:rPr>
              <w:t>Stockvändning</w:t>
            </w:r>
          </w:p>
          <w:p w14:paraId="60E8C7CE" w14:textId="77777777" w:rsidR="00BE5AEF" w:rsidRPr="00CC69FF" w:rsidRDefault="00BE5AEF" w:rsidP="00BE5AEF">
            <w:pPr>
              <w:pStyle w:val="Liststycke"/>
              <w:numPr>
                <w:ilvl w:val="0"/>
                <w:numId w:val="22"/>
              </w:numPr>
              <w:shd w:val="clear" w:color="auto" w:fill="FFFFFF" w:themeFill="background1"/>
              <w:spacing w:after="0" w:line="288" w:lineRule="auto"/>
              <w:ind w:left="459" w:right="0" w:hanging="283"/>
              <w:rPr>
                <w:rFonts w:ascii="Calibri" w:eastAsia="Calibri" w:hAnsi="Calibri" w:cs="Calibri"/>
                <w:color w:val="000000" w:themeColor="text2"/>
                <w:sz w:val="18"/>
                <w:szCs w:val="18"/>
              </w:rPr>
            </w:pPr>
            <w:r w:rsidRPr="00BE5AEF">
              <w:rPr>
                <w:rFonts w:ascii="Calibri" w:eastAsia="Calibri" w:hAnsi="Calibri" w:cs="Calibri"/>
                <w:color w:val="000000" w:themeColor="text2"/>
                <w:sz w:val="20"/>
                <w:szCs w:val="20"/>
              </w:rPr>
              <w:t>Beslut om avveckling av spinal rörelsebegränsning tas av ortoped när svar på CT föreligger</w:t>
            </w:r>
          </w:p>
        </w:tc>
      </w:tr>
    </w:tbl>
    <w:p w14:paraId="40AA233F" w14:textId="08CBDFE4" w:rsidR="009C6C0C" w:rsidRDefault="009C6C0C" w:rsidP="009A32ED">
      <w:pPr>
        <w:ind w:right="-143"/>
      </w:pPr>
    </w:p>
    <w:p w14:paraId="5D443839" w14:textId="3BF6AC17" w:rsidR="00BE5AEF" w:rsidRDefault="00BE5AEF">
      <w:pPr>
        <w:spacing w:after="0" w:line="240" w:lineRule="auto"/>
        <w:ind w:left="0" w:right="0"/>
      </w:pPr>
      <w:r>
        <w:br w:type="page"/>
      </w:r>
    </w:p>
    <w:p w14:paraId="474F4B7F" w14:textId="77777777" w:rsidR="00BE5AEF" w:rsidRDefault="00BE5AEF" w:rsidP="00BE5AEF">
      <w:pPr>
        <w:pStyle w:val="Rubrik3"/>
        <w:rPr>
          <w:rStyle w:val="Rubrik3Char"/>
        </w:rPr>
      </w:pPr>
      <w:r w:rsidRPr="006703EB">
        <w:rPr>
          <w:rStyle w:val="Rubrik3Char"/>
        </w:rPr>
        <w:lastRenderedPageBreak/>
        <w:t>Spinal rörelsebegränsning (SRB</w:t>
      </w:r>
      <w:r>
        <w:rPr>
          <w:rStyle w:val="Rubrik3Char"/>
        </w:rPr>
        <w:t>)</w:t>
      </w:r>
    </w:p>
    <w:p w14:paraId="5D57F8B2" w14:textId="6173F097" w:rsidR="00BE5AEF" w:rsidRDefault="00BE5AEF" w:rsidP="00BE5AEF">
      <w:r>
        <w:t>H</w:t>
      </w:r>
      <w:r w:rsidRPr="7E47D4B0">
        <w:t>jälpmedel och tekniker som används för att begränsa rörlighet i kotpelaren vid misstanke om och till dess att spinal skada uteslutits.</w:t>
      </w:r>
    </w:p>
    <w:p w14:paraId="3F055FC8" w14:textId="77777777" w:rsidR="00BE5AEF" w:rsidRDefault="00BE5AEF" w:rsidP="00BE5AEF">
      <w:pPr>
        <w:pStyle w:val="Rubrik3"/>
        <w:rPr>
          <w:color w:val="000000" w:themeColor="text2"/>
        </w:rPr>
      </w:pPr>
      <w:r w:rsidRPr="006703EB">
        <w:rPr>
          <w:rStyle w:val="Rubrik3Char"/>
        </w:rPr>
        <w:t>Trauma transfer (TT)</w:t>
      </w:r>
    </w:p>
    <w:p w14:paraId="662A0261" w14:textId="2831DAF1" w:rsidR="00BE5AEF" w:rsidRDefault="00BE5AEF" w:rsidP="00BE5AEF">
      <w:r>
        <w:t>H</w:t>
      </w:r>
      <w:r w:rsidRPr="7E47D4B0">
        <w:t>alvfast orange/svart bräda, hjälpmedel vid förflyttning av traumapatient. Avvecklas så snart som möjligt.</w:t>
      </w:r>
    </w:p>
    <w:p w14:paraId="445FF07E" w14:textId="77777777" w:rsidR="00BE5AEF" w:rsidRPr="006703EB" w:rsidRDefault="00BE5AEF" w:rsidP="00BE5AEF">
      <w:pPr>
        <w:pStyle w:val="Rubrik2"/>
      </w:pPr>
      <w:bookmarkStart w:id="8" w:name="_Toc232521054"/>
      <w:r w:rsidRPr="006703EB">
        <w:t>Bakgrund</w:t>
      </w:r>
      <w:bookmarkEnd w:id="8"/>
    </w:p>
    <w:p w14:paraId="2F99F26F" w14:textId="77777777" w:rsidR="00BE5AEF" w:rsidRDefault="00BE5AEF" w:rsidP="00BE5AEF">
      <w:pPr>
        <w:shd w:val="clear" w:color="auto" w:fill="FFFFFF" w:themeFill="background1"/>
        <w:tabs>
          <w:tab w:val="left" w:pos="0"/>
          <w:tab w:val="left" w:pos="426"/>
        </w:tabs>
        <w:spacing w:after="0"/>
      </w:pPr>
      <w:r w:rsidRPr="7E47D4B0">
        <w:rPr>
          <w:color w:val="000000" w:themeColor="text2"/>
        </w:rPr>
        <w:t xml:space="preserve">Det finns situationer där rörelsebegränsning kan göra mer skada än nytta. Minst 5 % av patienter med spinal skada drabbas av bortfall eller försämring av neurologiska funktioner efter ankomst till akutmottagning (1). Exempelvis riskerar patienter med degenerativa och/eller </w:t>
      </w:r>
      <w:proofErr w:type="spellStart"/>
      <w:r w:rsidRPr="7E47D4B0">
        <w:rPr>
          <w:color w:val="000000" w:themeColor="text2"/>
        </w:rPr>
        <w:t>ankylotiska</w:t>
      </w:r>
      <w:proofErr w:type="spellEnd"/>
      <w:r w:rsidRPr="7E47D4B0">
        <w:rPr>
          <w:color w:val="000000" w:themeColor="text2"/>
        </w:rPr>
        <w:t xml:space="preserve"> ryggdeformiteter, som redan löper ökad risk för allvarlig spinal skada i samband med trauma, skadas allvarligt av forcerade lägen på plant underlag. Spinal rörelsebegränsning (SRB) på hårt underlag, så som Trauma transfer (TT), medför även ökad risk för tryckrelaterade skador. Frekvensen trycksår hos traumapatienter har uppmäts till 13 % under de första 48 h efter ankomst till sjukhus. Hög ålder, låg GCS/medvetandegrad och hög </w:t>
      </w:r>
      <w:proofErr w:type="spellStart"/>
      <w:r w:rsidRPr="7E47D4B0">
        <w:rPr>
          <w:color w:val="000000" w:themeColor="text2"/>
        </w:rPr>
        <w:t>skadegrad</w:t>
      </w:r>
      <w:proofErr w:type="spellEnd"/>
      <w:r w:rsidRPr="7E47D4B0">
        <w:rPr>
          <w:color w:val="000000" w:themeColor="text2"/>
        </w:rPr>
        <w:t xml:space="preserve"> har identifierats som riskfaktorer (1). Ett strukturerat och individanpassat omhändertagande av traumapatienter är således av yttersta vikt.</w:t>
      </w:r>
    </w:p>
    <w:p w14:paraId="3B7AE51E" w14:textId="77777777" w:rsidR="00BE5AEF" w:rsidRDefault="00BE5AEF" w:rsidP="00BE5AEF">
      <w:pPr>
        <w:shd w:val="clear" w:color="auto" w:fill="FFFFFF" w:themeFill="background1"/>
        <w:tabs>
          <w:tab w:val="left" w:pos="0"/>
          <w:tab w:val="left" w:pos="426"/>
        </w:tabs>
        <w:spacing w:after="0"/>
        <w:rPr>
          <w:color w:val="000000" w:themeColor="text2"/>
        </w:rPr>
      </w:pPr>
    </w:p>
    <w:p w14:paraId="66CC1831" w14:textId="192BAC3A" w:rsidR="00BE5AEF" w:rsidRDefault="00BE5AEF" w:rsidP="00BE5AEF">
      <w:pPr>
        <w:shd w:val="clear" w:color="auto" w:fill="FFFFFF" w:themeFill="background1"/>
        <w:tabs>
          <w:tab w:val="left" w:pos="0"/>
          <w:tab w:val="left" w:pos="426"/>
        </w:tabs>
        <w:spacing w:after="0"/>
        <w:rPr>
          <w:color w:val="000000" w:themeColor="text2"/>
        </w:rPr>
      </w:pPr>
      <w:r w:rsidRPr="7E47D4B0">
        <w:rPr>
          <w:color w:val="000000" w:themeColor="text2"/>
        </w:rPr>
        <w:t xml:space="preserve">Som en del av ”Säker Traumavård” publicerade LÖF 2022 nationella behandlings­rekommenda­tioner för ”Spinal rörelsebegränsning vid trauma – </w:t>
      </w:r>
      <w:proofErr w:type="spellStart"/>
      <w:r w:rsidRPr="7E47D4B0">
        <w:rPr>
          <w:color w:val="000000" w:themeColor="text2"/>
        </w:rPr>
        <w:t>prehospitalt</w:t>
      </w:r>
      <w:proofErr w:type="spellEnd"/>
      <w:r w:rsidRPr="7E47D4B0">
        <w:rPr>
          <w:color w:val="000000" w:themeColor="text2"/>
        </w:rPr>
        <w:t xml:space="preserve"> och </w:t>
      </w:r>
      <w:proofErr w:type="spellStart"/>
      <w:r w:rsidRPr="7E47D4B0">
        <w:rPr>
          <w:color w:val="000000" w:themeColor="text2"/>
        </w:rPr>
        <w:t>hospitalt</w:t>
      </w:r>
      <w:proofErr w:type="spellEnd"/>
      <w:r w:rsidRPr="7E47D4B0">
        <w:rPr>
          <w:color w:val="000000" w:themeColor="text2"/>
        </w:rPr>
        <w:t>”. Rekommendationerna är baserade på bästa kända praxis och är anpassade efter svenska förhållanden. Syftet med rekommendationerna är att skapa ett enhetligt omhändertagande av traumapatienter, där SRB ska användas när förväntad nytta är större än kända nackdelar så som tryckrelaterade skador och upplevt obehag hos medvetna patienter (1).</w:t>
      </w:r>
    </w:p>
    <w:p w14:paraId="3EC9001E" w14:textId="77777777" w:rsidR="00BE5AEF" w:rsidRPr="006703EB" w:rsidRDefault="00BE5AEF" w:rsidP="00BE5AEF">
      <w:pPr>
        <w:pStyle w:val="Rubrik2"/>
      </w:pPr>
      <w:bookmarkStart w:id="9" w:name="_Toc232521055"/>
      <w:r w:rsidRPr="006703EB">
        <w:t>Arbetsbeskrivning/ Åtgärd</w:t>
      </w:r>
      <w:bookmarkEnd w:id="9"/>
    </w:p>
    <w:p w14:paraId="40166374" w14:textId="77777777" w:rsidR="00BE5AEF" w:rsidRDefault="00BE5AEF" w:rsidP="00BE5AEF">
      <w:pPr>
        <w:shd w:val="clear" w:color="auto" w:fill="FFFFFF" w:themeFill="background1"/>
        <w:tabs>
          <w:tab w:val="left" w:pos="0"/>
          <w:tab w:val="left" w:pos="426"/>
        </w:tabs>
        <w:spacing w:after="0"/>
      </w:pPr>
      <w:r w:rsidRPr="7E47D4B0">
        <w:rPr>
          <w:color w:val="000000" w:themeColor="text2"/>
        </w:rPr>
        <w:t xml:space="preserve">Patienter med misstänkt spinal skada eller där spinal skada ej kan uteslutas ska handläggas med SRB. Grundprincipen är att patientens </w:t>
      </w:r>
      <w:r w:rsidRPr="7E47D4B0">
        <w:rPr>
          <w:color w:val="000000" w:themeColor="text2"/>
        </w:rPr>
        <w:lastRenderedPageBreak/>
        <w:t>kotpelare ska skyddas från potentiellt farliga rörelser under det initiala traumaomhändertagandet tills skada på ett säkert sätt har kunnat uteslutas. På samma sätt ska rörelsebegränsningen anpassas efter den skadade och inte tvärt om.</w:t>
      </w:r>
    </w:p>
    <w:p w14:paraId="35F229D7" w14:textId="77777777" w:rsidR="00BE5AEF" w:rsidRDefault="00BE5AEF" w:rsidP="00BE5AEF">
      <w:pPr>
        <w:shd w:val="clear" w:color="auto" w:fill="FFFFFF" w:themeFill="background1"/>
        <w:tabs>
          <w:tab w:val="left" w:pos="0"/>
          <w:tab w:val="left" w:pos="426"/>
        </w:tabs>
        <w:spacing w:after="0"/>
      </w:pPr>
      <w:r w:rsidRPr="7E47D4B0">
        <w:rPr>
          <w:color w:val="000000" w:themeColor="text2"/>
        </w:rPr>
        <w:t>Det är känt att etablering av fri luftväg försvåras av SRB samt att misslyckande att etablera fri luftväg är en betydande orsak bakom traumarelaterade dödsfall. SRB får aldrig försena eller förhindra livräddande åtgärder på den kritiskt skadade traumapatienten. Under förutsättning att patientens kotpelare skyddas kan definitivt frikännande från spinal skada vänta tills kritiska ABC-problem stabiliserats.</w:t>
      </w:r>
    </w:p>
    <w:p w14:paraId="263BE8A3" w14:textId="34A2E518" w:rsidR="00BE5AEF" w:rsidRDefault="00BE5AEF" w:rsidP="00BE5AEF">
      <w:pPr>
        <w:shd w:val="clear" w:color="auto" w:fill="FFFFFF" w:themeFill="background1"/>
        <w:tabs>
          <w:tab w:val="left" w:pos="0"/>
          <w:tab w:val="left" w:pos="426"/>
        </w:tabs>
        <w:spacing w:after="0"/>
      </w:pPr>
    </w:p>
    <w:p w14:paraId="63586C49" w14:textId="77777777" w:rsidR="00BE5AEF" w:rsidRDefault="00BE5AEF" w:rsidP="00BE5AEF">
      <w:pPr>
        <w:shd w:val="clear" w:color="auto" w:fill="FFFFFF" w:themeFill="background1"/>
        <w:tabs>
          <w:tab w:val="left" w:pos="0"/>
          <w:tab w:val="left" w:pos="426"/>
        </w:tabs>
        <w:spacing w:after="0"/>
      </w:pPr>
      <w:r w:rsidRPr="7E47D4B0">
        <w:rPr>
          <w:color w:val="000000" w:themeColor="text2"/>
        </w:rPr>
        <w:t xml:space="preserve">TT är ett förflyttningshjälpmedel och ska avvecklas så snart som möjligt. Undantag sker vid </w:t>
      </w:r>
      <w:proofErr w:type="gramStart"/>
      <w:r w:rsidRPr="7E47D4B0">
        <w:rPr>
          <w:color w:val="000000" w:themeColor="text2"/>
        </w:rPr>
        <w:t>traumalarm nivå</w:t>
      </w:r>
      <w:proofErr w:type="gramEnd"/>
      <w:r w:rsidRPr="7E47D4B0">
        <w:rPr>
          <w:color w:val="000000" w:themeColor="text2"/>
        </w:rPr>
        <w:t xml:space="preserve"> 1 </w:t>
      </w:r>
      <w:r>
        <w:rPr>
          <w:color w:val="000000" w:themeColor="text2"/>
        </w:rPr>
        <w:t xml:space="preserve">samt </w:t>
      </w:r>
      <w:proofErr w:type="gramStart"/>
      <w:r>
        <w:rPr>
          <w:color w:val="000000" w:themeColor="text2"/>
        </w:rPr>
        <w:t>traumalarm nivå</w:t>
      </w:r>
      <w:proofErr w:type="gramEnd"/>
      <w:r>
        <w:rPr>
          <w:color w:val="000000" w:themeColor="text2"/>
        </w:rPr>
        <w:t xml:space="preserve"> 2 där CT genomförs direkt eller inom 30 minuter, i vilket fall patienten kvarstannar på TT. TT avvecklas därefter på ett säkert sätt vid ankomst till Akutmottagningen, IVA eller vårdavdelning.</w:t>
      </w:r>
      <w:r w:rsidRPr="7E47D4B0">
        <w:rPr>
          <w:color w:val="000000" w:themeColor="text2"/>
        </w:rPr>
        <w:t xml:space="preserve"> Det betyder att i de fall där spinal skada ej kan uteslutas kliniskt och patienten ej går på CT-undersökning </w:t>
      </w:r>
      <w:r>
        <w:rPr>
          <w:color w:val="000000" w:themeColor="text2"/>
        </w:rPr>
        <w:t>inom 30 minuter</w:t>
      </w:r>
      <w:r w:rsidRPr="7E47D4B0">
        <w:rPr>
          <w:color w:val="000000" w:themeColor="text2"/>
        </w:rPr>
        <w:t xml:space="preserve"> skall TT avvecklas snarast. En kontrollerad överflyttning till mjuk brits eller säng görs då i väntan på CT-undersökning. För detta krävs minst fyra personer (en som stabiliserar halsryggen medan de andra tre fördelar sig på sidorna). Halsryggen säkras med stabiliserande kuddar, filtar, sandsäckar eller huvudblock (hus) som dock ej ska fästas till underlaget utan används då som ett stöd för patienten. ABCDE-stabila och kognitivt opåverkade patienter utan neurologisk påverkan anses själva ha förmågan att begränsa sina rörelser i kotpelaren i ett för dem mest bekvämt läge. Intaget läge bör respekteras i väntan på frikännande. </w:t>
      </w:r>
    </w:p>
    <w:p w14:paraId="523F19C4" w14:textId="77777777" w:rsidR="00BE5AEF" w:rsidRDefault="00BE5AEF" w:rsidP="00BE5AEF">
      <w:pPr>
        <w:shd w:val="clear" w:color="auto" w:fill="FFFFFF" w:themeFill="background1"/>
        <w:tabs>
          <w:tab w:val="left" w:pos="0"/>
          <w:tab w:val="left" w:pos="426"/>
        </w:tabs>
        <w:spacing w:after="0"/>
      </w:pPr>
      <w:r w:rsidRPr="7E47D4B0">
        <w:rPr>
          <w:color w:val="000000" w:themeColor="text2"/>
        </w:rPr>
        <w:t xml:space="preserve">I samband med CT-undersökning medföljer två personer, en undersköterska samt ytterligare en tillgänglig medarbetare från Akutmottagningen. Tillsammans med röntgenpersonal görs en kontrollerad överflyttning till och från </w:t>
      </w:r>
      <w:proofErr w:type="spellStart"/>
      <w:proofErr w:type="gramStart"/>
      <w:r w:rsidRPr="7E47D4B0">
        <w:rPr>
          <w:color w:val="000000" w:themeColor="text2"/>
        </w:rPr>
        <w:t>CT:n</w:t>
      </w:r>
      <w:proofErr w:type="spellEnd"/>
      <w:r w:rsidRPr="7E47D4B0">
        <w:rPr>
          <w:color w:val="000000" w:themeColor="text2"/>
        </w:rPr>
        <w:t>.</w:t>
      </w:r>
      <w:proofErr w:type="gramEnd"/>
    </w:p>
    <w:p w14:paraId="59CC4799" w14:textId="77777777" w:rsidR="00BE5AEF" w:rsidRDefault="00BE5AEF" w:rsidP="00BE5AEF">
      <w:pPr>
        <w:shd w:val="clear" w:color="auto" w:fill="FFFFFF" w:themeFill="background1"/>
        <w:tabs>
          <w:tab w:val="left" w:pos="0"/>
          <w:tab w:val="left" w:pos="426"/>
        </w:tabs>
        <w:spacing w:after="0"/>
      </w:pPr>
      <w:r w:rsidRPr="7E47D4B0">
        <w:t xml:space="preserve"> </w:t>
      </w:r>
    </w:p>
    <w:p w14:paraId="0CE398CB" w14:textId="77777777" w:rsidR="00BE5AEF" w:rsidRDefault="00BE5AEF" w:rsidP="00BE5AEF">
      <w:pPr>
        <w:shd w:val="clear" w:color="auto" w:fill="FFFFFF" w:themeFill="background1"/>
        <w:tabs>
          <w:tab w:val="left" w:pos="0"/>
          <w:tab w:val="left" w:pos="426"/>
        </w:tabs>
        <w:spacing w:after="0"/>
      </w:pPr>
      <w:r w:rsidRPr="7E47D4B0">
        <w:rPr>
          <w:color w:val="000000" w:themeColor="text2"/>
        </w:rPr>
        <w:lastRenderedPageBreak/>
        <w:t>Så snart spinal skada har uteslutits, kliniskt eller radiologiskt, ska SRB avvecklas och patienten mobiliseras fritt.</w:t>
      </w:r>
    </w:p>
    <w:p w14:paraId="12695FEB" w14:textId="77777777" w:rsidR="00BE5AEF" w:rsidRDefault="00BE5AEF" w:rsidP="00BE5AEF">
      <w:pPr>
        <w:shd w:val="clear" w:color="auto" w:fill="FFFFFF" w:themeFill="background1"/>
        <w:tabs>
          <w:tab w:val="left" w:pos="0"/>
          <w:tab w:val="left" w:pos="426"/>
        </w:tabs>
        <w:spacing w:after="0"/>
      </w:pPr>
    </w:p>
    <w:p w14:paraId="6F916860" w14:textId="77777777" w:rsidR="00BE5AEF" w:rsidRDefault="00BE5AEF" w:rsidP="00BE5AEF">
      <w:pPr>
        <w:spacing w:after="0"/>
      </w:pPr>
      <w:r w:rsidRPr="7E47D4B0">
        <w:t xml:space="preserve">Stockvändning ger möjlighet till undersökning av patientens ryggsida. Studier har dock visat betydande och oönskade rörelser i kotpelaren i samband med stockvändning (1). Föreligger ej misstanke om penetrerande skada på patientens ryggsida, och stockvändning bedöms olämplig som vid misstänkt spinal skada eller hemodynamisk påverkan sekundärt till bäckenfraktur, kan ”hand </w:t>
      </w:r>
      <w:proofErr w:type="spellStart"/>
      <w:r w:rsidRPr="7E47D4B0">
        <w:t>swipe</w:t>
      </w:r>
      <w:proofErr w:type="spellEnd"/>
      <w:r w:rsidRPr="7E47D4B0">
        <w:t>” utföras som alternativ. Traumaledaren avgör om och när i omhändertagandet stockvändning är indicerat.</w:t>
      </w:r>
    </w:p>
    <w:p w14:paraId="385E18F2" w14:textId="683B8A9B" w:rsidR="00BE5AEF" w:rsidRDefault="00BE5AEF" w:rsidP="00BE5AEF">
      <w:pPr>
        <w:shd w:val="clear" w:color="auto" w:fill="FFFFFF" w:themeFill="background1"/>
        <w:tabs>
          <w:tab w:val="left" w:pos="0"/>
          <w:tab w:val="left" w:pos="426"/>
        </w:tabs>
        <w:spacing w:after="0"/>
      </w:pPr>
    </w:p>
    <w:p w14:paraId="0CEFCF50" w14:textId="77777777" w:rsidR="00BE5AEF" w:rsidRDefault="00BE5AEF" w:rsidP="00BE5AEF">
      <w:pPr>
        <w:shd w:val="clear" w:color="auto" w:fill="FFFFFF" w:themeFill="background1"/>
        <w:tabs>
          <w:tab w:val="left" w:pos="0"/>
          <w:tab w:val="left" w:pos="426"/>
        </w:tabs>
        <w:spacing w:after="0"/>
      </w:pPr>
      <w:r w:rsidRPr="7E47D4B0">
        <w:rPr>
          <w:color w:val="000000" w:themeColor="text2"/>
        </w:rPr>
        <w:t xml:space="preserve">Vid penetrerande våld har SRB kopplats till förhöjd mortalitet och mildrad neurologisk påverkan har inte kunnat påvisas. SRB rekommenderas ej rutinmässigt vid penetrerande nackskador och bör undvikas vid kritiska skador som orsakats av penetrerande våld (1). </w:t>
      </w:r>
    </w:p>
    <w:p w14:paraId="2EF56029" w14:textId="77777777" w:rsidR="00513851" w:rsidRDefault="00513851" w:rsidP="00513851">
      <w:pPr>
        <w:pStyle w:val="Rubrik2"/>
      </w:pPr>
      <w:bookmarkStart w:id="10" w:name="_Toc232521056"/>
      <w:r>
        <w:t>Allmän handläggning</w:t>
      </w:r>
      <w:bookmarkEnd w:id="10"/>
    </w:p>
    <w:p w14:paraId="1676C6E9" w14:textId="5EC613ED" w:rsidR="00513851" w:rsidRDefault="00513851" w:rsidP="00513851">
      <w:pPr>
        <w:pStyle w:val="Punktlista"/>
      </w:pPr>
      <w:r>
        <w:t xml:space="preserve">Initial SRB säkras </w:t>
      </w:r>
      <w:proofErr w:type="spellStart"/>
      <w:r>
        <w:t>prehospitalt</w:t>
      </w:r>
      <w:proofErr w:type="spellEnd"/>
      <w:r>
        <w:t xml:space="preserve"> och fortgår tills spinal skada uteslutits.</w:t>
      </w:r>
    </w:p>
    <w:p w14:paraId="65B98D18" w14:textId="270D590C" w:rsidR="00513851" w:rsidRDefault="00513851" w:rsidP="00513851">
      <w:pPr>
        <w:pStyle w:val="Punktlista"/>
      </w:pPr>
      <w:r>
        <w:t>S</w:t>
      </w:r>
      <w:r>
        <w:t xml:space="preserve">RB åstadkommes i de flesta fall på halvfast underlag, Trauma transfer. </w:t>
      </w:r>
      <w:proofErr w:type="spellStart"/>
      <w:r>
        <w:t>Cervikal</w:t>
      </w:r>
      <w:proofErr w:type="spellEnd"/>
      <w:r>
        <w:t xml:space="preserve"> spinal rörelsebegränsning uppnås genom manuell teknik eller med extern teknik såsom huvudblock (hus) eller sandsäckar. Det är av stor vikt att bröst- och ländrygg </w:t>
      </w:r>
      <w:proofErr w:type="spellStart"/>
      <w:r>
        <w:t>rörelsebegränsas</w:t>
      </w:r>
      <w:proofErr w:type="spellEnd"/>
      <w:r>
        <w:t xml:space="preserve"> innan halsryggen för att undvika potentiellt farliga sekundära rörelser i halsryggen.</w:t>
      </w:r>
    </w:p>
    <w:p w14:paraId="1A66B141" w14:textId="03B6EDAF" w:rsidR="00513851" w:rsidRDefault="00513851" w:rsidP="00513851">
      <w:pPr>
        <w:pStyle w:val="Punktlista"/>
      </w:pPr>
      <w:r>
        <w:t xml:space="preserve">Patienter med degenerativa och/eller </w:t>
      </w:r>
      <w:proofErr w:type="spellStart"/>
      <w:r>
        <w:t>ankyloserande</w:t>
      </w:r>
      <w:proofErr w:type="spellEnd"/>
      <w:r>
        <w:t xml:space="preserve"> ryggdeformiteter kan skadas allvarligt av forcerade lägen på plant underlag och ska ej ligga på TT och bör i stället ges spinal rörelsebegränsning i ett självvalt bekvämt läge.</w:t>
      </w:r>
    </w:p>
    <w:p w14:paraId="70AAD4CA" w14:textId="07BDEC22" w:rsidR="00513851" w:rsidRDefault="00513851" w:rsidP="00513851">
      <w:pPr>
        <w:pStyle w:val="Punktlista"/>
      </w:pPr>
      <w:r>
        <w:t xml:space="preserve">TT är ett förflyttningshjälpmedel och ska avvecklas så snart som möjligt. Det innebär att patienter, som inte går till CT </w:t>
      </w:r>
      <w:r>
        <w:lastRenderedPageBreak/>
        <w:t>direkt från akutrummet, ska på ett säkert sätt förflyttas till mjuk brits/säng i väntan på CT-undersökning.</w:t>
      </w:r>
    </w:p>
    <w:p w14:paraId="64B242D7" w14:textId="76392980" w:rsidR="00513851" w:rsidRDefault="00513851" w:rsidP="00513851">
      <w:pPr>
        <w:pStyle w:val="Punktlista"/>
      </w:pPr>
      <w:r>
        <w:t>Säkra och kontrollerade förflyttningar ska ske i alla fall tills spinal skada är utesluten.</w:t>
      </w:r>
    </w:p>
    <w:p w14:paraId="25BB1CE1" w14:textId="594018A8" w:rsidR="00513851" w:rsidRDefault="00513851" w:rsidP="00513851">
      <w:pPr>
        <w:pStyle w:val="Punktlista"/>
      </w:pPr>
      <w:r>
        <w:t xml:space="preserve">Stockvändning medför ofta oönskade rörelser i kotpelaren. Ett alternativ till stockvändning för att påvisa penetrerande skada är en så kallad ”hand </w:t>
      </w:r>
      <w:proofErr w:type="spellStart"/>
      <w:r>
        <w:t>swipe</w:t>
      </w:r>
      <w:proofErr w:type="spellEnd"/>
      <w:r>
        <w:t>”. Traumaledaren beslutar om och när stockvändning ska utföras.</w:t>
      </w:r>
    </w:p>
    <w:p w14:paraId="164FB75C" w14:textId="6C9C43C6" w:rsidR="00513851" w:rsidRDefault="00513851" w:rsidP="00513851">
      <w:pPr>
        <w:pStyle w:val="Punktlista"/>
      </w:pPr>
      <w:r>
        <w:t xml:space="preserve">Den skadade ska alltid tas om hand på ett sätt så att minsta möjliga förflyttning görs. </w:t>
      </w:r>
    </w:p>
    <w:p w14:paraId="1581CD90" w14:textId="6C510E6A" w:rsidR="00BE5AEF" w:rsidRDefault="00513851" w:rsidP="00513851">
      <w:pPr>
        <w:pStyle w:val="Punktlista"/>
      </w:pPr>
      <w:r>
        <w:t>VISTA-krage används vid verifierad skada efter diskussion med ortoped/ryggkirurg.</w:t>
      </w:r>
    </w:p>
    <w:p w14:paraId="1FC96BAA" w14:textId="77777777" w:rsidR="00513851" w:rsidRDefault="00513851" w:rsidP="00513851">
      <w:pPr>
        <w:pStyle w:val="Rubrik2"/>
      </w:pPr>
      <w:bookmarkStart w:id="11" w:name="_Toc232521057"/>
      <w:r>
        <w:t>Frikännande från spinal skada</w:t>
      </w:r>
      <w:bookmarkEnd w:id="11"/>
    </w:p>
    <w:p w14:paraId="0D340F3C" w14:textId="760D452D" w:rsidR="00513851" w:rsidRDefault="00513851" w:rsidP="00513851">
      <w:pPr>
        <w:pStyle w:val="Punktlista"/>
      </w:pPr>
      <w:r>
        <w:t xml:space="preserve">Så länge patientens kotpelare skyddas kan definitivt frikännande från spinal skada vänta, särskilt vid systemisk instabilitet som </w:t>
      </w:r>
      <w:proofErr w:type="spellStart"/>
      <w:r>
        <w:t>hypotension</w:t>
      </w:r>
      <w:proofErr w:type="spellEnd"/>
      <w:r>
        <w:t xml:space="preserve"> och andningspåverkan.</w:t>
      </w:r>
    </w:p>
    <w:p w14:paraId="2139264C" w14:textId="54F85BE6" w:rsidR="00513851" w:rsidRDefault="00513851" w:rsidP="00513851">
      <w:pPr>
        <w:pStyle w:val="Punktlista"/>
      </w:pPr>
      <w:r>
        <w:t xml:space="preserve">Vakna patienter utan neurologiska bortfall, spinal smärta eller ömhet, tecken till intoxikation eller smärtsamma distraherande skador kan med hög sannolikhet frikännas från signifikant spinal skada. </w:t>
      </w:r>
    </w:p>
    <w:p w14:paraId="287EFF9D" w14:textId="7B6C32BC" w:rsidR="00513851" w:rsidRDefault="00513851" w:rsidP="00513851">
      <w:pPr>
        <w:pStyle w:val="Punktlista"/>
      </w:pPr>
      <w:proofErr w:type="spellStart"/>
      <w:r>
        <w:t>Canadian</w:t>
      </w:r>
      <w:proofErr w:type="spellEnd"/>
      <w:r>
        <w:t xml:space="preserve"> C-</w:t>
      </w:r>
      <w:proofErr w:type="spellStart"/>
      <w:r>
        <w:t>spine</w:t>
      </w:r>
      <w:proofErr w:type="spellEnd"/>
      <w:r>
        <w:t xml:space="preserve"> </w:t>
      </w:r>
      <w:proofErr w:type="spellStart"/>
      <w:r>
        <w:t>Rules</w:t>
      </w:r>
      <w:proofErr w:type="spellEnd"/>
      <w:r>
        <w:t xml:space="preserve"> (CCR) rekommenderas, som är ett validerat verktyg med hög specificitet och sensitivitet för frikännande av </w:t>
      </w:r>
      <w:proofErr w:type="spellStart"/>
      <w:r>
        <w:t>cervikala</w:t>
      </w:r>
      <w:proofErr w:type="spellEnd"/>
      <w:r>
        <w:t xml:space="preserve"> skador, hos alerta vuxna med stabila vitalparametrar</w:t>
      </w:r>
    </w:p>
    <w:p w14:paraId="2B20E0E2" w14:textId="2CD07A5E" w:rsidR="00513851" w:rsidRDefault="00513851" w:rsidP="00513851">
      <w:pPr>
        <w:pStyle w:val="Punktlista"/>
      </w:pPr>
      <w:r>
        <w:t xml:space="preserve">För medvetandesänkta, </w:t>
      </w:r>
      <w:proofErr w:type="spellStart"/>
      <w:r>
        <w:t>intoxikerade</w:t>
      </w:r>
      <w:proofErr w:type="spellEnd"/>
      <w:r>
        <w:t xml:space="preserve"> eller patienter som inte följer uppmaningar är frikännandeprocessen mer komplicerad och radiologisk undersökning är nödvändig.</w:t>
      </w:r>
    </w:p>
    <w:p w14:paraId="1B91959B" w14:textId="09A52427" w:rsidR="006670A0" w:rsidRDefault="00513851" w:rsidP="00513851">
      <w:pPr>
        <w:pStyle w:val="Punktlista"/>
      </w:pPr>
      <w:r>
        <w:t>CT är den modalitet som rekommenderas för att påvisa eller utesluta spinala skador</w:t>
      </w:r>
    </w:p>
    <w:p w14:paraId="1F68AE1B" w14:textId="77777777" w:rsidR="006670A0" w:rsidRDefault="006670A0">
      <w:pPr>
        <w:spacing w:after="0" w:line="240" w:lineRule="auto"/>
        <w:ind w:left="0" w:right="0"/>
      </w:pPr>
      <w:r>
        <w:br w:type="page"/>
      </w:r>
    </w:p>
    <w:p w14:paraId="25DEC618" w14:textId="77777777" w:rsidR="00513851" w:rsidRDefault="00513851" w:rsidP="00513851">
      <w:pPr>
        <w:pStyle w:val="Rubrik2"/>
      </w:pPr>
      <w:bookmarkStart w:id="12" w:name="_Toc232521058"/>
      <w:r>
        <w:lastRenderedPageBreak/>
        <w:t>Avveckling av spinal rörelsebegränsning</w:t>
      </w:r>
      <w:bookmarkEnd w:id="12"/>
    </w:p>
    <w:p w14:paraId="6E6245CE" w14:textId="1E3A01DA" w:rsidR="00513851" w:rsidRDefault="00513851" w:rsidP="00513851">
      <w:pPr>
        <w:pStyle w:val="Punktlista"/>
      </w:pPr>
      <w:r>
        <w:t>SRB skall så snart som möjligt avvecklas på ett säkert sätt.</w:t>
      </w:r>
    </w:p>
    <w:p w14:paraId="4B1CEDCA" w14:textId="08D9CDBD" w:rsidR="00513851" w:rsidRDefault="00513851" w:rsidP="00513851">
      <w:pPr>
        <w:pStyle w:val="Punktlista"/>
      </w:pPr>
      <w:r>
        <w:t>Långvarig positionering på hårt underlag, som TT, medför förutom obehag hos medvetna patienter risk för utveckling av tryckrelaterade skador.</w:t>
      </w:r>
    </w:p>
    <w:p w14:paraId="17D78524" w14:textId="43E75FFD" w:rsidR="00513851" w:rsidRDefault="00513851" w:rsidP="00513851">
      <w:pPr>
        <w:pStyle w:val="Punktlista"/>
      </w:pPr>
      <w:r>
        <w:t>TT bör endast användas vi korta förflyttningar och avvecklas så snart som möjligt.</w:t>
      </w:r>
    </w:p>
    <w:p w14:paraId="75CF40B6" w14:textId="77777777" w:rsidR="00513851" w:rsidRDefault="00513851" w:rsidP="00513851">
      <w:pPr>
        <w:pStyle w:val="Rubrik2"/>
      </w:pPr>
      <w:bookmarkStart w:id="13" w:name="_Toc232521059"/>
      <w:r>
        <w:t>Särskilda omständigheter</w:t>
      </w:r>
      <w:bookmarkEnd w:id="13"/>
    </w:p>
    <w:p w14:paraId="2AF27B62" w14:textId="7AA70896" w:rsidR="00513851" w:rsidRDefault="00513851" w:rsidP="00513851">
      <w:pPr>
        <w:pStyle w:val="Punktlista"/>
      </w:pPr>
      <w:r>
        <w:t>Äldre (&gt; 65 år)</w:t>
      </w:r>
    </w:p>
    <w:p w14:paraId="33741C6B" w14:textId="4DD89F01" w:rsidR="00513851" w:rsidRDefault="00513851" w:rsidP="006670A0">
      <w:pPr>
        <w:pStyle w:val="Punktlista"/>
        <w:numPr>
          <w:ilvl w:val="1"/>
          <w:numId w:val="14"/>
        </w:numPr>
        <w:ind w:left="2127"/>
      </w:pPr>
      <w:r>
        <w:t>I de fall det ej går att utesluta spinal skada hos äldre ska handläggning ske med SRB genom självvalt bekvämt läge på mjuk madrass/i säng</w:t>
      </w:r>
    </w:p>
    <w:p w14:paraId="08730918" w14:textId="0AE66C53" w:rsidR="00513851" w:rsidRDefault="00513851" w:rsidP="006670A0">
      <w:pPr>
        <w:pStyle w:val="Punktlista"/>
        <w:numPr>
          <w:ilvl w:val="1"/>
          <w:numId w:val="14"/>
        </w:numPr>
        <w:ind w:left="2127"/>
      </w:pPr>
      <w:r>
        <w:t>SRB ska anpassas efter patienten, inte tvärt om</w:t>
      </w:r>
    </w:p>
    <w:p w14:paraId="4030977D" w14:textId="6EF736F8" w:rsidR="00513851" w:rsidRDefault="00513851" w:rsidP="006670A0">
      <w:pPr>
        <w:pStyle w:val="Punktlista"/>
        <w:numPr>
          <w:ilvl w:val="1"/>
          <w:numId w:val="14"/>
        </w:numPr>
        <w:ind w:left="2127"/>
      </w:pPr>
      <w:r>
        <w:t>Omhändertagande ska ske med minsta möjliga förflyttning</w:t>
      </w:r>
    </w:p>
    <w:p w14:paraId="149135F3" w14:textId="55A75A5E" w:rsidR="00513851" w:rsidRDefault="00513851" w:rsidP="006670A0">
      <w:pPr>
        <w:pStyle w:val="Punktlista"/>
        <w:numPr>
          <w:ilvl w:val="1"/>
          <w:numId w:val="14"/>
        </w:numPr>
        <w:ind w:left="2127"/>
      </w:pPr>
      <w:r>
        <w:t xml:space="preserve">CT skall utföras vid misstanke om trauma mot kotpelaren hos </w:t>
      </w:r>
      <w:proofErr w:type="gramStart"/>
      <w:r>
        <w:t>patienter &gt;</w:t>
      </w:r>
      <w:proofErr w:type="gramEnd"/>
      <w:r>
        <w:t xml:space="preserve"> 65 år</w:t>
      </w:r>
    </w:p>
    <w:p w14:paraId="21CF729C" w14:textId="73E7F4C0" w:rsidR="00513851" w:rsidRDefault="00513851" w:rsidP="006670A0">
      <w:pPr>
        <w:pStyle w:val="Punktlista"/>
        <w:numPr>
          <w:ilvl w:val="1"/>
          <w:numId w:val="14"/>
        </w:numPr>
        <w:ind w:left="2127"/>
      </w:pPr>
      <w:r>
        <w:t xml:space="preserve">CT </w:t>
      </w:r>
      <w:proofErr w:type="spellStart"/>
      <w:r>
        <w:t>helrygg</w:t>
      </w:r>
      <w:proofErr w:type="spellEnd"/>
      <w:r>
        <w:t xml:space="preserve"> skall utföras vid misstanke om </w:t>
      </w:r>
      <w:proofErr w:type="spellStart"/>
      <w:r>
        <w:t>ankylotisk</w:t>
      </w:r>
      <w:proofErr w:type="spellEnd"/>
      <w:r>
        <w:t xml:space="preserve"> kotpelare</w:t>
      </w:r>
    </w:p>
    <w:p w14:paraId="2E6CA184" w14:textId="76A840F0" w:rsidR="00513851" w:rsidRDefault="00513851" w:rsidP="006670A0">
      <w:pPr>
        <w:pStyle w:val="Punktlista"/>
        <w:numPr>
          <w:ilvl w:val="1"/>
          <w:numId w:val="14"/>
        </w:numPr>
        <w:ind w:left="2127"/>
      </w:pPr>
      <w:r>
        <w:t xml:space="preserve">Utredning med MR </w:t>
      </w:r>
      <w:proofErr w:type="spellStart"/>
      <w:r>
        <w:t>helrygg</w:t>
      </w:r>
      <w:proofErr w:type="spellEnd"/>
      <w:r>
        <w:t xml:space="preserve"> vid neurologiska bortfallssymtom</w:t>
      </w:r>
    </w:p>
    <w:p w14:paraId="1052E31B" w14:textId="11DC01C7" w:rsidR="00513851" w:rsidRDefault="00513851" w:rsidP="00074B29">
      <w:pPr>
        <w:pStyle w:val="Punktlista"/>
      </w:pPr>
      <w:r>
        <w:t xml:space="preserve">Medvetandepåverkan, intoxikation, smärtpåverkan pga. andra skador eller svårigheter att kommunicera adekvat/följa </w:t>
      </w:r>
      <w:proofErr w:type="gramStart"/>
      <w:r>
        <w:t>uppmaningar</w:t>
      </w:r>
      <w:r>
        <w:t xml:space="preserve"> </w:t>
      </w:r>
      <w:r>
        <w:t xml:space="preserve"> av</w:t>
      </w:r>
      <w:proofErr w:type="gramEnd"/>
      <w:r>
        <w:t xml:space="preserve"> annan anledning</w:t>
      </w:r>
    </w:p>
    <w:p w14:paraId="56DF420C" w14:textId="6F4341D8" w:rsidR="00513851" w:rsidRDefault="00513851" w:rsidP="006670A0">
      <w:pPr>
        <w:pStyle w:val="Punktlista"/>
        <w:numPr>
          <w:ilvl w:val="1"/>
          <w:numId w:val="14"/>
        </w:numPr>
        <w:ind w:left="2127"/>
      </w:pPr>
      <w:r>
        <w:t>Ovan nämnda patientgrupp är särskilt svår att fria från spinal skada</w:t>
      </w:r>
    </w:p>
    <w:p w14:paraId="4DF5ABE3" w14:textId="358F479E" w:rsidR="00513851" w:rsidRDefault="00513851" w:rsidP="006670A0">
      <w:pPr>
        <w:pStyle w:val="Punktlista"/>
        <w:numPr>
          <w:ilvl w:val="1"/>
          <w:numId w:val="14"/>
        </w:numPr>
        <w:ind w:left="2127"/>
      </w:pPr>
      <w:r>
        <w:t>CT-utredning krävs om den kliniska undersökningen bedöms otillförlitlig</w:t>
      </w:r>
    </w:p>
    <w:p w14:paraId="64D00206" w14:textId="3106FA12" w:rsidR="00513851" w:rsidRDefault="00513851" w:rsidP="006670A0">
      <w:pPr>
        <w:pStyle w:val="Punktlista"/>
        <w:numPr>
          <w:ilvl w:val="1"/>
          <w:numId w:val="14"/>
        </w:numPr>
        <w:ind w:left="2127"/>
      </w:pPr>
      <w:r>
        <w:t xml:space="preserve">Överväg </w:t>
      </w:r>
      <w:proofErr w:type="spellStart"/>
      <w:r>
        <w:t>sedering</w:t>
      </w:r>
      <w:proofErr w:type="spellEnd"/>
      <w:r>
        <w:t xml:space="preserve"> i samband med SRB vid hög risk för spinal skada</w:t>
      </w:r>
    </w:p>
    <w:p w14:paraId="1AEA82DD" w14:textId="6659A627" w:rsidR="00513851" w:rsidRDefault="00513851" w:rsidP="00513851">
      <w:pPr>
        <w:pStyle w:val="Punktlista"/>
      </w:pPr>
      <w:r>
        <w:t xml:space="preserve">Degenerativa (diffus idiopatisk </w:t>
      </w:r>
      <w:proofErr w:type="spellStart"/>
      <w:r>
        <w:t>skeletal</w:t>
      </w:r>
      <w:proofErr w:type="spellEnd"/>
      <w:r>
        <w:t xml:space="preserve"> </w:t>
      </w:r>
      <w:proofErr w:type="spellStart"/>
      <w:r>
        <w:t>hyperostos</w:t>
      </w:r>
      <w:proofErr w:type="spellEnd"/>
      <w:r>
        <w:t xml:space="preserve"> (DISH)) och/eller </w:t>
      </w:r>
      <w:proofErr w:type="spellStart"/>
      <w:r>
        <w:t>ankylotiska</w:t>
      </w:r>
      <w:proofErr w:type="spellEnd"/>
      <w:r>
        <w:t xml:space="preserve"> ryggdeformiteter (</w:t>
      </w:r>
      <w:proofErr w:type="spellStart"/>
      <w:r>
        <w:t>ankyloserande</w:t>
      </w:r>
      <w:proofErr w:type="spellEnd"/>
      <w:r>
        <w:t xml:space="preserve"> spondylit (AS), tidigare kallad </w:t>
      </w:r>
      <w:proofErr w:type="spellStart"/>
      <w:r>
        <w:t>Bechterews</w:t>
      </w:r>
      <w:proofErr w:type="spellEnd"/>
      <w:r>
        <w:t xml:space="preserve"> sjukdom)</w:t>
      </w:r>
    </w:p>
    <w:p w14:paraId="31AB143B" w14:textId="228D60D7" w:rsidR="00513851" w:rsidRDefault="00513851" w:rsidP="006670A0">
      <w:pPr>
        <w:pStyle w:val="Punktlista"/>
        <w:numPr>
          <w:ilvl w:val="1"/>
          <w:numId w:val="14"/>
        </w:numPr>
        <w:ind w:left="2127"/>
      </w:pPr>
      <w:r>
        <w:lastRenderedPageBreak/>
        <w:t>Forcerat planläge på exempelvis TT medför hög risk för allvarlig spinal skada</w:t>
      </w:r>
    </w:p>
    <w:p w14:paraId="0B33DAE7" w14:textId="4B21EC28" w:rsidR="00513851" w:rsidRDefault="00513851" w:rsidP="006670A0">
      <w:pPr>
        <w:pStyle w:val="Punktlista"/>
        <w:numPr>
          <w:ilvl w:val="1"/>
          <w:numId w:val="14"/>
        </w:numPr>
        <w:ind w:left="2127"/>
      </w:pPr>
      <w:r>
        <w:t>SRB ska ske med stor försiktighet i ett för patienten självvalt läge, företrädesvis i en säng/mjuk madrass med uppstöttning i form av kuddar eller filtar</w:t>
      </w:r>
    </w:p>
    <w:p w14:paraId="5F617D9F" w14:textId="5985D652" w:rsidR="00513851" w:rsidRDefault="00513851" w:rsidP="006670A0">
      <w:pPr>
        <w:pStyle w:val="Punktlista"/>
        <w:numPr>
          <w:ilvl w:val="1"/>
          <w:numId w:val="14"/>
        </w:numPr>
        <w:ind w:left="2127"/>
      </w:pPr>
      <w:r>
        <w:t xml:space="preserve">Utredning sker med CT </w:t>
      </w:r>
      <w:proofErr w:type="spellStart"/>
      <w:r>
        <w:t>helrygg</w:t>
      </w:r>
      <w:proofErr w:type="spellEnd"/>
    </w:p>
    <w:p w14:paraId="3A1D3552" w14:textId="740412B5" w:rsidR="00513851" w:rsidRDefault="00513851" w:rsidP="00513851">
      <w:pPr>
        <w:pStyle w:val="Punktlista"/>
      </w:pPr>
      <w:r>
        <w:t>Penetrerande våld</w:t>
      </w:r>
    </w:p>
    <w:p w14:paraId="0D936E99" w14:textId="702C182B" w:rsidR="00513851" w:rsidRDefault="00513851" w:rsidP="006670A0">
      <w:pPr>
        <w:pStyle w:val="Punktlista"/>
        <w:numPr>
          <w:ilvl w:val="1"/>
          <w:numId w:val="14"/>
        </w:numPr>
        <w:ind w:left="2127"/>
      </w:pPr>
      <w:r>
        <w:t>SRB bör undvikas vid kritiska skador som orsakats av penetrerande våld.</w:t>
      </w:r>
    </w:p>
    <w:p w14:paraId="57642249" w14:textId="58EC9CEB" w:rsidR="00513851" w:rsidRDefault="00513851" w:rsidP="006670A0">
      <w:pPr>
        <w:pStyle w:val="Punktlista"/>
        <w:numPr>
          <w:ilvl w:val="1"/>
          <w:numId w:val="14"/>
        </w:numPr>
        <w:ind w:left="2127"/>
      </w:pPr>
      <w:r>
        <w:t>SRB rekommenderas ej rutinmässigt vid penetrerande nackskador.</w:t>
      </w:r>
    </w:p>
    <w:p w14:paraId="2DB9620D" w14:textId="77777777" w:rsidR="006670A0" w:rsidRDefault="006670A0" w:rsidP="006670A0">
      <w:pPr>
        <w:pStyle w:val="Rubrik2"/>
      </w:pPr>
      <w:bookmarkStart w:id="14" w:name="_Toc232521060"/>
      <w:r w:rsidRPr="006670A0">
        <w:t>Avveckling</w:t>
      </w:r>
      <w:r w:rsidRPr="7E47D4B0">
        <w:t xml:space="preserve"> av spinal rörelsebegränsning</w:t>
      </w:r>
      <w:bookmarkEnd w:id="14"/>
    </w:p>
    <w:p w14:paraId="3BF34DB0" w14:textId="77777777" w:rsidR="006670A0" w:rsidRDefault="006670A0" w:rsidP="006670A0">
      <w:pPr>
        <w:pStyle w:val="Punktlista"/>
      </w:pPr>
      <w:r w:rsidRPr="7E47D4B0">
        <w:t>SRB skall så snart som möjligt avvecklas på ett säkert sätt.</w:t>
      </w:r>
    </w:p>
    <w:p w14:paraId="7FF81EEB" w14:textId="77777777" w:rsidR="006670A0" w:rsidRDefault="006670A0" w:rsidP="006670A0">
      <w:pPr>
        <w:pStyle w:val="Punktlista"/>
      </w:pPr>
      <w:r w:rsidRPr="7E47D4B0">
        <w:t>Långvarig positionering på hårt underlag, som TT, medför förutom obehag hos medvetna patienter risk för utveckling av tryckrelaterade skador.</w:t>
      </w:r>
    </w:p>
    <w:p w14:paraId="6CC7103C" w14:textId="77777777" w:rsidR="006670A0" w:rsidRDefault="006670A0" w:rsidP="006670A0">
      <w:pPr>
        <w:pStyle w:val="Punktlista"/>
      </w:pPr>
      <w:r w:rsidRPr="7E47D4B0">
        <w:t>TT bör endast användas vid korta förflyttningar och avvecklas så snart som möjligt.</w:t>
      </w:r>
    </w:p>
    <w:p w14:paraId="2BC6B92C" w14:textId="77777777" w:rsidR="006670A0" w:rsidRDefault="006670A0" w:rsidP="006670A0">
      <w:pPr>
        <w:pStyle w:val="Rubrik2"/>
      </w:pPr>
      <w:bookmarkStart w:id="15" w:name="_Toc232521061"/>
      <w:r w:rsidRPr="7E47D4B0">
        <w:t>Förflyttning till annat sjukhus</w:t>
      </w:r>
      <w:bookmarkEnd w:id="15"/>
    </w:p>
    <w:p w14:paraId="01BA8BB4" w14:textId="77777777" w:rsidR="006670A0" w:rsidRDefault="006670A0" w:rsidP="006670A0">
      <w:pPr>
        <w:pStyle w:val="Punktlista"/>
      </w:pPr>
      <w:r w:rsidRPr="7E47D4B0">
        <w:t>Patienter med spinal skada som kräver förflyttning till annat sjukhus ska inför transport erhålla spinal rörelsebegränsning.</w:t>
      </w:r>
    </w:p>
    <w:p w14:paraId="6C8E2D23" w14:textId="77777777" w:rsidR="006670A0" w:rsidRDefault="006670A0" w:rsidP="006670A0">
      <w:pPr>
        <w:pStyle w:val="Punktlista"/>
      </w:pPr>
      <w:r w:rsidRPr="7E47D4B0">
        <w:t>Risken för respiratoriska problem vid höga halsryggskador behöver beaktas och luftvägen säkras om den är hotad.</w:t>
      </w:r>
    </w:p>
    <w:p w14:paraId="25669320" w14:textId="77777777" w:rsidR="006670A0" w:rsidRDefault="006670A0" w:rsidP="006670A0">
      <w:pPr>
        <w:pStyle w:val="Punktlista"/>
      </w:pPr>
      <w:r w:rsidRPr="7E47D4B0">
        <w:t>Transport bör ske skyndsamt.</w:t>
      </w:r>
    </w:p>
    <w:p w14:paraId="11CD8E1D" w14:textId="77777777" w:rsidR="006670A0" w:rsidRDefault="006670A0" w:rsidP="006670A0">
      <w:pPr>
        <w:pStyle w:val="Rubrik2"/>
      </w:pPr>
      <w:bookmarkStart w:id="16" w:name="_Toc232521062"/>
      <w:r>
        <w:t>Intrahospital spinal rörelsebegränsning i samband med trauma hos barn (under 16 år)</w:t>
      </w:r>
      <w:bookmarkEnd w:id="16"/>
    </w:p>
    <w:p w14:paraId="15D1B6B2" w14:textId="77777777" w:rsidR="006670A0" w:rsidRDefault="006670A0" w:rsidP="006670A0">
      <w:r>
        <w:t xml:space="preserve">Barn som uppfyller fysiologiska, anatomiska eller skademekaniska kriterier för traumalarm ska handläggas med SRB som hos vuxna tills spinal skada har uteslutits kliniskt eller radiologiskt. Övriga barn där spinal skada kan förekomma ska handläggas med SRB genom självvalt </w:t>
      </w:r>
      <w:r>
        <w:lastRenderedPageBreak/>
        <w:t>bekvämt läge på mjuk madrass/i säng med stöd för halsryggen i form av exempelvis hus eller sandsäckar.</w:t>
      </w:r>
    </w:p>
    <w:p w14:paraId="0F30220E" w14:textId="708C7A86" w:rsidR="006670A0" w:rsidRDefault="006670A0" w:rsidP="006670A0">
      <w:pPr>
        <w:pStyle w:val="Punktlista"/>
      </w:pPr>
      <w:r>
        <w:t xml:space="preserve">Barn </w:t>
      </w:r>
      <w:proofErr w:type="gramStart"/>
      <w:r>
        <w:t>&lt; 3</w:t>
      </w:r>
      <w:proofErr w:type="gramEnd"/>
      <w:r>
        <w:t xml:space="preserve"> år – kan erhålla spinal rörelsebegränsning i babyskydd</w:t>
      </w:r>
    </w:p>
    <w:p w14:paraId="4497359F" w14:textId="7940E127" w:rsidR="006670A0" w:rsidRDefault="006670A0" w:rsidP="006670A0">
      <w:pPr>
        <w:pStyle w:val="Punktlista"/>
      </w:pPr>
      <w:r>
        <w:t xml:space="preserve">Barn </w:t>
      </w:r>
      <w:proofErr w:type="gramStart"/>
      <w:r>
        <w:t>&lt; 9</w:t>
      </w:r>
      <w:proofErr w:type="gramEnd"/>
      <w:r>
        <w:t xml:space="preserve"> år – vid ryggläge ska kudde/förhöjning läggas under axlarna för att undvika flexion i halsryggen pga. det relativt stora huvudet</w:t>
      </w:r>
    </w:p>
    <w:p w14:paraId="77F0F9FD" w14:textId="3647CCE1" w:rsidR="006670A0" w:rsidRDefault="006670A0" w:rsidP="006670A0">
      <w:pPr>
        <w:pStyle w:val="Punktlista"/>
      </w:pPr>
      <w:r>
        <w:t>Barn med syndrom ska alltid bedömas individuellt</w:t>
      </w:r>
    </w:p>
    <w:p w14:paraId="72B347F5" w14:textId="34982617" w:rsidR="006670A0" w:rsidRDefault="006670A0" w:rsidP="006670A0">
      <w:pPr>
        <w:pStyle w:val="Punktlista"/>
      </w:pPr>
      <w:r>
        <w:t>Triageverktyg baserade på kliniska fynd ska användas som stöd för frikännande av spinal skada</w:t>
      </w:r>
    </w:p>
    <w:p w14:paraId="62DC7551" w14:textId="544787C9" w:rsidR="006670A0" w:rsidRDefault="006670A0" w:rsidP="006670A0">
      <w:pPr>
        <w:pStyle w:val="Punktlista"/>
      </w:pPr>
      <w:r>
        <w:t>CT är förstahandsval för radiologiskt frikännande från spinal skada</w:t>
      </w:r>
    </w:p>
    <w:p w14:paraId="26A7CC58" w14:textId="0E066541" w:rsidR="00513851" w:rsidRDefault="006670A0" w:rsidP="006670A0">
      <w:pPr>
        <w:pStyle w:val="Punktlista"/>
      </w:pPr>
      <w:r>
        <w:t>MR utförs sekundärt vid neurologiska bortfallssymtom efter diskussion med ortoped.</w:t>
      </w:r>
    </w:p>
    <w:p w14:paraId="4CB33B52" w14:textId="77777777" w:rsidR="006670A0" w:rsidRDefault="006670A0" w:rsidP="006670A0">
      <w:pPr>
        <w:pStyle w:val="Rubrik2"/>
      </w:pPr>
      <w:bookmarkStart w:id="17" w:name="_Toc232521063"/>
      <w:r>
        <w:t>Definitioner</w:t>
      </w:r>
      <w:bookmarkEnd w:id="17"/>
    </w:p>
    <w:p w14:paraId="12F7A3F1" w14:textId="77777777" w:rsidR="006670A0" w:rsidRDefault="006670A0" w:rsidP="006670A0">
      <w:r w:rsidRPr="006670A0">
        <w:rPr>
          <w:b/>
          <w:bCs/>
        </w:rPr>
        <w:t xml:space="preserve">SRB </w:t>
      </w:r>
      <w:r>
        <w:t>– spinal rörelsebegränsning, hjälpmedel och tekniker som används för att begränsa rörlighet i kotpelaren</w:t>
      </w:r>
    </w:p>
    <w:p w14:paraId="4158FE49" w14:textId="77777777" w:rsidR="006670A0" w:rsidRDefault="006670A0" w:rsidP="006670A0">
      <w:r w:rsidRPr="006670A0">
        <w:rPr>
          <w:b/>
          <w:bCs/>
        </w:rPr>
        <w:t>Trauma transfer</w:t>
      </w:r>
      <w:r>
        <w:t xml:space="preserve"> – halvfast orange/svart bräda, används vid förflyttning av traumapatient</w:t>
      </w:r>
    </w:p>
    <w:p w14:paraId="0E201708" w14:textId="77777777" w:rsidR="006670A0" w:rsidRDefault="006670A0" w:rsidP="006670A0">
      <w:r w:rsidRPr="006670A0">
        <w:rPr>
          <w:b/>
          <w:bCs/>
        </w:rPr>
        <w:t>Stöd för halsryggen</w:t>
      </w:r>
      <w:r>
        <w:t xml:space="preserve"> – Huvudblock/hus, sandsäckar för stabilisering av halsryggen</w:t>
      </w:r>
    </w:p>
    <w:p w14:paraId="00203F97" w14:textId="77777777" w:rsidR="006670A0" w:rsidRDefault="006670A0" w:rsidP="006670A0">
      <w:r w:rsidRPr="006670A0">
        <w:rPr>
          <w:b/>
          <w:bCs/>
        </w:rPr>
        <w:t>Självvalt bekvämt läge</w:t>
      </w:r>
      <w:r>
        <w:t xml:space="preserve"> – Hjälpmedel och tekniker som formats runt patienten för att skapa rörelsebegränsning anpassad efter patientens kropp och valda läge</w:t>
      </w:r>
    </w:p>
    <w:p w14:paraId="70342160" w14:textId="77777777" w:rsidR="006670A0" w:rsidRDefault="006670A0" w:rsidP="006670A0">
      <w:r w:rsidRPr="006670A0">
        <w:rPr>
          <w:b/>
          <w:bCs/>
        </w:rPr>
        <w:t xml:space="preserve">Hand </w:t>
      </w:r>
      <w:proofErr w:type="spellStart"/>
      <w:r w:rsidRPr="006670A0">
        <w:rPr>
          <w:b/>
          <w:bCs/>
        </w:rPr>
        <w:t>swipe</w:t>
      </w:r>
      <w:proofErr w:type="spellEnd"/>
      <w:r>
        <w:t xml:space="preserve"> – undersökande läkare för handflatan under patientens rygg i syfte att upptäcka blödande sår</w:t>
      </w:r>
    </w:p>
    <w:p w14:paraId="401E8A33" w14:textId="02977444" w:rsidR="00627535" w:rsidRDefault="006670A0" w:rsidP="006670A0">
      <w:r w:rsidRPr="006670A0">
        <w:rPr>
          <w:b/>
          <w:bCs/>
        </w:rPr>
        <w:t xml:space="preserve">CCR </w:t>
      </w:r>
      <w:r>
        <w:t xml:space="preserve">– </w:t>
      </w:r>
      <w:proofErr w:type="spellStart"/>
      <w:r>
        <w:t>Canadian</w:t>
      </w:r>
      <w:proofErr w:type="spellEnd"/>
      <w:r>
        <w:t xml:space="preserve"> C-</w:t>
      </w:r>
      <w:proofErr w:type="spellStart"/>
      <w:r>
        <w:t>spine</w:t>
      </w:r>
      <w:proofErr w:type="spellEnd"/>
      <w:r>
        <w:t xml:space="preserve"> </w:t>
      </w:r>
      <w:proofErr w:type="spellStart"/>
      <w:r>
        <w:t>Rules</w:t>
      </w:r>
      <w:proofErr w:type="spellEnd"/>
    </w:p>
    <w:p w14:paraId="0753F4B4" w14:textId="77777777" w:rsidR="00627535" w:rsidRDefault="00627535">
      <w:pPr>
        <w:spacing w:after="0" w:line="240" w:lineRule="auto"/>
        <w:ind w:left="0" w:right="0"/>
      </w:pPr>
      <w:r>
        <w:br w:type="page"/>
      </w:r>
    </w:p>
    <w:p w14:paraId="60FFA1B6" w14:textId="77777777" w:rsidR="006670A0" w:rsidRDefault="006670A0" w:rsidP="006670A0">
      <w:pPr>
        <w:pStyle w:val="Rubrik2"/>
      </w:pPr>
      <w:bookmarkStart w:id="18" w:name="_Toc232521064"/>
      <w:r>
        <w:lastRenderedPageBreak/>
        <w:t>Referenser och relaterade dokument</w:t>
      </w:r>
      <w:bookmarkEnd w:id="18"/>
    </w:p>
    <w:p w14:paraId="49EBB4DC" w14:textId="6616A7F2" w:rsidR="006670A0" w:rsidRDefault="006670A0" w:rsidP="006670A0">
      <w:pPr>
        <w:pStyle w:val="Punktlista"/>
        <w:numPr>
          <w:ilvl w:val="0"/>
          <w:numId w:val="25"/>
        </w:numPr>
      </w:pPr>
      <w:r>
        <w:t xml:space="preserve">LÖF (Regionernas ömsesidiga försäkringsbolag). Spinal rörelsebegränsning vid trauma. </w:t>
      </w:r>
      <w:proofErr w:type="spellStart"/>
      <w:r>
        <w:t>Prehospitalt</w:t>
      </w:r>
      <w:proofErr w:type="spellEnd"/>
      <w:r>
        <w:t xml:space="preserve"> och </w:t>
      </w:r>
      <w:proofErr w:type="spellStart"/>
      <w:r>
        <w:t>hospitalt</w:t>
      </w:r>
      <w:proofErr w:type="spellEnd"/>
      <w:r>
        <w:t>. Nationella behandlingsrekommendationer. https://lof.se/filer/Spinal-rorelsebegransning-vid-trauma.pdf</w:t>
      </w:r>
    </w:p>
    <w:p w14:paraId="72862B6B" w14:textId="76FAF87A" w:rsidR="006670A0" w:rsidRDefault="006670A0" w:rsidP="006670A0">
      <w:pPr>
        <w:pStyle w:val="Punktlista"/>
        <w:numPr>
          <w:ilvl w:val="0"/>
          <w:numId w:val="25"/>
        </w:numPr>
      </w:pPr>
      <w:r>
        <w:t xml:space="preserve">Läkartidningen. </w:t>
      </w:r>
      <w:proofErr w:type="gramStart"/>
      <w:r>
        <w:t>2023;120:22136</w:t>
      </w:r>
      <w:proofErr w:type="gramEnd"/>
    </w:p>
    <w:p w14:paraId="506DA511" w14:textId="15AA5912" w:rsidR="006670A0" w:rsidRDefault="006670A0" w:rsidP="006670A0">
      <w:pPr>
        <w:pStyle w:val="Punktlista"/>
        <w:numPr>
          <w:ilvl w:val="0"/>
          <w:numId w:val="25"/>
        </w:numPr>
      </w:pPr>
      <w:r>
        <w:t xml:space="preserve">ATLS. </w:t>
      </w:r>
      <w:proofErr w:type="spellStart"/>
      <w:r>
        <w:t>Advanced</w:t>
      </w:r>
      <w:proofErr w:type="spellEnd"/>
      <w:r>
        <w:t xml:space="preserve"> Trauma Life Support. Student Course Manual. 10th ed. Chicago: </w:t>
      </w:r>
      <w:proofErr w:type="spellStart"/>
      <w:r>
        <w:t>American</w:t>
      </w:r>
      <w:proofErr w:type="spellEnd"/>
      <w:r>
        <w:t xml:space="preserve"> College </w:t>
      </w:r>
      <w:proofErr w:type="spellStart"/>
      <w:r>
        <w:t>of</w:t>
      </w:r>
      <w:proofErr w:type="spellEnd"/>
      <w:r>
        <w:t xml:space="preserve"> </w:t>
      </w:r>
      <w:proofErr w:type="spellStart"/>
      <w:r>
        <w:t>Surgeons</w:t>
      </w:r>
      <w:proofErr w:type="spellEnd"/>
      <w:r>
        <w:t xml:space="preserve">, </w:t>
      </w:r>
      <w:proofErr w:type="spellStart"/>
      <w:r>
        <w:t>Committee</w:t>
      </w:r>
      <w:proofErr w:type="spellEnd"/>
      <w:r>
        <w:t xml:space="preserve"> on Trauma; 2018.</w:t>
      </w:r>
    </w:p>
    <w:sectPr w:rsidR="006670A0"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982CB4" w14:textId="77777777" w:rsidR="00377992" w:rsidRDefault="00377992">
      <w:r>
        <w:separator/>
      </w:r>
    </w:p>
  </w:endnote>
  <w:endnote w:type="continuationSeparator" w:id="0">
    <w:p w14:paraId="44CF1761" w14:textId="77777777" w:rsidR="00377992" w:rsidRDefault="00377992">
      <w:r>
        <w:continuationSeparator/>
      </w:r>
    </w:p>
  </w:endnote>
  <w:endnote w:type="continuationNotice" w:id="1">
    <w:p w14:paraId="186B5563" w14:textId="77777777" w:rsidR="00377992" w:rsidRDefault="003779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quot;Calibri&quot;,sans-serif">
    <w:altName w:val="Cambria"/>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627535"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4CA4C5" w14:textId="77777777" w:rsidR="00377992" w:rsidRDefault="00377992"/>
  </w:footnote>
  <w:footnote w:type="continuationSeparator" w:id="0">
    <w:p w14:paraId="5657CB6C" w14:textId="77777777" w:rsidR="00377992" w:rsidRDefault="00377992">
      <w:r>
        <w:continuationSeparator/>
      </w:r>
    </w:p>
  </w:footnote>
  <w:footnote w:type="continuationNotice" w:id="1">
    <w:p w14:paraId="550A0F36" w14:textId="77777777" w:rsidR="00377992" w:rsidRDefault="0037799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0D0131"/>
    <w:multiLevelType w:val="hybridMultilevel"/>
    <w:tmpl w:val="DE7CE51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CE91F2C"/>
    <w:multiLevelType w:val="hybridMultilevel"/>
    <w:tmpl w:val="51C0AC3A"/>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0" w15:restartNumberingAfterBreak="0">
    <w:nsid w:val="2F3FEEC6"/>
    <w:multiLevelType w:val="hybridMultilevel"/>
    <w:tmpl w:val="03BA4EFE"/>
    <w:lvl w:ilvl="0" w:tplc="C9FC4E62">
      <w:start w:val="1"/>
      <w:numFmt w:val="bullet"/>
      <w:lvlText w:val="·"/>
      <w:lvlJc w:val="left"/>
      <w:pPr>
        <w:ind w:left="720" w:hanging="360"/>
      </w:pPr>
      <w:rPr>
        <w:rFonts w:ascii="Symbol" w:hAnsi="Symbol" w:hint="default"/>
      </w:rPr>
    </w:lvl>
    <w:lvl w:ilvl="1" w:tplc="828A4F08">
      <w:start w:val="1"/>
      <w:numFmt w:val="bullet"/>
      <w:lvlText w:val="o"/>
      <w:lvlJc w:val="left"/>
      <w:pPr>
        <w:ind w:left="1440" w:hanging="360"/>
      </w:pPr>
      <w:rPr>
        <w:rFonts w:ascii="Courier New" w:hAnsi="Courier New" w:hint="default"/>
      </w:rPr>
    </w:lvl>
    <w:lvl w:ilvl="2" w:tplc="756C2C1E">
      <w:start w:val="1"/>
      <w:numFmt w:val="bullet"/>
      <w:lvlText w:val=""/>
      <w:lvlJc w:val="left"/>
      <w:pPr>
        <w:ind w:left="2160" w:hanging="360"/>
      </w:pPr>
      <w:rPr>
        <w:rFonts w:ascii="Wingdings" w:hAnsi="Wingdings" w:hint="default"/>
      </w:rPr>
    </w:lvl>
    <w:lvl w:ilvl="3" w:tplc="FFC02EC6">
      <w:start w:val="1"/>
      <w:numFmt w:val="bullet"/>
      <w:lvlText w:val=""/>
      <w:lvlJc w:val="left"/>
      <w:pPr>
        <w:ind w:left="2880" w:hanging="360"/>
      </w:pPr>
      <w:rPr>
        <w:rFonts w:ascii="Symbol" w:hAnsi="Symbol" w:hint="default"/>
      </w:rPr>
    </w:lvl>
    <w:lvl w:ilvl="4" w:tplc="EBD4E582">
      <w:start w:val="1"/>
      <w:numFmt w:val="bullet"/>
      <w:lvlText w:val="o"/>
      <w:lvlJc w:val="left"/>
      <w:pPr>
        <w:ind w:left="3600" w:hanging="360"/>
      </w:pPr>
      <w:rPr>
        <w:rFonts w:ascii="Courier New" w:hAnsi="Courier New" w:hint="default"/>
      </w:rPr>
    </w:lvl>
    <w:lvl w:ilvl="5" w:tplc="2B50164C">
      <w:start w:val="1"/>
      <w:numFmt w:val="bullet"/>
      <w:lvlText w:val=""/>
      <w:lvlJc w:val="left"/>
      <w:pPr>
        <w:ind w:left="4320" w:hanging="360"/>
      </w:pPr>
      <w:rPr>
        <w:rFonts w:ascii="Wingdings" w:hAnsi="Wingdings" w:hint="default"/>
      </w:rPr>
    </w:lvl>
    <w:lvl w:ilvl="6" w:tplc="D78CAD82">
      <w:start w:val="1"/>
      <w:numFmt w:val="bullet"/>
      <w:lvlText w:val=""/>
      <w:lvlJc w:val="left"/>
      <w:pPr>
        <w:ind w:left="5040" w:hanging="360"/>
      </w:pPr>
      <w:rPr>
        <w:rFonts w:ascii="Symbol" w:hAnsi="Symbol" w:hint="default"/>
      </w:rPr>
    </w:lvl>
    <w:lvl w:ilvl="7" w:tplc="F8767854">
      <w:start w:val="1"/>
      <w:numFmt w:val="bullet"/>
      <w:lvlText w:val="o"/>
      <w:lvlJc w:val="left"/>
      <w:pPr>
        <w:ind w:left="5760" w:hanging="360"/>
      </w:pPr>
      <w:rPr>
        <w:rFonts w:ascii="Courier New" w:hAnsi="Courier New" w:hint="default"/>
      </w:rPr>
    </w:lvl>
    <w:lvl w:ilvl="8" w:tplc="C31CAA60">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07B5E1"/>
    <w:multiLevelType w:val="hybridMultilevel"/>
    <w:tmpl w:val="DE60B6A2"/>
    <w:lvl w:ilvl="0" w:tplc="10A4BFBC">
      <w:start w:val="1"/>
      <w:numFmt w:val="bullet"/>
      <w:lvlText w:val="-"/>
      <w:lvlJc w:val="left"/>
      <w:pPr>
        <w:ind w:left="720" w:hanging="360"/>
      </w:pPr>
      <w:rPr>
        <w:rFonts w:ascii="&quot;Calibri&quot;,sans-serif" w:hAnsi="&quot;Calibri&quot;,sans-serif" w:hint="default"/>
      </w:rPr>
    </w:lvl>
    <w:lvl w:ilvl="1" w:tplc="2DFC7DC2">
      <w:start w:val="1"/>
      <w:numFmt w:val="bullet"/>
      <w:lvlText w:val="o"/>
      <w:lvlJc w:val="left"/>
      <w:pPr>
        <w:ind w:left="1440" w:hanging="360"/>
      </w:pPr>
      <w:rPr>
        <w:rFonts w:ascii="Courier New" w:hAnsi="Courier New" w:hint="default"/>
      </w:rPr>
    </w:lvl>
    <w:lvl w:ilvl="2" w:tplc="D7740724">
      <w:start w:val="1"/>
      <w:numFmt w:val="bullet"/>
      <w:lvlText w:val=""/>
      <w:lvlJc w:val="left"/>
      <w:pPr>
        <w:ind w:left="2160" w:hanging="360"/>
      </w:pPr>
      <w:rPr>
        <w:rFonts w:ascii="Wingdings" w:hAnsi="Wingdings" w:hint="default"/>
      </w:rPr>
    </w:lvl>
    <w:lvl w:ilvl="3" w:tplc="54387D7E">
      <w:start w:val="1"/>
      <w:numFmt w:val="bullet"/>
      <w:lvlText w:val=""/>
      <w:lvlJc w:val="left"/>
      <w:pPr>
        <w:ind w:left="2880" w:hanging="360"/>
      </w:pPr>
      <w:rPr>
        <w:rFonts w:ascii="Symbol" w:hAnsi="Symbol" w:hint="default"/>
      </w:rPr>
    </w:lvl>
    <w:lvl w:ilvl="4" w:tplc="DBB8DD0E">
      <w:start w:val="1"/>
      <w:numFmt w:val="bullet"/>
      <w:lvlText w:val="o"/>
      <w:lvlJc w:val="left"/>
      <w:pPr>
        <w:ind w:left="3600" w:hanging="360"/>
      </w:pPr>
      <w:rPr>
        <w:rFonts w:ascii="Courier New" w:hAnsi="Courier New" w:hint="default"/>
      </w:rPr>
    </w:lvl>
    <w:lvl w:ilvl="5" w:tplc="0ADE61C8">
      <w:start w:val="1"/>
      <w:numFmt w:val="bullet"/>
      <w:lvlText w:val=""/>
      <w:lvlJc w:val="left"/>
      <w:pPr>
        <w:ind w:left="4320" w:hanging="360"/>
      </w:pPr>
      <w:rPr>
        <w:rFonts w:ascii="Wingdings" w:hAnsi="Wingdings" w:hint="default"/>
      </w:rPr>
    </w:lvl>
    <w:lvl w:ilvl="6" w:tplc="9F88D1AE">
      <w:start w:val="1"/>
      <w:numFmt w:val="bullet"/>
      <w:lvlText w:val=""/>
      <w:lvlJc w:val="left"/>
      <w:pPr>
        <w:ind w:left="5040" w:hanging="360"/>
      </w:pPr>
      <w:rPr>
        <w:rFonts w:ascii="Symbol" w:hAnsi="Symbol" w:hint="default"/>
      </w:rPr>
    </w:lvl>
    <w:lvl w:ilvl="7" w:tplc="A0A41AA6">
      <w:start w:val="1"/>
      <w:numFmt w:val="bullet"/>
      <w:lvlText w:val="o"/>
      <w:lvlJc w:val="left"/>
      <w:pPr>
        <w:ind w:left="5760" w:hanging="360"/>
      </w:pPr>
      <w:rPr>
        <w:rFonts w:ascii="Courier New" w:hAnsi="Courier New" w:hint="default"/>
      </w:rPr>
    </w:lvl>
    <w:lvl w:ilvl="8" w:tplc="DC043D74">
      <w:start w:val="1"/>
      <w:numFmt w:val="bullet"/>
      <w:lvlText w:val=""/>
      <w:lvlJc w:val="left"/>
      <w:pPr>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D683388"/>
    <w:multiLevelType w:val="hybridMultilevel"/>
    <w:tmpl w:val="E4C27778"/>
    <w:lvl w:ilvl="0" w:tplc="C5B66ADE">
      <w:start w:val="1"/>
      <w:numFmt w:val="bullet"/>
      <w:lvlText w:val="·"/>
      <w:lvlJc w:val="left"/>
      <w:pPr>
        <w:ind w:left="720" w:hanging="360"/>
      </w:pPr>
      <w:rPr>
        <w:rFonts w:ascii="Symbol" w:hAnsi="Symbol" w:hint="default"/>
      </w:rPr>
    </w:lvl>
    <w:lvl w:ilvl="1" w:tplc="244CEE52">
      <w:start w:val="1"/>
      <w:numFmt w:val="bullet"/>
      <w:lvlText w:val="o"/>
      <w:lvlJc w:val="left"/>
      <w:pPr>
        <w:ind w:left="1440" w:hanging="360"/>
      </w:pPr>
      <w:rPr>
        <w:rFonts w:ascii="Courier New" w:hAnsi="Courier New" w:hint="default"/>
      </w:rPr>
    </w:lvl>
    <w:lvl w:ilvl="2" w:tplc="894460D6">
      <w:start w:val="1"/>
      <w:numFmt w:val="bullet"/>
      <w:lvlText w:val=""/>
      <w:lvlJc w:val="left"/>
      <w:pPr>
        <w:ind w:left="2160" w:hanging="360"/>
      </w:pPr>
      <w:rPr>
        <w:rFonts w:ascii="Wingdings" w:hAnsi="Wingdings" w:hint="default"/>
      </w:rPr>
    </w:lvl>
    <w:lvl w:ilvl="3" w:tplc="60F40850">
      <w:start w:val="1"/>
      <w:numFmt w:val="bullet"/>
      <w:lvlText w:val=""/>
      <w:lvlJc w:val="left"/>
      <w:pPr>
        <w:ind w:left="2880" w:hanging="360"/>
      </w:pPr>
      <w:rPr>
        <w:rFonts w:ascii="Symbol" w:hAnsi="Symbol" w:hint="default"/>
      </w:rPr>
    </w:lvl>
    <w:lvl w:ilvl="4" w:tplc="69320B48">
      <w:start w:val="1"/>
      <w:numFmt w:val="bullet"/>
      <w:lvlText w:val="o"/>
      <w:lvlJc w:val="left"/>
      <w:pPr>
        <w:ind w:left="3600" w:hanging="360"/>
      </w:pPr>
      <w:rPr>
        <w:rFonts w:ascii="Courier New" w:hAnsi="Courier New" w:hint="default"/>
      </w:rPr>
    </w:lvl>
    <w:lvl w:ilvl="5" w:tplc="2EF0F406">
      <w:start w:val="1"/>
      <w:numFmt w:val="bullet"/>
      <w:lvlText w:val=""/>
      <w:lvlJc w:val="left"/>
      <w:pPr>
        <w:ind w:left="4320" w:hanging="360"/>
      </w:pPr>
      <w:rPr>
        <w:rFonts w:ascii="Wingdings" w:hAnsi="Wingdings" w:hint="default"/>
      </w:rPr>
    </w:lvl>
    <w:lvl w:ilvl="6" w:tplc="3BF0E8EE">
      <w:start w:val="1"/>
      <w:numFmt w:val="bullet"/>
      <w:lvlText w:val=""/>
      <w:lvlJc w:val="left"/>
      <w:pPr>
        <w:ind w:left="5040" w:hanging="360"/>
      </w:pPr>
      <w:rPr>
        <w:rFonts w:ascii="Symbol" w:hAnsi="Symbol" w:hint="default"/>
      </w:rPr>
    </w:lvl>
    <w:lvl w:ilvl="7" w:tplc="ABBAB31A">
      <w:start w:val="1"/>
      <w:numFmt w:val="bullet"/>
      <w:lvlText w:val="o"/>
      <w:lvlJc w:val="left"/>
      <w:pPr>
        <w:ind w:left="5760" w:hanging="360"/>
      </w:pPr>
      <w:rPr>
        <w:rFonts w:ascii="Courier New" w:hAnsi="Courier New" w:hint="default"/>
      </w:rPr>
    </w:lvl>
    <w:lvl w:ilvl="8" w:tplc="A1CE028C">
      <w:start w:val="1"/>
      <w:numFmt w:val="bullet"/>
      <w:lvlText w:val=""/>
      <w:lvlJc w:val="left"/>
      <w:pPr>
        <w:ind w:left="6480" w:hanging="360"/>
      </w:pPr>
      <w:rPr>
        <w:rFonts w:ascii="Wingdings" w:hAnsi="Wingdings" w:hint="default"/>
      </w:rPr>
    </w:lvl>
  </w:abstractNum>
  <w:abstractNum w:abstractNumId="20" w15:restartNumberingAfterBreak="0">
    <w:nsid w:val="5F8601F4"/>
    <w:multiLevelType w:val="hybridMultilevel"/>
    <w:tmpl w:val="F5B60736"/>
    <w:lvl w:ilvl="0" w:tplc="133C27B2">
      <w:start w:val="1"/>
      <w:numFmt w:val="bullet"/>
      <w:lvlText w:val="-"/>
      <w:lvlJc w:val="left"/>
      <w:pPr>
        <w:ind w:left="720" w:hanging="360"/>
      </w:pPr>
      <w:rPr>
        <w:rFonts w:ascii="&quot;Calibri&quot;,sans-serif" w:hAnsi="&quot;Calibri&quot;,sans-serif" w:hint="default"/>
      </w:rPr>
    </w:lvl>
    <w:lvl w:ilvl="1" w:tplc="3D544160">
      <w:start w:val="1"/>
      <w:numFmt w:val="bullet"/>
      <w:lvlText w:val="o"/>
      <w:lvlJc w:val="left"/>
      <w:pPr>
        <w:ind w:left="1440" w:hanging="360"/>
      </w:pPr>
      <w:rPr>
        <w:rFonts w:ascii="Courier New" w:hAnsi="Courier New" w:hint="default"/>
      </w:rPr>
    </w:lvl>
    <w:lvl w:ilvl="2" w:tplc="7348F7C0">
      <w:start w:val="1"/>
      <w:numFmt w:val="bullet"/>
      <w:lvlText w:val=""/>
      <w:lvlJc w:val="left"/>
      <w:pPr>
        <w:ind w:left="2160" w:hanging="360"/>
      </w:pPr>
      <w:rPr>
        <w:rFonts w:ascii="Wingdings" w:hAnsi="Wingdings" w:hint="default"/>
      </w:rPr>
    </w:lvl>
    <w:lvl w:ilvl="3" w:tplc="0E0E8D52">
      <w:start w:val="1"/>
      <w:numFmt w:val="bullet"/>
      <w:lvlText w:val=""/>
      <w:lvlJc w:val="left"/>
      <w:pPr>
        <w:ind w:left="2880" w:hanging="360"/>
      </w:pPr>
      <w:rPr>
        <w:rFonts w:ascii="Symbol" w:hAnsi="Symbol" w:hint="default"/>
      </w:rPr>
    </w:lvl>
    <w:lvl w:ilvl="4" w:tplc="2456544E">
      <w:start w:val="1"/>
      <w:numFmt w:val="bullet"/>
      <w:lvlText w:val="o"/>
      <w:lvlJc w:val="left"/>
      <w:pPr>
        <w:ind w:left="3600" w:hanging="360"/>
      </w:pPr>
      <w:rPr>
        <w:rFonts w:ascii="Courier New" w:hAnsi="Courier New" w:hint="default"/>
      </w:rPr>
    </w:lvl>
    <w:lvl w:ilvl="5" w:tplc="90A0B716">
      <w:start w:val="1"/>
      <w:numFmt w:val="bullet"/>
      <w:lvlText w:val=""/>
      <w:lvlJc w:val="left"/>
      <w:pPr>
        <w:ind w:left="4320" w:hanging="360"/>
      </w:pPr>
      <w:rPr>
        <w:rFonts w:ascii="Wingdings" w:hAnsi="Wingdings" w:hint="default"/>
      </w:rPr>
    </w:lvl>
    <w:lvl w:ilvl="6" w:tplc="3D6EFF9C">
      <w:start w:val="1"/>
      <w:numFmt w:val="bullet"/>
      <w:lvlText w:val=""/>
      <w:lvlJc w:val="left"/>
      <w:pPr>
        <w:ind w:left="5040" w:hanging="360"/>
      </w:pPr>
      <w:rPr>
        <w:rFonts w:ascii="Symbol" w:hAnsi="Symbol" w:hint="default"/>
      </w:rPr>
    </w:lvl>
    <w:lvl w:ilvl="7" w:tplc="8DB629B6">
      <w:start w:val="1"/>
      <w:numFmt w:val="bullet"/>
      <w:lvlText w:val="o"/>
      <w:lvlJc w:val="left"/>
      <w:pPr>
        <w:ind w:left="5760" w:hanging="360"/>
      </w:pPr>
      <w:rPr>
        <w:rFonts w:ascii="Courier New" w:hAnsi="Courier New" w:hint="default"/>
      </w:rPr>
    </w:lvl>
    <w:lvl w:ilvl="8" w:tplc="896EBB7E">
      <w:start w:val="1"/>
      <w:numFmt w:val="bullet"/>
      <w:lvlText w:val=""/>
      <w:lvlJc w:val="left"/>
      <w:pPr>
        <w:ind w:left="6480"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3"/>
  </w:num>
  <w:num w:numId="2" w16cid:durableId="1367871050">
    <w:abstractNumId w:val="18"/>
  </w:num>
  <w:num w:numId="3" w16cid:durableId="164058872">
    <w:abstractNumId w:val="0"/>
  </w:num>
  <w:num w:numId="4" w16cid:durableId="861477783">
    <w:abstractNumId w:val="7"/>
  </w:num>
  <w:num w:numId="5" w16cid:durableId="1280868239">
    <w:abstractNumId w:val="21"/>
  </w:num>
  <w:num w:numId="6" w16cid:durableId="444931515">
    <w:abstractNumId w:val="2"/>
  </w:num>
  <w:num w:numId="7" w16cid:durableId="739910959">
    <w:abstractNumId w:val="14"/>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7"/>
  </w:num>
  <w:num w:numId="14" w16cid:durableId="36130748">
    <w:abstractNumId w:val="12"/>
  </w:num>
  <w:num w:numId="15" w16cid:durableId="560679449">
    <w:abstractNumId w:val="8"/>
  </w:num>
  <w:num w:numId="16" w16cid:durableId="1420566503">
    <w:abstractNumId w:val="16"/>
  </w:num>
  <w:num w:numId="17" w16cid:durableId="256527698">
    <w:abstractNumId w:val="6"/>
  </w:num>
  <w:num w:numId="18" w16cid:durableId="1090539201">
    <w:abstractNumId w:val="13"/>
  </w:num>
  <w:num w:numId="19" w16cid:durableId="1846439597">
    <w:abstractNumId w:val="22"/>
  </w:num>
  <w:num w:numId="20" w16cid:durableId="59402788">
    <w:abstractNumId w:val="15"/>
  </w:num>
  <w:num w:numId="21" w16cid:durableId="952596680">
    <w:abstractNumId w:val="20"/>
  </w:num>
  <w:num w:numId="22" w16cid:durableId="668677993">
    <w:abstractNumId w:val="19"/>
  </w:num>
  <w:num w:numId="23" w16cid:durableId="1641418102">
    <w:abstractNumId w:val="4"/>
  </w:num>
  <w:num w:numId="24" w16cid:durableId="1246719399">
    <w:abstractNumId w:val="10"/>
  </w:num>
  <w:num w:numId="25" w16cid:durableId="32023447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3851"/>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535"/>
    <w:rsid w:val="00627BA1"/>
    <w:rsid w:val="00627BEA"/>
    <w:rsid w:val="006319DB"/>
    <w:rsid w:val="0065595B"/>
    <w:rsid w:val="00656DCD"/>
    <w:rsid w:val="00660269"/>
    <w:rsid w:val="00665F89"/>
    <w:rsid w:val="006670A0"/>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5AEF"/>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2119</Words>
  <Characters>12655</Characters>
  <Application>Microsoft Office Word</Application>
  <DocSecurity>0</DocSecurity>
  <Lines>333</Lines>
  <Paragraphs>153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14621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Intrahospital spinal rörelsebegränsning i samband med trauma</dc:title>
  <dc:subject/>
  <dc:creator/>
  <keywords/>
  <lastModifiedBy/>
  <revision>1</revision>
  <dcterms:created xsi:type="dcterms:W3CDTF">2026-06-16T14:54:00.0000000Z</dcterms:created>
  <dcterms:modified xsi:type="dcterms:W3CDTF">2026-06-16T14:54:00.0000000Z</dcterms:modified>
</coreProperties>
</file>