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6B1E88" w14:textId="77777777" w:rsidR="00BF46AC" w:rsidRDefault="00BF46AC" w:rsidP="00F35B05">
      <w:pPr>
        <w:pStyle w:val="Rubrik2"/>
        <w:sectPr w:rsidR="00BF46AC" w:rsidSect="00BF46A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624FC9" w14:textId="5331BF5C" w:rsidR="00BF46AC" w:rsidRPr="00BF46AC" w:rsidRDefault="0444337B" w:rsidP="009C0A03">
      <w:pPr>
        <w:pStyle w:val="Rubrik1"/>
      </w:pPr>
      <w:r w:rsidRPr="7680E031">
        <w:t>Avlidna patienter inom NU-sjukvården där närstående saknas</w:t>
      </w:r>
    </w:p>
    <w:p w14:paraId="68F6C120" w14:textId="35FB2613" w:rsidR="006F4B28" w:rsidRDefault="006F4B28" w:rsidP="00A86385">
      <w:pPr>
        <w:pStyle w:val="Rubrik2"/>
      </w:pPr>
      <w:r>
        <w:t>Förändring sedan föregående version</w:t>
      </w:r>
    </w:p>
    <w:p w14:paraId="6C53E183" w14:textId="0FBA60AD" w:rsidR="006F4B28" w:rsidRPr="006F4B28" w:rsidRDefault="006F4B28" w:rsidP="006F4B28">
      <w:r>
        <w:t xml:space="preserve">Mindre </w:t>
      </w:r>
      <w:r w:rsidR="00DB3E6B">
        <w:t xml:space="preserve">språklig </w:t>
      </w:r>
      <w:r>
        <w:t>revidering</w:t>
      </w:r>
      <w:r w:rsidR="00DB3E6B">
        <w:t>.</w:t>
      </w:r>
    </w:p>
    <w:p w14:paraId="0155CEA7" w14:textId="0870C308" w:rsidR="00BF46AC" w:rsidRPr="00A86385" w:rsidRDefault="0444337B" w:rsidP="00A86385">
      <w:pPr>
        <w:pStyle w:val="Rubrik2"/>
      </w:pPr>
      <w:r w:rsidRPr="00A86385">
        <w:t>Bakgrund</w:t>
      </w:r>
    </w:p>
    <w:p w14:paraId="1EBA2600" w14:textId="0C89E169" w:rsidR="00A86385" w:rsidRPr="00A86385" w:rsidRDefault="00A86385" w:rsidP="00A86385">
      <w:pPr>
        <w:rPr>
          <w:rFonts w:cs="Segoe UI"/>
        </w:rPr>
      </w:pPr>
      <w:r w:rsidRPr="00A86385">
        <w:t>Närstående ska omgående informeras vid patientens dödsfall eller vid en allvarlig försämring av patientens hälsotillstånd. Om noteringar om närstående saknas kan Kuratorsmottagningen kontaktas. Utanför ordinarie arbetstid hänvisas ärendet till Tjänsteman i Beredskap (NU-</w:t>
      </w:r>
      <w:proofErr w:type="spellStart"/>
      <w:r w:rsidRPr="00A86385">
        <w:t>TiB</w:t>
      </w:r>
      <w:proofErr w:type="spellEnd"/>
      <w:r w:rsidRPr="00A86385">
        <w:t xml:space="preserve">). </w:t>
      </w:r>
    </w:p>
    <w:p w14:paraId="665086B8" w14:textId="77777777" w:rsidR="00A86385" w:rsidRPr="00A86385" w:rsidRDefault="00A86385" w:rsidP="00A86385">
      <w:pPr>
        <w:rPr>
          <w:rFonts w:cs="Segoe UI"/>
        </w:rPr>
      </w:pPr>
      <w:r w:rsidRPr="00A86385">
        <w:rPr>
          <w:rStyle w:val="normaltextrun"/>
          <w:rFonts w:cs="Calibri"/>
        </w:rPr>
        <w:t>Observera att polisen ansvarar för identifiering av offer samt för kontakt med närstående då person omkommit till följd av större olyckshändelser, naturkatastrofer eller andra händelser av större omfattning.</w:t>
      </w:r>
    </w:p>
    <w:p w14:paraId="7C96AD23" w14:textId="7FEBD05C" w:rsidR="00BF46AC" w:rsidRPr="00BF46AC" w:rsidRDefault="009F6EFB" w:rsidP="003510A3">
      <w:pPr>
        <w:pStyle w:val="Rubrik2"/>
      </w:pPr>
      <w:r>
        <w:t>Tillvägagångssätt</w:t>
      </w:r>
    </w:p>
    <w:p w14:paraId="3BFBC3CA" w14:textId="3A34B3D1" w:rsidR="009F6EFB" w:rsidRPr="00BE1C3A" w:rsidRDefault="009F6EFB" w:rsidP="009F6EFB">
      <w:pPr>
        <w:rPr>
          <w:rFonts w:cs="Segoe UI"/>
          <w:sz w:val="18"/>
          <w:szCs w:val="18"/>
        </w:rPr>
      </w:pPr>
      <w:r w:rsidRPr="00BE1C3A">
        <w:t xml:space="preserve">Som vårdpersonal är det viktigt att först granska dokumentationen om anhöriga i patientens journaler i systemen Melior, Samsa och Elvis. </w:t>
      </w:r>
      <w:r w:rsidRPr="00BE1C3A">
        <w:rPr>
          <w:rStyle w:val="normaltextrun"/>
          <w:rFonts w:cs="Calibri"/>
          <w:i/>
          <w:iCs/>
          <w:sz w:val="26"/>
          <w:szCs w:val="26"/>
        </w:rPr>
        <w:t> </w:t>
      </w:r>
    </w:p>
    <w:p w14:paraId="4492F83F" w14:textId="2AF2A871" w:rsidR="009F6EFB" w:rsidRPr="00BE1C3A" w:rsidRDefault="009F6EFB" w:rsidP="009F6EFB">
      <w:pPr>
        <w:rPr>
          <w:rFonts w:cs="Segoe UI"/>
          <w:sz w:val="18"/>
          <w:szCs w:val="18"/>
        </w:rPr>
      </w:pPr>
      <w:r w:rsidRPr="00BE1C3A">
        <w:rPr>
          <w:rFonts w:cs="Calibri"/>
        </w:rPr>
        <w:t xml:space="preserve">Om uppgifter saknas, rekommenderas att </w:t>
      </w:r>
      <w:r>
        <w:rPr>
          <w:rFonts w:cs="Calibri"/>
        </w:rPr>
        <w:t>sen</w:t>
      </w:r>
      <w:r w:rsidRPr="00BE1C3A">
        <w:rPr>
          <w:rFonts w:cs="Calibri"/>
        </w:rPr>
        <w:t xml:space="preserve"> använd</w:t>
      </w:r>
      <w:r>
        <w:rPr>
          <w:rFonts w:cs="Calibri"/>
        </w:rPr>
        <w:t>a</w:t>
      </w:r>
      <w:r w:rsidRPr="00BE1C3A">
        <w:rPr>
          <w:rFonts w:cs="Calibri"/>
        </w:rPr>
        <w:t xml:space="preserve"> Personuppgiftsportalen VGR (finns under System A-Ö på intranätet). Portalen ger möjlighet att ta fram information om närmaste anhörig baserat på folkbokföringen. </w:t>
      </w:r>
      <w:r w:rsidRPr="00BE1C3A">
        <w:rPr>
          <w:rStyle w:val="normaltextrun"/>
          <w:rFonts w:cs="Calibri"/>
          <w:sz w:val="26"/>
          <w:szCs w:val="26"/>
        </w:rPr>
        <w:t> </w:t>
      </w:r>
    </w:p>
    <w:p w14:paraId="32E86650" w14:textId="77777777" w:rsidR="00BB6365" w:rsidRDefault="009F6EFB" w:rsidP="00BB6365">
      <w:r w:rsidRPr="00BE1C3A">
        <w:rPr>
          <w:rStyle w:val="normaltextrun"/>
          <w:rFonts w:cs="Calibri"/>
          <w:sz w:val="26"/>
          <w:szCs w:val="26"/>
        </w:rPr>
        <w:lastRenderedPageBreak/>
        <w:t>O</w:t>
      </w:r>
      <w:r w:rsidRPr="00BE1C3A">
        <w:t xml:space="preserve">m det saknas kontaktuppgifter till anhöriga kan kuratorsmottagningen kontaktas. Om även kuratorn konstaterar att inga anhöriga går att finna via de vanliga kanalerna, kontaktar kurator socialtjänsten i den avlidnes hemkommun. Detta sker antingen med patientens samtycke eller efter patientens bortgång. Kurator tar då kontakt med den handläggare som ansvarar för dödsboanmälan och dödsboutredningar. </w:t>
      </w:r>
    </w:p>
    <w:p w14:paraId="483829AB" w14:textId="77777777" w:rsidR="00BB6365" w:rsidRDefault="009F6EFB" w:rsidP="00BB6365">
      <w:r w:rsidRPr="00BE1C3A">
        <w:t xml:space="preserve">Socialtjänsten har utökade resurser för att hitta anhöriga genom en mer omfattande utredning. Detta arbetsförfarande innebär att utlämnande av värdesaker kan komma att senareläggas något. Kurator kan hantera kontakten mellan socialtjänst och sjukhus samt vidarebefordra information om närstående till vårdpersonalen. </w:t>
      </w:r>
    </w:p>
    <w:p w14:paraId="554A56E3" w14:textId="18A9E162" w:rsidR="009F6EFB" w:rsidRPr="00BE1C3A" w:rsidRDefault="009F6EFB" w:rsidP="00BB6365">
      <w:r w:rsidRPr="00BE1C3A">
        <w:t>Alternativt säkerställer kurator att socialtjänsten kontaktar vårdpersonalen direkt. Det är dock endast vårdpersonal som ska lämna dödsbesked till anhöriga, inte kurator eller socialtjänst.</w:t>
      </w:r>
    </w:p>
    <w:p w14:paraId="3474B092" w14:textId="77777777" w:rsidR="008B66C7" w:rsidRDefault="009F6EFB" w:rsidP="00BB6365">
      <w:r w:rsidRPr="00BE1C3A">
        <w:t xml:space="preserve">När en patient har avlidit ska samtliga värdesaker och övriga tillhörigheter förvaras på den avdelning där dödsfallet inträffat, i ett anpassat skåp, tills dess att närstående som handhar dödsboet och/eller socialtjänst kvitterar ut dem vid ett senare tillfälle. </w:t>
      </w:r>
    </w:p>
    <w:p w14:paraId="1FF41FAE" w14:textId="3C3766EF" w:rsidR="009F6EFB" w:rsidRPr="00BE1C3A" w:rsidRDefault="009F6EFB" w:rsidP="00BB6365">
      <w:pPr>
        <w:rPr>
          <w:rFonts w:cs="Segoe UI"/>
          <w:sz w:val="18"/>
          <w:szCs w:val="18"/>
        </w:rPr>
      </w:pPr>
      <w:r w:rsidRPr="00BE1C3A">
        <w:t xml:space="preserve">När vårdpersonal har kontaktat närstående ska dessa informeras om att värdesaker och tillhörigheter finns kvar på aktuell avdelning. Se separat rutin för hantering av värdesaker. </w:t>
      </w:r>
      <w:r w:rsidRPr="00BE1C3A">
        <w:rPr>
          <w:rStyle w:val="normaltextrun"/>
          <w:rFonts w:cs="Calibri"/>
          <w:sz w:val="26"/>
          <w:szCs w:val="26"/>
        </w:rPr>
        <w:t> </w:t>
      </w:r>
    </w:p>
    <w:p w14:paraId="2B2CA3A4" w14:textId="12A71D26" w:rsidR="00BF46AC" w:rsidRPr="00BF46AC" w:rsidRDefault="00BF46AC" w:rsidP="7680E031">
      <w:pPr>
        <w:spacing w:after="160" w:line="259" w:lineRule="auto"/>
        <w:rPr>
          <w:rFonts w:ascii="Calibri" w:eastAsia="Calibri" w:hAnsi="Calibri" w:cs="Calibri"/>
          <w:color w:val="000000" w:themeColor="text2"/>
          <w:sz w:val="26"/>
          <w:szCs w:val="26"/>
        </w:rPr>
      </w:pPr>
    </w:p>
    <w:p w14:paraId="434206B4" w14:textId="3352417E" w:rsidR="00BF46AC" w:rsidRPr="00BF46AC" w:rsidRDefault="00BF46AC" w:rsidP="7680E031">
      <w:pPr>
        <w:spacing w:after="160" w:line="259" w:lineRule="auto"/>
        <w:rPr>
          <w:rFonts w:ascii="Calibri" w:eastAsia="Calibri" w:hAnsi="Calibri" w:cs="Calibri"/>
          <w:color w:val="000000" w:themeColor="text2"/>
          <w:sz w:val="26"/>
          <w:szCs w:val="26"/>
        </w:rPr>
      </w:pPr>
    </w:p>
    <w:bookmarkEnd w:id="0"/>
    <w:p w14:paraId="007F267F" w14:textId="3C0593B4" w:rsidR="00BF46AC" w:rsidRPr="00BF46AC" w:rsidRDefault="00BF46AC" w:rsidP="7680E031">
      <w:pPr>
        <w:spacing w:after="0" w:line="240" w:lineRule="auto"/>
        <w:ind w:left="0" w:right="0"/>
      </w:pPr>
    </w:p>
    <w:sectPr w:rsidR="00BF46AC" w:rsidRPr="00BF46AC" w:rsidSect="00BF46A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621C01" w14:textId="77777777" w:rsidR="00870AC2" w:rsidRDefault="00870AC2">
      <w:r>
        <w:separator/>
      </w:r>
    </w:p>
  </w:endnote>
  <w:endnote w:type="continuationSeparator" w:id="0">
    <w:p w14:paraId="27797B7B" w14:textId="77777777" w:rsidR="00870AC2" w:rsidRDefault="00870AC2">
      <w:r>
        <w:continuationSeparator/>
      </w:r>
    </w:p>
  </w:endnote>
  <w:endnote w:type="continuationNotice" w:id="1">
    <w:p w14:paraId="0D5321DF" w14:textId="77777777" w:rsidR="00870AC2" w:rsidRDefault="00870A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CFB51" w14:textId="77777777" w:rsidR="00870AC2" w:rsidRDefault="00870AC2"/>
  </w:footnote>
  <w:footnote w:type="continuationSeparator" w:id="0">
    <w:p w14:paraId="61586B4A" w14:textId="77777777" w:rsidR="00870AC2" w:rsidRDefault="00870AC2">
      <w:r>
        <w:continuationSeparator/>
      </w:r>
    </w:p>
  </w:footnote>
  <w:footnote w:type="continuationNotice" w:id="1">
    <w:p w14:paraId="0E18F906" w14:textId="77777777" w:rsidR="00870AC2" w:rsidRDefault="00870AC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8DC345"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447729"/>
    <w:multiLevelType w:val="hybridMultilevel"/>
    <w:tmpl w:val="45B0BD64"/>
    <w:lvl w:ilvl="0" w:tplc="5ED6B298">
      <w:start w:val="1"/>
      <w:numFmt w:val="bullet"/>
      <w:lvlText w:val=""/>
      <w:lvlJc w:val="left"/>
      <w:pPr>
        <w:ind w:left="720" w:hanging="360"/>
      </w:pPr>
      <w:rPr>
        <w:rFonts w:ascii="Symbol" w:hAnsi="Symbol" w:hint="default"/>
      </w:rPr>
    </w:lvl>
    <w:lvl w:ilvl="1" w:tplc="21F29B1C">
      <w:start w:val="1"/>
      <w:numFmt w:val="bullet"/>
      <w:lvlText w:val="o"/>
      <w:lvlJc w:val="left"/>
      <w:pPr>
        <w:ind w:left="1440" w:hanging="360"/>
      </w:pPr>
      <w:rPr>
        <w:rFonts w:ascii="Courier New" w:hAnsi="Courier New" w:cs="Courier New" w:hint="default"/>
      </w:rPr>
    </w:lvl>
    <w:lvl w:ilvl="2" w:tplc="0A0013D2" w:tentative="1">
      <w:start w:val="1"/>
      <w:numFmt w:val="bullet"/>
      <w:lvlText w:val=""/>
      <w:lvlJc w:val="left"/>
      <w:pPr>
        <w:ind w:left="2160" w:hanging="360"/>
      </w:pPr>
      <w:rPr>
        <w:rFonts w:ascii="Wingdings" w:hAnsi="Wingdings" w:hint="default"/>
      </w:rPr>
    </w:lvl>
    <w:lvl w:ilvl="3" w:tplc="DEA62290" w:tentative="1">
      <w:start w:val="1"/>
      <w:numFmt w:val="bullet"/>
      <w:lvlText w:val=""/>
      <w:lvlJc w:val="left"/>
      <w:pPr>
        <w:ind w:left="2880" w:hanging="360"/>
      </w:pPr>
      <w:rPr>
        <w:rFonts w:ascii="Symbol" w:hAnsi="Symbol" w:hint="default"/>
      </w:rPr>
    </w:lvl>
    <w:lvl w:ilvl="4" w:tplc="56CA0578" w:tentative="1">
      <w:start w:val="1"/>
      <w:numFmt w:val="bullet"/>
      <w:lvlText w:val="o"/>
      <w:lvlJc w:val="left"/>
      <w:pPr>
        <w:ind w:left="3600" w:hanging="360"/>
      </w:pPr>
      <w:rPr>
        <w:rFonts w:ascii="Courier New" w:hAnsi="Courier New" w:cs="Courier New" w:hint="default"/>
      </w:rPr>
    </w:lvl>
    <w:lvl w:ilvl="5" w:tplc="10F267B0" w:tentative="1">
      <w:start w:val="1"/>
      <w:numFmt w:val="bullet"/>
      <w:lvlText w:val=""/>
      <w:lvlJc w:val="left"/>
      <w:pPr>
        <w:ind w:left="4320" w:hanging="360"/>
      </w:pPr>
      <w:rPr>
        <w:rFonts w:ascii="Wingdings" w:hAnsi="Wingdings" w:hint="default"/>
      </w:rPr>
    </w:lvl>
    <w:lvl w:ilvl="6" w:tplc="4C361468" w:tentative="1">
      <w:start w:val="1"/>
      <w:numFmt w:val="bullet"/>
      <w:lvlText w:val=""/>
      <w:lvlJc w:val="left"/>
      <w:pPr>
        <w:ind w:left="5040" w:hanging="360"/>
      </w:pPr>
      <w:rPr>
        <w:rFonts w:ascii="Symbol" w:hAnsi="Symbol" w:hint="default"/>
      </w:rPr>
    </w:lvl>
    <w:lvl w:ilvl="7" w:tplc="2DE64302" w:tentative="1">
      <w:start w:val="1"/>
      <w:numFmt w:val="bullet"/>
      <w:lvlText w:val="o"/>
      <w:lvlJc w:val="left"/>
      <w:pPr>
        <w:ind w:left="5760" w:hanging="360"/>
      </w:pPr>
      <w:rPr>
        <w:rFonts w:ascii="Courier New" w:hAnsi="Courier New" w:cs="Courier New" w:hint="default"/>
      </w:rPr>
    </w:lvl>
    <w:lvl w:ilvl="8" w:tplc="038A121C"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33586841">
    <w:abstractNumId w:val="18"/>
  </w:num>
  <w:num w:numId="2" w16cid:durableId="963384675">
    <w:abstractNumId w:val="15"/>
  </w:num>
  <w:num w:numId="3" w16cid:durableId="1311137517">
    <w:abstractNumId w:val="0"/>
  </w:num>
  <w:num w:numId="4" w16cid:durableId="474761778">
    <w:abstractNumId w:val="6"/>
  </w:num>
  <w:num w:numId="5" w16cid:durableId="1249844643">
    <w:abstractNumId w:val="16"/>
  </w:num>
  <w:num w:numId="6" w16cid:durableId="252976642">
    <w:abstractNumId w:val="2"/>
  </w:num>
  <w:num w:numId="7" w16cid:durableId="975988833">
    <w:abstractNumId w:val="12"/>
  </w:num>
  <w:num w:numId="8" w16cid:durableId="611866623">
    <w:abstractNumId w:val="9"/>
  </w:num>
  <w:num w:numId="9" w16cid:durableId="470558220">
    <w:abstractNumId w:val="1"/>
  </w:num>
  <w:num w:numId="10" w16cid:durableId="607926949">
    <w:abstractNumId w:val="1"/>
  </w:num>
  <w:num w:numId="11" w16cid:durableId="951866513">
    <w:abstractNumId w:val="3"/>
  </w:num>
  <w:num w:numId="12" w16cid:durableId="99495979">
    <w:abstractNumId w:val="4"/>
  </w:num>
  <w:num w:numId="13" w16cid:durableId="1726684821">
    <w:abstractNumId w:val="14"/>
  </w:num>
  <w:num w:numId="14" w16cid:durableId="2013943964">
    <w:abstractNumId w:val="10"/>
  </w:num>
  <w:num w:numId="15" w16cid:durableId="689717629">
    <w:abstractNumId w:val="7"/>
  </w:num>
  <w:num w:numId="16" w16cid:durableId="772632080">
    <w:abstractNumId w:val="13"/>
  </w:num>
  <w:num w:numId="17" w16cid:durableId="862673237">
    <w:abstractNumId w:val="5"/>
  </w:num>
  <w:num w:numId="18" w16cid:durableId="1883858673">
    <w:abstractNumId w:val="11"/>
  </w:num>
  <w:num w:numId="19" w16cid:durableId="1702441034">
    <w:abstractNumId w:val="17"/>
  </w:num>
  <w:num w:numId="20" w16cid:durableId="1011566549">
    <w:abstractNumId w:val="8"/>
  </w:num>
  <w:num w:numId="21" w16cid:durableId="1950812089">
    <w:abstractNumId w:val="10"/>
  </w:num>
  <w:num w:numId="22" w16cid:durableId="16882891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10A3"/>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B2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008A"/>
    <w:rsid w:val="00821A1B"/>
    <w:rsid w:val="008262E9"/>
    <w:rsid w:val="00827E69"/>
    <w:rsid w:val="00835C4D"/>
    <w:rsid w:val="00843F48"/>
    <w:rsid w:val="00851423"/>
    <w:rsid w:val="00857848"/>
    <w:rsid w:val="008654B6"/>
    <w:rsid w:val="00870AC2"/>
    <w:rsid w:val="0087139C"/>
    <w:rsid w:val="00880E83"/>
    <w:rsid w:val="00892F28"/>
    <w:rsid w:val="008A0C5F"/>
    <w:rsid w:val="008A3DEA"/>
    <w:rsid w:val="008A4EB9"/>
    <w:rsid w:val="008A74C0"/>
    <w:rsid w:val="008B1694"/>
    <w:rsid w:val="008B66C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49BA"/>
    <w:rsid w:val="0099331D"/>
    <w:rsid w:val="009A51B5"/>
    <w:rsid w:val="009B1F6B"/>
    <w:rsid w:val="009C0A03"/>
    <w:rsid w:val="009C0D12"/>
    <w:rsid w:val="009C192E"/>
    <w:rsid w:val="009D6819"/>
    <w:rsid w:val="009D6D1C"/>
    <w:rsid w:val="009E0CF9"/>
    <w:rsid w:val="009E531B"/>
    <w:rsid w:val="009E6C56"/>
    <w:rsid w:val="009E7DCF"/>
    <w:rsid w:val="009F4A56"/>
    <w:rsid w:val="009F4E65"/>
    <w:rsid w:val="009F6EFB"/>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638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365"/>
    <w:rsid w:val="00BB69DB"/>
    <w:rsid w:val="00BC322E"/>
    <w:rsid w:val="00BC44CD"/>
    <w:rsid w:val="00BC48A6"/>
    <w:rsid w:val="00BE7978"/>
    <w:rsid w:val="00BF46AC"/>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3E6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68B6"/>
    <w:rsid w:val="00F86F47"/>
    <w:rsid w:val="00F90B64"/>
    <w:rsid w:val="00FB2F0F"/>
    <w:rsid w:val="00FB5086"/>
    <w:rsid w:val="00FB5411"/>
    <w:rsid w:val="00FB6392"/>
    <w:rsid w:val="00FD3C70"/>
    <w:rsid w:val="00FD6820"/>
    <w:rsid w:val="00FE12D8"/>
    <w:rsid w:val="00FF7C02"/>
    <w:rsid w:val="024801E3"/>
    <w:rsid w:val="0444337B"/>
    <w:rsid w:val="647B2B65"/>
    <w:rsid w:val="6B2CF8ED"/>
    <w:rsid w:val="7680E03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68B6"/>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F568B6"/>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F568B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568B6"/>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F568B6"/>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F568B6"/>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568B6"/>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F568B6"/>
    <w:pPr>
      <w:spacing w:after="240"/>
      <w:contextualSpacing/>
    </w:pPr>
    <w:rPr>
      <w:rFonts w:ascii="Verdana" w:hAnsi="Verdana"/>
      <w:sz w:val="20"/>
    </w:rPr>
  </w:style>
  <w:style w:type="character" w:customStyle="1" w:styleId="Rubrik1Char">
    <w:name w:val="Rubrik 1 Char"/>
    <w:aliases w:val="Rubrik VGR Char"/>
    <w:link w:val="Rubrik1"/>
    <w:rsid w:val="00F568B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F568B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F568B6"/>
    <w:pPr>
      <w:numPr>
        <w:numId w:val="22"/>
      </w:numPr>
      <w:spacing w:after="40"/>
    </w:pPr>
    <w:rPr>
      <w:rFonts w:ascii="Calibri" w:hAnsi="Calibri" w:cs="Calibri"/>
      <w:color w:val="000000"/>
      <w:sz w:val="24"/>
      <w:szCs w:val="24"/>
    </w:rPr>
  </w:style>
  <w:style w:type="character" w:customStyle="1" w:styleId="RubrikChar">
    <w:name w:val="Rubrik Char"/>
    <w:link w:val="Rubrik"/>
    <w:uiPriority w:val="10"/>
    <w:semiHidden/>
    <w:rsid w:val="00F568B6"/>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F568B6"/>
    <w:pPr>
      <w:spacing w:before="0"/>
      <w:outlineLvl w:val="2"/>
    </w:pPr>
    <w:rPr>
      <w:bCs w:val="0"/>
    </w:rPr>
  </w:style>
  <w:style w:type="character" w:customStyle="1" w:styleId="Rubrik2Char">
    <w:name w:val="Rubrik 2 Char"/>
    <w:aliases w:val="Rubrik 2 VGR Char"/>
    <w:basedOn w:val="Standardstycketeckensnitt"/>
    <w:link w:val="Rubrik2"/>
    <w:uiPriority w:val="3"/>
    <w:rsid w:val="00F568B6"/>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568B6"/>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F568B6"/>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F568B6"/>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F568B6"/>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F568B6"/>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F568B6"/>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568B6"/>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568B6"/>
    <w:pPr>
      <w:spacing w:after="0"/>
    </w:pPr>
    <w:rPr>
      <w:sz w:val="20"/>
    </w:rPr>
  </w:style>
  <w:style w:type="character" w:customStyle="1" w:styleId="Formatmall1Char">
    <w:name w:val="Formatmall1 Char"/>
    <w:basedOn w:val="Standardstycketeckensnitt"/>
    <w:link w:val="Formatmall1"/>
    <w:uiPriority w:val="3"/>
    <w:semiHidden/>
    <w:rsid w:val="00F568B6"/>
    <w:rPr>
      <w:rFonts w:ascii="Georgia" w:hAnsi="Georgia"/>
      <w:szCs w:val="24"/>
    </w:rPr>
  </w:style>
  <w:style w:type="paragraph" w:customStyle="1" w:styleId="FotnotVGR">
    <w:name w:val="Fotnot VGR"/>
    <w:basedOn w:val="Normal"/>
    <w:uiPriority w:val="3"/>
    <w:unhideWhenUsed/>
    <w:qFormat/>
    <w:rsid w:val="00F568B6"/>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F568B6"/>
    <w:pPr>
      <w:spacing w:line="240" w:lineRule="auto"/>
    </w:pPr>
    <w:rPr>
      <w:rFonts w:asciiTheme="majorHAnsi" w:hAnsiTheme="majorHAnsi"/>
      <w:bCs/>
      <w:color w:val="000000" w:themeColor="text1"/>
    </w:rPr>
  </w:style>
  <w:style w:type="paragraph" w:styleId="Punktlista">
    <w:name w:val="List Bullet"/>
    <w:basedOn w:val="Normal"/>
    <w:unhideWhenUsed/>
    <w:qFormat/>
    <w:rsid w:val="00F568B6"/>
    <w:pPr>
      <w:numPr>
        <w:numId w:val="21"/>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F568B6"/>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Normal"/>
    <w:link w:val="UnderrubrikVGRChar"/>
    <w:uiPriority w:val="3"/>
    <w:qFormat/>
    <w:rsid w:val="00F568B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F568B6"/>
    <w:rPr>
      <w:rFonts w:ascii="Verdana" w:hAnsi="Verdana"/>
      <w:sz w:val="32"/>
      <w:szCs w:val="44"/>
    </w:rPr>
  </w:style>
  <w:style w:type="paragraph" w:customStyle="1" w:styleId="Tabell">
    <w:name w:val="Tabell"/>
    <w:link w:val="TabellChar"/>
    <w:qFormat/>
    <w:rsid w:val="00F568B6"/>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F568B6"/>
    <w:rPr>
      <w:rFonts w:ascii="Georgia" w:hAnsi="Georgia"/>
      <w:sz w:val="24"/>
      <w:szCs w:val="24"/>
    </w:rPr>
  </w:style>
  <w:style w:type="character" w:customStyle="1" w:styleId="Rubrik9Char">
    <w:name w:val="Rubrik 9 Char"/>
    <w:basedOn w:val="Standardstycketeckensnitt"/>
    <w:link w:val="Rubrik9"/>
    <w:uiPriority w:val="9"/>
    <w:semiHidden/>
    <w:rsid w:val="00F568B6"/>
    <w:rPr>
      <w:rFonts w:asciiTheme="majorHAnsi" w:eastAsiaTheme="majorEastAsia" w:hAnsiTheme="majorHAnsi" w:cstheme="majorBidi"/>
      <w:i/>
      <w:iCs/>
      <w:color w:val="272727" w:themeColor="text1" w:themeTint="D8"/>
      <w:sz w:val="21"/>
      <w:szCs w:val="21"/>
    </w:rPr>
  </w:style>
  <w:style w:type="character" w:customStyle="1" w:styleId="normaltextrun">
    <w:name w:val="normaltextrun"/>
    <w:basedOn w:val="Standardstycketeckensnitt"/>
    <w:rsid w:val="00A86385"/>
  </w:style>
  <w:style w:type="character" w:customStyle="1" w:styleId="eop">
    <w:name w:val="eop"/>
    <w:basedOn w:val="Standardstycketeckensnitt"/>
    <w:rsid w:val="00A863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2</Pages>
  <Words>372</Words>
  <Characters>1977</Characters>
  <Application>Microsoft Office Word</Application>
  <DocSecurity>0</DocSecurity>
  <Lines>16</Lines>
  <Paragraphs>4</Paragraphs>
  <ScaleCrop>false</ScaleCrop>
  <Manager/>
  <Company/>
  <LinksUpToDate>false</LinksUpToDate>
  <CharactersWithSpaces>2345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Avlidna patienter inom NU-sjukvården där närstående saknas</dc:title>
  <dc:subject/>
  <dc:creator>patrik.jens.johansson@vgregion.se</dc:creator>
  <keywords/>
  <lastModifiedBy>Sara Johansson</lastModifiedBy>
  <revision>13</revision>
  <lastPrinted>2016-03-31T10:56:00.0000000Z</lastPrinted>
  <dcterms:created xsi:type="dcterms:W3CDTF">2022-05-02T08:05:00.0000000Z</dcterms:created>
  <dcterms:modified xsi:type="dcterms:W3CDTF">2026-04-23T13:21:00.0000000Z</dcterms:modified>
</coreProperties>
</file>