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B077EB" w14:textId="1887A12B" w:rsidR="7BBA1A4D" w:rsidRPr="006A6802" w:rsidRDefault="673DDBA5" w:rsidP="006A6802">
      <w:pPr>
        <w:pStyle w:val="Heading1"/>
        <w:ind w:left="992"/>
        <w:rPr>
          <w:rFonts w:ascii="Georgia" w:eastAsia="Georgia" w:hAnsi="Georgia" w:cs="Georgia"/>
          <w:sz w:val="24"/>
          <w:szCs w:val="24"/>
        </w:rPr>
      </w:pPr>
      <w:r w:rsidRPr="7BBA1A4D">
        <w:rPr>
          <w:rFonts w:eastAsia="Verdana" w:cs="Verdana"/>
          <w:color w:val="000000" w:themeColor="text2"/>
          <w:szCs w:val="44"/>
        </w:rPr>
        <w:t>Ansvarsfördelning för radiologiska bifynd</w:t>
      </w:r>
      <w:bookmarkStart w:id="0" w:name="_Toc321146591"/>
    </w:p>
    <w:p w14:paraId="11BC1DCA" w14:textId="77777777" w:rsidR="009A32ED" w:rsidRDefault="009A32ED" w:rsidP="142C70CE">
      <w:pPr>
        <w:pStyle w:val="Heading2"/>
        <w:ind w:left="900" w:right="-143"/>
      </w:pPr>
      <w:bookmarkStart w:id="1" w:name="_Toc100327184"/>
      <w:bookmarkStart w:id="2" w:name="_Toc181866756"/>
      <w:bookmarkEnd w:id="0"/>
      <w:r>
        <w:t>Förändringar sedan föregående version</w:t>
      </w:r>
      <w:bookmarkEnd w:id="1"/>
      <w:bookmarkEnd w:id="2"/>
    </w:p>
    <w:p w14:paraId="79C27C27" w14:textId="14C8AE79" w:rsidR="00114359" w:rsidRPr="00114359" w:rsidRDefault="00114359" w:rsidP="00114359">
      <w:pPr>
        <w:ind w:left="993"/>
      </w:pPr>
      <w:r>
        <w:t>Ny rutin</w:t>
      </w:r>
    </w:p>
    <w:p w14:paraId="4436BAF8" w14:textId="40C886A3" w:rsidR="1A5A5A33" w:rsidRDefault="00114359" w:rsidP="00114359">
      <w:pPr>
        <w:pStyle w:val="Heading2"/>
        <w:ind w:left="993"/>
      </w:pPr>
      <w:r>
        <w:t>Syfte</w:t>
      </w:r>
    </w:p>
    <w:p w14:paraId="6D46EEB5" w14:textId="541402A4" w:rsidR="1A5A5A33" w:rsidRDefault="1A5A5A33" w:rsidP="61D1030D">
      <w:pPr>
        <w:ind w:left="992"/>
        <w:rPr>
          <w:rFonts w:eastAsia="Georgia" w:cs="Georgia"/>
          <w:color w:val="000000" w:themeColor="text2"/>
        </w:rPr>
      </w:pPr>
      <w:r w:rsidRPr="61D1030D">
        <w:rPr>
          <w:rFonts w:eastAsia="Georgia" w:cs="Georgia"/>
          <w:color w:val="000000" w:themeColor="text2"/>
        </w:rPr>
        <w:t>Användningen av radiologiska undersökningar ökar, vilket medför att fler bifynd upptäcks. Sjukhuset behöver därför en tydlig struktur för uppföljning och ansvarsfördelning.</w:t>
      </w:r>
    </w:p>
    <w:p w14:paraId="63697907" w14:textId="721A1160" w:rsidR="1A5A5A33" w:rsidRDefault="1A5A5A33" w:rsidP="61D1030D">
      <w:pPr>
        <w:pStyle w:val="Heading2"/>
        <w:ind w:left="992"/>
        <w:rPr>
          <w:rFonts w:eastAsia="Verdana" w:cs="Verdana"/>
          <w:bCs w:val="0"/>
          <w:color w:val="000000" w:themeColor="text2"/>
          <w:szCs w:val="36"/>
        </w:rPr>
      </w:pPr>
      <w:r w:rsidRPr="61D1030D">
        <w:rPr>
          <w:rFonts w:eastAsia="Verdana" w:cs="Verdana"/>
          <w:bCs w:val="0"/>
          <w:color w:val="000000" w:themeColor="text2"/>
          <w:szCs w:val="36"/>
        </w:rPr>
        <w:t>Grundprincip</w:t>
      </w:r>
    </w:p>
    <w:p w14:paraId="51D7763A" w14:textId="30A54BF0" w:rsidR="1A5A5A33" w:rsidRDefault="1A5A5A33" w:rsidP="61D1030D">
      <w:pPr>
        <w:ind w:left="992"/>
        <w:rPr>
          <w:rFonts w:eastAsia="Georgia" w:cs="Georgia"/>
          <w:color w:val="000000" w:themeColor="text2"/>
        </w:rPr>
      </w:pPr>
      <w:r w:rsidRPr="61D1030D">
        <w:rPr>
          <w:rFonts w:eastAsia="Georgia" w:cs="Georgia"/>
          <w:color w:val="000000" w:themeColor="text2"/>
        </w:rPr>
        <w:t>Radiologiska bifynd ska bedömas och följas upp av den specialitet som har störst medicinsk kompetens inom det aktuella området. Detta bedöms ge en korrekt och resurseffektiv handläggning. Den läkare som får ett röntgensvar med bifynd som behöver hanteras, remitterar över det fortsatta omhändertagandet till ansvarig specialitet.</w:t>
      </w:r>
    </w:p>
    <w:p w14:paraId="47640D5D" w14:textId="1216B839" w:rsidR="1A5A5A33" w:rsidRDefault="1A5A5A33" w:rsidP="61D1030D">
      <w:pPr>
        <w:pStyle w:val="Heading2"/>
        <w:ind w:left="992"/>
        <w:rPr>
          <w:rFonts w:eastAsia="Verdana" w:cs="Verdana"/>
          <w:bCs w:val="0"/>
          <w:color w:val="000000" w:themeColor="text2"/>
          <w:szCs w:val="36"/>
        </w:rPr>
      </w:pPr>
      <w:r w:rsidRPr="61D1030D">
        <w:rPr>
          <w:rFonts w:eastAsia="Verdana" w:cs="Verdana"/>
          <w:bCs w:val="0"/>
          <w:color w:val="000000" w:themeColor="text2"/>
          <w:szCs w:val="36"/>
        </w:rPr>
        <w:t>Exempel på ansvarsfördelning</w:t>
      </w:r>
    </w:p>
    <w:p w14:paraId="138E258D" w14:textId="6C827365" w:rsidR="1A5A5A33" w:rsidRDefault="1A5A5A33" w:rsidP="61D1030D">
      <w:pPr>
        <w:pStyle w:val="ListBullet"/>
        <w:rPr>
          <w:rFonts w:eastAsia="Georgia" w:cs="Georgia"/>
          <w:color w:val="000000" w:themeColor="text2"/>
        </w:rPr>
      </w:pPr>
      <w:r w:rsidRPr="61D1030D">
        <w:rPr>
          <w:rFonts w:eastAsia="Georgia" w:cs="Georgia"/>
          <w:color w:val="000000" w:themeColor="text2"/>
        </w:rPr>
        <w:t>Binjureförändringar – Endokrinmedicin</w:t>
      </w:r>
    </w:p>
    <w:p w14:paraId="6E3CEC13" w14:textId="27C4EA59" w:rsidR="1A5A5A33" w:rsidRDefault="1A5A5A33" w:rsidP="61D1030D">
      <w:pPr>
        <w:pStyle w:val="ListBullet"/>
        <w:rPr>
          <w:rFonts w:eastAsia="Georgia" w:cs="Georgia"/>
          <w:color w:val="000000" w:themeColor="text2"/>
        </w:rPr>
      </w:pPr>
      <w:proofErr w:type="spellStart"/>
      <w:r w:rsidRPr="61D1030D">
        <w:rPr>
          <w:rFonts w:eastAsia="Georgia" w:cs="Georgia"/>
          <w:color w:val="000000" w:themeColor="text2"/>
        </w:rPr>
        <w:t>Enkondrom</w:t>
      </w:r>
      <w:proofErr w:type="spellEnd"/>
      <w:r w:rsidRPr="61D1030D">
        <w:rPr>
          <w:rFonts w:eastAsia="Georgia" w:cs="Georgia"/>
          <w:color w:val="000000" w:themeColor="text2"/>
        </w:rPr>
        <w:t xml:space="preserve"> – Ortopedi</w:t>
      </w:r>
    </w:p>
    <w:p w14:paraId="072BBC16" w14:textId="18CCA9C6" w:rsidR="1A5A5A33" w:rsidRDefault="1A5A5A33" w:rsidP="61D1030D">
      <w:pPr>
        <w:pStyle w:val="ListBullet"/>
        <w:rPr>
          <w:rFonts w:eastAsia="Georgia" w:cs="Georgia"/>
          <w:color w:val="000000" w:themeColor="text2"/>
        </w:rPr>
      </w:pPr>
      <w:r w:rsidRPr="61D1030D">
        <w:rPr>
          <w:rFonts w:eastAsia="Georgia" w:cs="Georgia"/>
          <w:color w:val="000000" w:themeColor="text2"/>
        </w:rPr>
        <w:t>Njurcystor – Urologi</w:t>
      </w:r>
    </w:p>
    <w:p w14:paraId="5317163E" w14:textId="6F867612" w:rsidR="1A5A5A33" w:rsidRDefault="1A5A5A33" w:rsidP="61D1030D">
      <w:pPr>
        <w:pStyle w:val="ListBullet"/>
        <w:rPr>
          <w:rFonts w:eastAsia="Georgia" w:cs="Georgia"/>
          <w:color w:val="000000" w:themeColor="text2"/>
        </w:rPr>
      </w:pPr>
      <w:proofErr w:type="spellStart"/>
      <w:r w:rsidRPr="61D1030D">
        <w:rPr>
          <w:rFonts w:eastAsia="Georgia" w:cs="Georgia"/>
          <w:color w:val="000000" w:themeColor="text2"/>
        </w:rPr>
        <w:t>Lungnoduli</w:t>
      </w:r>
      <w:proofErr w:type="spellEnd"/>
      <w:r w:rsidRPr="61D1030D">
        <w:rPr>
          <w:rFonts w:eastAsia="Georgia" w:cs="Georgia"/>
          <w:color w:val="000000" w:themeColor="text2"/>
        </w:rPr>
        <w:t xml:space="preserve"> – Lungmedicin</w:t>
      </w:r>
    </w:p>
    <w:p w14:paraId="04A26C04" w14:textId="5949ADCA" w:rsidR="1A5A5A33" w:rsidRDefault="1A5A5A33" w:rsidP="61D1030D">
      <w:pPr>
        <w:pStyle w:val="ListBullet"/>
        <w:rPr>
          <w:rFonts w:eastAsia="Georgia" w:cs="Georgia"/>
          <w:color w:val="000000" w:themeColor="text2"/>
        </w:rPr>
      </w:pPr>
      <w:r w:rsidRPr="61D1030D">
        <w:rPr>
          <w:rFonts w:eastAsia="Georgia" w:cs="Georgia"/>
          <w:color w:val="000000" w:themeColor="text2"/>
        </w:rPr>
        <w:t>Leverförändringar – Kirurgi</w:t>
      </w:r>
    </w:p>
    <w:p w14:paraId="3C0B706C" w14:textId="594CF69B" w:rsidR="1A5A5A33" w:rsidRDefault="1A5A5A33" w:rsidP="61D1030D">
      <w:pPr>
        <w:pStyle w:val="ListBullet"/>
        <w:rPr>
          <w:rFonts w:eastAsia="Georgia" w:cs="Georgia"/>
          <w:color w:val="000000" w:themeColor="text2"/>
        </w:rPr>
      </w:pPr>
      <w:r w:rsidRPr="61D1030D">
        <w:rPr>
          <w:rFonts w:eastAsia="Georgia" w:cs="Georgia"/>
          <w:color w:val="000000" w:themeColor="text2"/>
        </w:rPr>
        <w:t>Ovariecystor – Gynekologi</w:t>
      </w:r>
    </w:p>
    <w:p w14:paraId="41FAEAE1" w14:textId="6F16A235" w:rsidR="1A5A5A33" w:rsidRDefault="1A5A5A33" w:rsidP="61D1030D">
      <w:pPr>
        <w:pStyle w:val="ListBullet"/>
        <w:rPr>
          <w:rFonts w:eastAsia="Georgia" w:cs="Georgia"/>
          <w:color w:val="000000" w:themeColor="text2"/>
        </w:rPr>
      </w:pPr>
      <w:proofErr w:type="spellStart"/>
      <w:r w:rsidRPr="61D1030D">
        <w:rPr>
          <w:rFonts w:eastAsia="Georgia" w:cs="Georgia"/>
          <w:color w:val="000000" w:themeColor="text2"/>
        </w:rPr>
        <w:t>Aortaaneurysm</w:t>
      </w:r>
      <w:proofErr w:type="spellEnd"/>
      <w:r w:rsidRPr="61D1030D">
        <w:rPr>
          <w:rFonts w:eastAsia="Georgia" w:cs="Georgia"/>
          <w:color w:val="000000" w:themeColor="text2"/>
        </w:rPr>
        <w:t xml:space="preserve"> – Kärlkirurgi</w:t>
      </w:r>
    </w:p>
    <w:p w14:paraId="0C375B59" w14:textId="05CFA6E3" w:rsidR="1A5A5A33" w:rsidRDefault="1A5A5A33" w:rsidP="61D1030D">
      <w:pPr>
        <w:pStyle w:val="Heading2"/>
        <w:ind w:left="992"/>
        <w:rPr>
          <w:rFonts w:eastAsia="Verdana" w:cs="Verdana"/>
          <w:bCs w:val="0"/>
          <w:color w:val="000000" w:themeColor="text2"/>
          <w:szCs w:val="36"/>
        </w:rPr>
      </w:pPr>
      <w:r w:rsidRPr="61D1030D">
        <w:rPr>
          <w:rFonts w:eastAsia="Verdana" w:cs="Verdana"/>
          <w:bCs w:val="0"/>
          <w:color w:val="000000" w:themeColor="text2"/>
          <w:szCs w:val="36"/>
        </w:rPr>
        <w:t>Ansvar för specialiteterna</w:t>
      </w:r>
    </w:p>
    <w:p w14:paraId="71788318" w14:textId="4E6A37EA" w:rsidR="1A5A5A33" w:rsidRDefault="1A5A5A33" w:rsidP="61D1030D">
      <w:pPr>
        <w:pStyle w:val="ListBullet"/>
        <w:rPr>
          <w:rFonts w:eastAsia="Georgia" w:cs="Georgia"/>
          <w:color w:val="000000" w:themeColor="text2"/>
        </w:rPr>
      </w:pPr>
      <w:r w:rsidRPr="61D1030D">
        <w:rPr>
          <w:rFonts w:eastAsia="Georgia" w:cs="Georgia"/>
          <w:color w:val="000000" w:themeColor="text2"/>
        </w:rPr>
        <w:t>Bedöma radiologiska bifynd inom sitt område.</w:t>
      </w:r>
    </w:p>
    <w:p w14:paraId="6433DFBC" w14:textId="244F7106" w:rsidR="1A5A5A33" w:rsidRDefault="1A5A5A33" w:rsidP="61D1030D">
      <w:pPr>
        <w:pStyle w:val="ListBullet"/>
        <w:rPr>
          <w:rFonts w:eastAsia="Georgia" w:cs="Georgia"/>
          <w:color w:val="000000" w:themeColor="text2"/>
        </w:rPr>
      </w:pPr>
      <w:r w:rsidRPr="61D1030D">
        <w:rPr>
          <w:rFonts w:eastAsia="Georgia" w:cs="Georgia"/>
          <w:color w:val="000000" w:themeColor="text2"/>
        </w:rPr>
        <w:t>Beställa eventuell kompletterande utredning.</w:t>
      </w:r>
    </w:p>
    <w:p w14:paraId="2FD37CD8" w14:textId="254FB5F1" w:rsidR="1A5A5A33" w:rsidRDefault="1A5A5A33" w:rsidP="61D1030D">
      <w:pPr>
        <w:pStyle w:val="ListBullet"/>
        <w:rPr>
          <w:rFonts w:eastAsia="Georgia" w:cs="Georgia"/>
          <w:color w:val="000000" w:themeColor="text2"/>
        </w:rPr>
      </w:pPr>
      <w:r w:rsidRPr="61D1030D">
        <w:rPr>
          <w:rFonts w:eastAsia="Georgia" w:cs="Georgia"/>
          <w:color w:val="000000" w:themeColor="text2"/>
        </w:rPr>
        <w:t>Informera patienten och vid behov kalla till mottagningsbesök.</w:t>
      </w:r>
    </w:p>
    <w:p w14:paraId="1D4B0FB6" w14:textId="4D5F5AD0" w:rsidR="1A5A5A33" w:rsidRDefault="1A5A5A33" w:rsidP="61D1030D">
      <w:pPr>
        <w:pStyle w:val="ListBullet"/>
        <w:rPr>
          <w:rFonts w:eastAsia="Georgia" w:cs="Georgia"/>
          <w:color w:val="000000" w:themeColor="text2"/>
        </w:rPr>
      </w:pPr>
      <w:r w:rsidRPr="61D1030D">
        <w:rPr>
          <w:rFonts w:eastAsia="Georgia" w:cs="Georgia"/>
          <w:color w:val="000000" w:themeColor="text2"/>
        </w:rPr>
        <w:t>Säkerställa att nödvändig uppföljning beställs.</w:t>
      </w:r>
    </w:p>
    <w:p w14:paraId="4AE8A309" w14:textId="11393F51" w:rsidR="1A5A5A33" w:rsidRDefault="1A5A5A33" w:rsidP="61D1030D">
      <w:pPr>
        <w:pStyle w:val="ListBullet"/>
        <w:rPr>
          <w:rFonts w:eastAsia="Georgia" w:cs="Georgia"/>
          <w:color w:val="000000" w:themeColor="text2"/>
        </w:rPr>
      </w:pPr>
      <w:r w:rsidRPr="61D1030D">
        <w:rPr>
          <w:rFonts w:eastAsia="Georgia" w:cs="Georgia"/>
          <w:color w:val="000000" w:themeColor="text2"/>
        </w:rPr>
        <w:t>Ha kontinuerlig dialog med BFM om hur bifynd ska beskrivas och rapporteras.</w:t>
      </w:r>
    </w:p>
    <w:p w14:paraId="690124CC" w14:textId="50A9F003" w:rsidR="1A5A5A33" w:rsidRDefault="1A5A5A33" w:rsidP="61D1030D">
      <w:pPr>
        <w:pStyle w:val="ListBullet"/>
        <w:rPr>
          <w:rFonts w:eastAsia="Georgia" w:cs="Georgia"/>
          <w:color w:val="000000" w:themeColor="text2"/>
        </w:rPr>
      </w:pPr>
      <w:r w:rsidRPr="61D1030D">
        <w:rPr>
          <w:rFonts w:eastAsia="Georgia" w:cs="Georgia"/>
          <w:color w:val="000000" w:themeColor="text2"/>
        </w:rPr>
        <w:t>Delta i framtagande av regionala och nationella riktlinjer för bifyndshantering.</w:t>
      </w:r>
    </w:p>
    <w:p w14:paraId="51018894" w14:textId="003F2228" w:rsidR="1A5A5A33" w:rsidRDefault="1A5A5A33" w:rsidP="61D1030D">
      <w:pPr>
        <w:pStyle w:val="ListBullet"/>
        <w:rPr>
          <w:rFonts w:eastAsia="Georgia" w:cs="Georgia"/>
          <w:color w:val="000000" w:themeColor="text2"/>
        </w:rPr>
      </w:pPr>
      <w:r w:rsidRPr="61D1030D">
        <w:rPr>
          <w:rFonts w:eastAsia="Georgia" w:cs="Georgia"/>
          <w:color w:val="000000" w:themeColor="text2"/>
        </w:rPr>
        <w:t>Vid behov inkomma med förslag till undantagsrutin till Medicinska rådet om befintliga vårdprogram eller riktlinjer bedöms som orimliga. Medicinska rådet bereder frågan inför beslut i sjukhusledningen.</w:t>
      </w:r>
    </w:p>
    <w:p w14:paraId="5A20E30D" w14:textId="4EDE21A1" w:rsidR="1A5A5A33" w:rsidRDefault="1A5A5A33" w:rsidP="61D1030D">
      <w:pPr>
        <w:pStyle w:val="Heading2"/>
        <w:ind w:left="992"/>
        <w:rPr>
          <w:rFonts w:eastAsia="Verdana" w:cs="Verdana"/>
          <w:bCs w:val="0"/>
          <w:color w:val="000000" w:themeColor="text2"/>
          <w:szCs w:val="36"/>
        </w:rPr>
      </w:pPr>
      <w:r w:rsidRPr="61D1030D">
        <w:rPr>
          <w:rFonts w:eastAsia="Verdana" w:cs="Verdana"/>
          <w:bCs w:val="0"/>
          <w:color w:val="000000" w:themeColor="text2"/>
          <w:szCs w:val="36"/>
        </w:rPr>
        <w:t>Undantag</w:t>
      </w:r>
    </w:p>
    <w:p w14:paraId="4F2E07AF" w14:textId="112A4894" w:rsidR="1A5A5A33" w:rsidRDefault="1A5A5A33" w:rsidP="61D1030D">
      <w:pPr>
        <w:ind w:left="992"/>
        <w:rPr>
          <w:rFonts w:eastAsia="Georgia" w:cs="Georgia"/>
          <w:color w:val="000000" w:themeColor="text2"/>
        </w:rPr>
      </w:pPr>
      <w:r w:rsidRPr="61D1030D">
        <w:rPr>
          <w:rFonts w:eastAsia="Georgia" w:cs="Georgia"/>
          <w:color w:val="000000" w:themeColor="text2"/>
        </w:rPr>
        <w:t>Radiologiska bifynd som kan utgöra tecken på metastasering hos patienter med känd cancersjukdom handläggs av den specialitet som ansvarar för respektive cancersjukdom.</w:t>
      </w:r>
    </w:p>
    <w:sectPr w:rsidR="1A5A5A33" w:rsidSect="00B96AFF">
      <w:headerReference w:type="default" r:id="rId11"/>
      <w:footerReference w:type="even" r:id="rId12"/>
      <w:footerReference w:type="default" r:id="rId13"/>
      <w:headerReference w:type="first" r:id="rId14"/>
      <w:footerReference w:type="first" r:id="rId15"/>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228C383" w14:textId="77777777" w:rsidR="00BC5095" w:rsidRDefault="00BC5095">
      <w:r>
        <w:separator/>
      </w:r>
    </w:p>
  </w:endnote>
  <w:endnote w:type="continuationSeparator" w:id="0">
    <w:p w14:paraId="2E5520F2" w14:textId="77777777" w:rsidR="00BC5095" w:rsidRDefault="00BC5095">
      <w:r>
        <w:continuationSeparator/>
      </w:r>
    </w:p>
  </w:endnote>
  <w:endnote w:type="continuationNotice" w:id="1">
    <w:p w14:paraId="5E2D3926" w14:textId="77777777" w:rsidR="00BC5095" w:rsidRDefault="00BC509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Lucida Grande">
    <w:altName w:val="Times New Roman"/>
    <w:charset w:val="00"/>
    <w:family w:val="auto"/>
    <w:pitch w:val="variable"/>
    <w:sig w:usb0="E1000AEF"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2017F3" w:rsidP="00EC0A68">
    <w:pPr>
      <w:pStyle w:val="Footer"/>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Footer"/>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C47B9E" w14:textId="77777777" w:rsidR="00BC5095" w:rsidRDefault="00BC5095"/>
  </w:footnote>
  <w:footnote w:type="continuationSeparator" w:id="0">
    <w:p w14:paraId="25C9673C" w14:textId="77777777" w:rsidR="00BC5095" w:rsidRDefault="00BC5095">
      <w:r>
        <w:continuationSeparator/>
      </w:r>
    </w:p>
  </w:footnote>
  <w:footnote w:type="continuationNotice" w:id="1">
    <w:p w14:paraId="6000F460" w14:textId="77777777" w:rsidR="00BC5095" w:rsidRDefault="00BC509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Header"/>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551850F"/>
    <w:multiLevelType w:val="hybridMultilevel"/>
    <w:tmpl w:val="FFFFFFFF"/>
    <w:lvl w:ilvl="0" w:tplc="39304A80">
      <w:start w:val="1"/>
      <w:numFmt w:val="bullet"/>
      <w:lvlText w:val=""/>
      <w:lvlJc w:val="left"/>
      <w:pPr>
        <w:ind w:left="1077" w:hanging="360"/>
      </w:pPr>
      <w:rPr>
        <w:rFonts w:ascii="Symbol" w:hAnsi="Symbol" w:hint="default"/>
      </w:rPr>
    </w:lvl>
    <w:lvl w:ilvl="1" w:tplc="6D7CB734">
      <w:start w:val="1"/>
      <w:numFmt w:val="bullet"/>
      <w:lvlText w:val="o"/>
      <w:lvlJc w:val="left"/>
      <w:pPr>
        <w:ind w:left="1647" w:hanging="360"/>
      </w:pPr>
      <w:rPr>
        <w:rFonts w:ascii="Courier New" w:hAnsi="Courier New" w:hint="default"/>
      </w:rPr>
    </w:lvl>
    <w:lvl w:ilvl="2" w:tplc="C614713C">
      <w:start w:val="1"/>
      <w:numFmt w:val="bullet"/>
      <w:lvlText w:val=""/>
      <w:lvlJc w:val="left"/>
      <w:pPr>
        <w:ind w:left="2367" w:hanging="360"/>
      </w:pPr>
      <w:rPr>
        <w:rFonts w:ascii="Wingdings" w:hAnsi="Wingdings" w:hint="default"/>
      </w:rPr>
    </w:lvl>
    <w:lvl w:ilvl="3" w:tplc="67128442">
      <w:start w:val="1"/>
      <w:numFmt w:val="bullet"/>
      <w:lvlText w:val=""/>
      <w:lvlJc w:val="left"/>
      <w:pPr>
        <w:ind w:left="3087" w:hanging="360"/>
      </w:pPr>
      <w:rPr>
        <w:rFonts w:ascii="Symbol" w:hAnsi="Symbol" w:hint="default"/>
      </w:rPr>
    </w:lvl>
    <w:lvl w:ilvl="4" w:tplc="7244265C">
      <w:start w:val="1"/>
      <w:numFmt w:val="bullet"/>
      <w:lvlText w:val="o"/>
      <w:lvlJc w:val="left"/>
      <w:pPr>
        <w:ind w:left="3807" w:hanging="360"/>
      </w:pPr>
      <w:rPr>
        <w:rFonts w:ascii="Courier New" w:hAnsi="Courier New" w:hint="default"/>
      </w:rPr>
    </w:lvl>
    <w:lvl w:ilvl="5" w:tplc="E2903BDA">
      <w:start w:val="1"/>
      <w:numFmt w:val="bullet"/>
      <w:lvlText w:val=""/>
      <w:lvlJc w:val="left"/>
      <w:pPr>
        <w:ind w:left="4527" w:hanging="360"/>
      </w:pPr>
      <w:rPr>
        <w:rFonts w:ascii="Wingdings" w:hAnsi="Wingdings" w:hint="default"/>
      </w:rPr>
    </w:lvl>
    <w:lvl w:ilvl="6" w:tplc="A01C0348">
      <w:start w:val="1"/>
      <w:numFmt w:val="bullet"/>
      <w:lvlText w:val=""/>
      <w:lvlJc w:val="left"/>
      <w:pPr>
        <w:ind w:left="5247" w:hanging="360"/>
      </w:pPr>
      <w:rPr>
        <w:rFonts w:ascii="Symbol" w:hAnsi="Symbol" w:hint="default"/>
      </w:rPr>
    </w:lvl>
    <w:lvl w:ilvl="7" w:tplc="1D36EE50">
      <w:start w:val="1"/>
      <w:numFmt w:val="bullet"/>
      <w:lvlText w:val="o"/>
      <w:lvlJc w:val="left"/>
      <w:pPr>
        <w:ind w:left="5967" w:hanging="360"/>
      </w:pPr>
      <w:rPr>
        <w:rFonts w:ascii="Courier New" w:hAnsi="Courier New" w:hint="default"/>
      </w:rPr>
    </w:lvl>
    <w:lvl w:ilvl="8" w:tplc="25B87190">
      <w:start w:val="1"/>
      <w:numFmt w:val="bullet"/>
      <w:lvlText w:val=""/>
      <w:lvlJc w:val="left"/>
      <w:pPr>
        <w:ind w:left="6687"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8"/>
  </w:num>
  <w:num w:numId="2" w16cid:durableId="1367871050">
    <w:abstractNumId w:val="15"/>
  </w:num>
  <w:num w:numId="3" w16cid:durableId="164058872">
    <w:abstractNumId w:val="0"/>
  </w:num>
  <w:num w:numId="4" w16cid:durableId="861477783">
    <w:abstractNumId w:val="6"/>
  </w:num>
  <w:num w:numId="5" w16cid:durableId="1280868239">
    <w:abstractNumId w:val="16"/>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7"/>
  </w:num>
  <w:num w:numId="20" w16cid:durableId="194380378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43853"/>
    <w:rsid w:val="00050500"/>
    <w:rsid w:val="0005691C"/>
    <w:rsid w:val="00056ECB"/>
    <w:rsid w:val="00056ED5"/>
    <w:rsid w:val="00061969"/>
    <w:rsid w:val="000654D3"/>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14359"/>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419F"/>
    <w:rsid w:val="001860B9"/>
    <w:rsid w:val="00186F2B"/>
    <w:rsid w:val="0018705F"/>
    <w:rsid w:val="001874D6"/>
    <w:rsid w:val="0019632A"/>
    <w:rsid w:val="001A4E7C"/>
    <w:rsid w:val="001B762C"/>
    <w:rsid w:val="001C4D0A"/>
    <w:rsid w:val="001C5FEF"/>
    <w:rsid w:val="001E3789"/>
    <w:rsid w:val="002017F3"/>
    <w:rsid w:val="00211487"/>
    <w:rsid w:val="00211D91"/>
    <w:rsid w:val="00217DEC"/>
    <w:rsid w:val="002273C9"/>
    <w:rsid w:val="00232B5F"/>
    <w:rsid w:val="00235B57"/>
    <w:rsid w:val="00250F24"/>
    <w:rsid w:val="002523C5"/>
    <w:rsid w:val="0025380B"/>
    <w:rsid w:val="0025703A"/>
    <w:rsid w:val="00262F3D"/>
    <w:rsid w:val="00263281"/>
    <w:rsid w:val="002651D6"/>
    <w:rsid w:val="0026551F"/>
    <w:rsid w:val="00270FA8"/>
    <w:rsid w:val="00271973"/>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13A9"/>
    <w:rsid w:val="0036357D"/>
    <w:rsid w:val="0036594C"/>
    <w:rsid w:val="00367D19"/>
    <w:rsid w:val="00371BED"/>
    <w:rsid w:val="00384019"/>
    <w:rsid w:val="003854F1"/>
    <w:rsid w:val="0039118E"/>
    <w:rsid w:val="00394A92"/>
    <w:rsid w:val="00397F54"/>
    <w:rsid w:val="003A0D43"/>
    <w:rsid w:val="003B2A4B"/>
    <w:rsid w:val="003D099E"/>
    <w:rsid w:val="003D21A2"/>
    <w:rsid w:val="003D2645"/>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77885"/>
    <w:rsid w:val="00480DC7"/>
    <w:rsid w:val="004876F6"/>
    <w:rsid w:val="0049236A"/>
    <w:rsid w:val="00492718"/>
    <w:rsid w:val="004A355D"/>
    <w:rsid w:val="004A4970"/>
    <w:rsid w:val="004B2183"/>
    <w:rsid w:val="004B2A01"/>
    <w:rsid w:val="004C3536"/>
    <w:rsid w:val="004C4935"/>
    <w:rsid w:val="004D7BA3"/>
    <w:rsid w:val="004F4518"/>
    <w:rsid w:val="004F4C62"/>
    <w:rsid w:val="00501433"/>
    <w:rsid w:val="00511CC4"/>
    <w:rsid w:val="005224EA"/>
    <w:rsid w:val="00531E60"/>
    <w:rsid w:val="00541D07"/>
    <w:rsid w:val="00544BAB"/>
    <w:rsid w:val="00545F31"/>
    <w:rsid w:val="005578FA"/>
    <w:rsid w:val="00565129"/>
    <w:rsid w:val="00565CD0"/>
    <w:rsid w:val="00567820"/>
    <w:rsid w:val="0057277B"/>
    <w:rsid w:val="005770AD"/>
    <w:rsid w:val="00581414"/>
    <w:rsid w:val="00582490"/>
    <w:rsid w:val="00593C6E"/>
    <w:rsid w:val="00597E28"/>
    <w:rsid w:val="005A1397"/>
    <w:rsid w:val="005A54ED"/>
    <w:rsid w:val="005A5D5B"/>
    <w:rsid w:val="005A6081"/>
    <w:rsid w:val="005A627D"/>
    <w:rsid w:val="005C0045"/>
    <w:rsid w:val="005C084E"/>
    <w:rsid w:val="005C4606"/>
    <w:rsid w:val="005D0B0C"/>
    <w:rsid w:val="005E02B3"/>
    <w:rsid w:val="005E1E24"/>
    <w:rsid w:val="005F0C9B"/>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6802"/>
    <w:rsid w:val="006A7261"/>
    <w:rsid w:val="006B0D29"/>
    <w:rsid w:val="006B1819"/>
    <w:rsid w:val="006C5048"/>
    <w:rsid w:val="006C6A4B"/>
    <w:rsid w:val="006C779F"/>
    <w:rsid w:val="006D01F5"/>
    <w:rsid w:val="006D0CFB"/>
    <w:rsid w:val="006D30C0"/>
    <w:rsid w:val="006D7535"/>
    <w:rsid w:val="006E450B"/>
    <w:rsid w:val="006F0D7E"/>
    <w:rsid w:val="006F6D97"/>
    <w:rsid w:val="00710B77"/>
    <w:rsid w:val="007155D5"/>
    <w:rsid w:val="0072075B"/>
    <w:rsid w:val="007221C2"/>
    <w:rsid w:val="007268AB"/>
    <w:rsid w:val="00730955"/>
    <w:rsid w:val="00733A9C"/>
    <w:rsid w:val="00734E47"/>
    <w:rsid w:val="00736574"/>
    <w:rsid w:val="007367E0"/>
    <w:rsid w:val="00737215"/>
    <w:rsid w:val="00754905"/>
    <w:rsid w:val="00760038"/>
    <w:rsid w:val="00762EE0"/>
    <w:rsid w:val="00765C41"/>
    <w:rsid w:val="00771100"/>
    <w:rsid w:val="00774944"/>
    <w:rsid w:val="007759DD"/>
    <w:rsid w:val="00784C72"/>
    <w:rsid w:val="0078609F"/>
    <w:rsid w:val="007917BA"/>
    <w:rsid w:val="007A334E"/>
    <w:rsid w:val="007A5C6F"/>
    <w:rsid w:val="007D0684"/>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279F9"/>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77495"/>
    <w:rsid w:val="00A81198"/>
    <w:rsid w:val="00A81E48"/>
    <w:rsid w:val="00A82035"/>
    <w:rsid w:val="00A90D77"/>
    <w:rsid w:val="00A92E07"/>
    <w:rsid w:val="00A93CA5"/>
    <w:rsid w:val="00AA0B3A"/>
    <w:rsid w:val="00AA6EB4"/>
    <w:rsid w:val="00AA767D"/>
    <w:rsid w:val="00AB0CC9"/>
    <w:rsid w:val="00AC3FF6"/>
    <w:rsid w:val="00AC571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57132"/>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5095"/>
    <w:rsid w:val="00BC6590"/>
    <w:rsid w:val="00BE7978"/>
    <w:rsid w:val="00C01F0D"/>
    <w:rsid w:val="00C07DDB"/>
    <w:rsid w:val="00C254A6"/>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223A"/>
    <w:rsid w:val="00CE4B73"/>
    <w:rsid w:val="00CF70BB"/>
    <w:rsid w:val="00D00BD7"/>
    <w:rsid w:val="00D074DB"/>
    <w:rsid w:val="00D139CF"/>
    <w:rsid w:val="00D20779"/>
    <w:rsid w:val="00D3472C"/>
    <w:rsid w:val="00D37E7F"/>
    <w:rsid w:val="00D434F4"/>
    <w:rsid w:val="00D47AD7"/>
    <w:rsid w:val="00D51529"/>
    <w:rsid w:val="00D62468"/>
    <w:rsid w:val="00D67C88"/>
    <w:rsid w:val="00D75268"/>
    <w:rsid w:val="00D85218"/>
    <w:rsid w:val="00D915B1"/>
    <w:rsid w:val="00DA299D"/>
    <w:rsid w:val="00DA6315"/>
    <w:rsid w:val="00DA65C4"/>
    <w:rsid w:val="00DE4447"/>
    <w:rsid w:val="00DE5DA2"/>
    <w:rsid w:val="00DE63C6"/>
    <w:rsid w:val="00DF0033"/>
    <w:rsid w:val="00E026BF"/>
    <w:rsid w:val="00E07B1B"/>
    <w:rsid w:val="00E11853"/>
    <w:rsid w:val="00E411B6"/>
    <w:rsid w:val="00E52A86"/>
    <w:rsid w:val="00E54B47"/>
    <w:rsid w:val="00E553BF"/>
    <w:rsid w:val="00E55D93"/>
    <w:rsid w:val="00E57FF5"/>
    <w:rsid w:val="00E61294"/>
    <w:rsid w:val="00E7237C"/>
    <w:rsid w:val="00E77C46"/>
    <w:rsid w:val="00E86CE8"/>
    <w:rsid w:val="00E90E82"/>
    <w:rsid w:val="00EA00CB"/>
    <w:rsid w:val="00EA1BAA"/>
    <w:rsid w:val="00EA3FCD"/>
    <w:rsid w:val="00EA42A0"/>
    <w:rsid w:val="00EB6714"/>
    <w:rsid w:val="00EC0A68"/>
    <w:rsid w:val="00EC3C32"/>
    <w:rsid w:val="00EC4087"/>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11098AC"/>
    <w:rsid w:val="024801E3"/>
    <w:rsid w:val="080D0442"/>
    <w:rsid w:val="0AD80620"/>
    <w:rsid w:val="0CA7E80A"/>
    <w:rsid w:val="142C70CE"/>
    <w:rsid w:val="1A5A5A33"/>
    <w:rsid w:val="2B37D195"/>
    <w:rsid w:val="37128E1A"/>
    <w:rsid w:val="4C0ECCEE"/>
    <w:rsid w:val="61D1030D"/>
    <w:rsid w:val="647B2B65"/>
    <w:rsid w:val="6734424E"/>
    <w:rsid w:val="673DDBA5"/>
    <w:rsid w:val="6B2CF8ED"/>
    <w:rsid w:val="7BBA1A4D"/>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Heading1">
    <w:name w:val="heading 1"/>
    <w:aliases w:val="Rubrik VGR"/>
    <w:next w:val="Normal"/>
    <w:link w:val="Heading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Heading2">
    <w:name w:val="heading 2"/>
    <w:aliases w:val="Rubrik 2 VGR"/>
    <w:basedOn w:val="Normal"/>
    <w:next w:val="Normal"/>
    <w:link w:val="Heading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Heading3">
    <w:name w:val="heading 3"/>
    <w:aliases w:val="Rubrik 3 VGR"/>
    <w:basedOn w:val="Normal"/>
    <w:next w:val="Normal"/>
    <w:link w:val="Heading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Heading9">
    <w:name w:val="heading 9"/>
    <w:basedOn w:val="Normal"/>
    <w:next w:val="Normal"/>
    <w:link w:val="Heading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Heading1Char">
    <w:name w:val="Heading 1 Char"/>
    <w:aliases w:val="Rubrik VGR Char"/>
    <w:link w:val="Heading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8D124E"/>
    <w:rPr>
      <w:rFonts w:ascii="Verdana" w:eastAsiaTheme="majorEastAsia" w:hAnsi="Verdana" w:cstheme="majorBidi"/>
      <w:bCs/>
      <w:color w:val="000000" w:themeColor="text1"/>
      <w:sz w:val="36"/>
      <w:szCs w:val="26"/>
    </w:rPr>
  </w:style>
  <w:style w:type="character" w:customStyle="1" w:styleId="Heading3Char">
    <w:name w:val="Heading 3 Char"/>
    <w:aliases w:val="Rubrik 3 VGR Char"/>
    <w:basedOn w:val="DefaultParagraphFont"/>
    <w:link w:val="Heading3"/>
    <w:uiPriority w:val="3"/>
    <w:rsid w:val="008D124E"/>
    <w:rPr>
      <w:rFonts w:ascii="Verdana" w:eastAsiaTheme="majorEastAsia" w:hAnsi="Verdana" w:cstheme="majorBidi"/>
      <w:bCs/>
      <w:color w:val="000000" w:themeColor="text1"/>
      <w:sz w:val="28"/>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DefaultParagraphFon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DefaultParagraphFont"/>
    <w:link w:val="UnderrubrikVGR"/>
    <w:uiPriority w:val="3"/>
    <w:rsid w:val="00B14487"/>
    <w:rPr>
      <w:rFonts w:ascii="Verdana" w:hAnsi="Verdana"/>
      <w:sz w:val="32"/>
      <w:szCs w:val="44"/>
    </w:rPr>
  </w:style>
  <w:style w:type="paragraph" w:styleId="TOC2">
    <w:name w:val="toc 2"/>
    <w:basedOn w:val="Normal"/>
    <w:next w:val="Normal"/>
    <w:autoRedefine/>
    <w:uiPriority w:val="39"/>
    <w:unhideWhenUsed/>
    <w:rsid w:val="00BC6590"/>
    <w:pPr>
      <w:tabs>
        <w:tab w:val="right" w:leader="dot" w:pos="8919"/>
      </w:tabs>
      <w:ind w:right="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Heading9Char">
    <w:name w:val="Heading 9 Char"/>
    <w:basedOn w:val="DefaultParagraphFont"/>
    <w:link w:val="Heading9"/>
    <w:uiPriority w:val="9"/>
    <w:semiHidden/>
    <w:rsid w:val="009A32ED"/>
    <w:rPr>
      <w:rFonts w:asciiTheme="majorHAnsi" w:eastAsiaTheme="majorEastAsia" w:hAnsiTheme="majorHAnsi" w:cstheme="majorBidi"/>
      <w:i/>
      <w:iCs/>
      <w:color w:val="272727" w:themeColor="text1" w:themeTint="D8"/>
      <w:sz w:val="21"/>
      <w:szCs w:val="21"/>
    </w:rPr>
  </w:style>
  <w:style w:type="paragraph" w:styleId="BodyText">
    <w:name w:val="Body Text"/>
    <w:aliases w:val="(=Löpande text)"/>
    <w:link w:val="BodyTextChar"/>
    <w:rsid w:val="009A32ED"/>
    <w:pPr>
      <w:spacing w:after="160"/>
      <w:ind w:left="2676"/>
    </w:pPr>
    <w:rPr>
      <w:sz w:val="24"/>
    </w:rPr>
  </w:style>
  <w:style w:type="character" w:customStyle="1" w:styleId="BodyTextChar">
    <w:name w:val="Body Text Char"/>
    <w:aliases w:val="(=Löpande text) Char"/>
    <w:basedOn w:val="DefaultParagraphFont"/>
    <w:link w:val="Body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DefaultParagraphFont"/>
    <w:link w:val="Tabell"/>
    <w:rsid w:val="00831C35"/>
    <w:rPr>
      <w:rFonts w:ascii="Georgia" w:hAnsi="Georgia"/>
      <w:sz w:val="24"/>
      <w:szCs w:val="24"/>
    </w:rPr>
  </w:style>
  <w:style w:type="character" w:styleId="FollowedHyperlink">
    <w:name w:val="FollowedHyperlink"/>
    <w:basedOn w:val="DefaultParagraphFont"/>
    <w:uiPriority w:val="99"/>
    <w:semiHidden/>
    <w:unhideWhenUsed/>
    <w:rsid w:val="00B97D4E"/>
    <w:rPr>
      <w:color w:val="9EA2A2" w:themeColor="followedHyperlink"/>
      <w:u w:val="single"/>
    </w:rPr>
  </w:style>
  <w:style w:type="character" w:styleId="UnresolvedMention">
    <w:name w:val="Unresolved Mention"/>
    <w:basedOn w:val="DefaultParagraphFon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theme" Target="theme/theme1.xml" Id="rId17" /><Relationship Type="http://schemas.openxmlformats.org/officeDocument/2006/relationships/fontTable" Target="fontTable.xml" Id="rId16"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footer" Target="footer3.xml" Id="rId15" /><Relationship Type="http://schemas.openxmlformats.org/officeDocument/2006/relationships/endnotes" Target="endnotes.xml" Id="rId10" /><Relationship Type="http://schemas.openxmlformats.org/officeDocument/2006/relationships/footnotes" Target="footnote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237</Words>
  <Characters>1353</Characters>
  <Application>Microsoft Office Word</Application>
  <DocSecurity>4</DocSecurity>
  <Lines>11</Lines>
  <Paragraphs>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1587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Ansvarsfördelning för radiologiska bifynd</dc:title>
  <dc:subject/>
  <dc:creator/>
  <keywords/>
  <lastModifiedBy/>
  <revision>1</revision>
  <dcterms:created xsi:type="dcterms:W3CDTF">2025-08-13T21:29:00.0000000Z</dcterms:created>
  <dcterms:modified xsi:type="dcterms:W3CDTF">2025-11-09T20:37:00.0000000Z</dcterms:modified>
</coreProperties>
</file>