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4FFED" w14:textId="77777777" w:rsidR="00615C86" w:rsidRDefault="00615C86" w:rsidP="00F35B05">
      <w:pPr>
        <w:pStyle w:val="Rubrik2"/>
        <w:sectPr w:rsidR="00615C86" w:rsidSect="00615C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A6069D" w14:textId="77777777" w:rsidR="00615C86" w:rsidRPr="00615C86" w:rsidRDefault="00615C86" w:rsidP="00615C86">
      <w:pPr>
        <w:spacing w:after="0" w:line="240" w:lineRule="auto"/>
        <w:ind w:left="0" w:right="0"/>
        <w:rPr>
          <w:szCs w:val="20"/>
        </w:rPr>
      </w:pPr>
    </w:p>
    <w:p w14:paraId="249AB409" w14:textId="77777777" w:rsidR="007660B7" w:rsidRDefault="007660B7" w:rsidP="007660B7">
      <w:pPr>
        <w:pStyle w:val="Rubrik1"/>
      </w:pPr>
    </w:p>
    <w:p w14:paraId="1943E00D" w14:textId="41E32420" w:rsidR="00615C86" w:rsidRPr="00615C86" w:rsidRDefault="007660B7" w:rsidP="007660B7">
      <w:pPr>
        <w:pStyle w:val="Rubrik1"/>
        <w:rPr>
          <w:szCs w:val="20"/>
        </w:rPr>
      </w:pPr>
      <w:r>
        <w:t>Trombosprofylax vid gynekologisk cancer</w:t>
      </w:r>
    </w:p>
    <w:p w14:paraId="1460888C" w14:textId="77777777" w:rsidR="009B63DD" w:rsidRDefault="00615C86" w:rsidP="009B63DD">
      <w:pPr>
        <w:pStyle w:val="Rubrik3"/>
      </w:pPr>
      <w:r w:rsidRPr="00615C86">
        <w:t xml:space="preserve">Revidering i denna </w:t>
      </w:r>
      <w:r w:rsidRPr="009B63DD">
        <w:t>version</w:t>
      </w:r>
    </w:p>
    <w:p w14:paraId="4DD5B383" w14:textId="3BE24BEC" w:rsidR="00F61AA9" w:rsidRDefault="00615C86" w:rsidP="009B63DD">
      <w:pPr>
        <w:rPr>
          <w:rFonts w:ascii="Calibri" w:hAnsi="Calibri" w:cs="Calibri"/>
        </w:rPr>
      </w:pPr>
      <w:r w:rsidRPr="009B63DD">
        <w:rPr>
          <w:rFonts w:ascii="Calibri" w:hAnsi="Calibri" w:cs="Calibri"/>
        </w:rPr>
        <w:t xml:space="preserve">Inga förändringar </w:t>
      </w:r>
      <w:r w:rsidR="002A5296">
        <w:rPr>
          <w:rFonts w:ascii="Calibri" w:hAnsi="Calibri" w:cs="Calibri"/>
        </w:rPr>
        <w:t>vid</w:t>
      </w:r>
      <w:r w:rsidRPr="009B63DD">
        <w:rPr>
          <w:rFonts w:ascii="Calibri" w:hAnsi="Calibri" w:cs="Calibri"/>
        </w:rPr>
        <w:t xml:space="preserve"> denna revidering. </w:t>
      </w:r>
    </w:p>
    <w:p w14:paraId="5A2F35FE" w14:textId="666B8B20" w:rsidR="00615C86" w:rsidRPr="009B63DD" w:rsidRDefault="00F61AA9" w:rsidP="00F61AA9">
      <w:pPr>
        <w:pStyle w:val="Rubrik2"/>
      </w:pPr>
      <w:r>
        <w:t>Åtgärd</w:t>
      </w:r>
    </w:p>
    <w:p w14:paraId="60373EBE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>Vid en större buk-/bäckenoperation sker en aktivering av koagulationssystemet som kvarstår flera veckor postoperativt vilket leder till en ökad risk för venös trombo-embolism (VTE).</w:t>
      </w:r>
    </w:p>
    <w:p w14:paraId="426EE753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33AD2F00" w14:textId="46C52BCF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>Exempel på andra riskfaktorer för VTE är</w:t>
      </w:r>
    </w:p>
    <w:p w14:paraId="15F0D04B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 xml:space="preserve">Cancer </w:t>
      </w:r>
    </w:p>
    <w:p w14:paraId="5273970D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Tidigare VTE</w:t>
      </w:r>
    </w:p>
    <w:p w14:paraId="3776A457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Känd trombofili</w:t>
      </w:r>
    </w:p>
    <w:p w14:paraId="5D8B768B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Immobilisering</w:t>
      </w:r>
    </w:p>
    <w:p w14:paraId="4A4FA3A3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Svår infektion</w:t>
      </w:r>
    </w:p>
    <w:p w14:paraId="6C4588B1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Hög ålder</w:t>
      </w:r>
    </w:p>
    <w:p w14:paraId="4299DE65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Övervikt</w:t>
      </w:r>
    </w:p>
    <w:p w14:paraId="23F59858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Cytostatikabehandling</w:t>
      </w:r>
    </w:p>
    <w:p w14:paraId="1FE21EAB" w14:textId="152E6E3B" w:rsidR="00615C86" w:rsidRPr="002E4E11" w:rsidRDefault="00F61AA9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br/>
      </w:r>
      <w:r w:rsidR="00615C86" w:rsidRPr="002E4E11">
        <w:rPr>
          <w:rFonts w:ascii="Calibri" w:hAnsi="Calibri" w:cs="Calibri"/>
          <w:szCs w:val="20"/>
        </w:rPr>
        <w:t xml:space="preserve">Trombosprofylax ges med lågmolekylärt heparin, subkutan injektion 1 ggr/dag. Vid cancer ges Fragmin 5000E vid en vikt upp till 90 kg, 7500E om vikten är högre. </w:t>
      </w:r>
    </w:p>
    <w:p w14:paraId="40BF5086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6810CAF" w14:textId="77777777" w:rsidR="00615C86" w:rsidRPr="00F61AA9" w:rsidRDefault="00615C86" w:rsidP="00653E84">
      <w:pPr>
        <w:pStyle w:val="Rubrik3"/>
      </w:pPr>
      <w:r w:rsidRPr="00F61AA9">
        <w:lastRenderedPageBreak/>
        <w:t>Vid kirurgisk åtgärd</w:t>
      </w:r>
    </w:p>
    <w:p w14:paraId="1FD04D8C" w14:textId="21CF9DCC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>Trombosprofylax startas preoperativt kvällen före operation med 5000 E, därefter enligt ovan, och bör vid större kirurgi pågå minst 7</w:t>
      </w:r>
      <w:r w:rsidR="00F61AA9">
        <w:rPr>
          <w:rFonts w:ascii="Calibri" w:hAnsi="Calibri" w:cs="Calibri"/>
          <w:szCs w:val="20"/>
        </w:rPr>
        <w:t xml:space="preserve"> </w:t>
      </w:r>
      <w:r w:rsidRPr="002E4E11">
        <w:rPr>
          <w:rFonts w:ascii="Calibri" w:hAnsi="Calibri" w:cs="Calibri"/>
          <w:szCs w:val="20"/>
        </w:rPr>
        <w:t>-</w:t>
      </w:r>
      <w:r w:rsidR="00F61AA9">
        <w:rPr>
          <w:rFonts w:ascii="Calibri" w:hAnsi="Calibri" w:cs="Calibri"/>
          <w:szCs w:val="20"/>
        </w:rPr>
        <w:t xml:space="preserve"> </w:t>
      </w:r>
      <w:r w:rsidRPr="002E4E11">
        <w:rPr>
          <w:rFonts w:ascii="Calibri" w:hAnsi="Calibri" w:cs="Calibri"/>
          <w:szCs w:val="20"/>
        </w:rPr>
        <w:t xml:space="preserve">10 dagar postoperativt. </w:t>
      </w:r>
    </w:p>
    <w:p w14:paraId="153BC1A3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</w:p>
    <w:p w14:paraId="45EA9D05" w14:textId="30CA7A8E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  <w:r w:rsidRPr="002E4E11">
        <w:rPr>
          <w:rFonts w:ascii="Calibri" w:hAnsi="Calibri" w:cs="Calibri"/>
          <w:szCs w:val="20"/>
        </w:rPr>
        <w:t>Förlängd trombosprofylax i 4 veckor postoperativt ges om det föreligger kvarvarande cancer eller annan riskfaktor utöver kirurgin för VTE, se ovan. Kompressionsstrumpor bör övervägas.</w:t>
      </w:r>
    </w:p>
    <w:p w14:paraId="5496A773" w14:textId="77777777" w:rsidR="00615C86" w:rsidRPr="002E4E11" w:rsidRDefault="00615C86" w:rsidP="00653E84">
      <w:pPr>
        <w:pStyle w:val="Rubrik3"/>
      </w:pPr>
      <w:r w:rsidRPr="002E4E11">
        <w:t>Vid behov av inneliggande vård av patient med gynekologisk cancer</w:t>
      </w:r>
    </w:p>
    <w:p w14:paraId="2B22C3C9" w14:textId="7A4D35C2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  <w:r w:rsidRPr="002E4E11">
        <w:rPr>
          <w:rFonts w:ascii="Calibri" w:hAnsi="Calibri" w:cs="Calibri"/>
          <w:szCs w:val="20"/>
        </w:rPr>
        <w:t>Trombosprofylax ges enligt ovan under vårdtiden p g a immobilisering.</w:t>
      </w:r>
    </w:p>
    <w:p w14:paraId="6FBDB5DB" w14:textId="77777777" w:rsidR="00615C86" w:rsidRPr="002E4E11" w:rsidRDefault="00615C86" w:rsidP="00653E84">
      <w:pPr>
        <w:pStyle w:val="Rubrik3"/>
      </w:pPr>
      <w:r w:rsidRPr="002E4E11">
        <w:t>Vid insättande av intravenös venkateter i väntan på primäroperation eller inför neoadjuvant cytostatika</w:t>
      </w:r>
    </w:p>
    <w:p w14:paraId="1C04A4A0" w14:textId="7E1A496F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 xml:space="preserve">Trombosprofylax ges enligt ovan och startas senast på operationsdagens kväll och bör pågå så länge en aktiv cancer eller en kombination av andra riskfaktorer för VTE föreligger. </w:t>
      </w:r>
    </w:p>
    <w:p w14:paraId="792C5468" w14:textId="77777777" w:rsidR="00615C86" w:rsidRPr="00F61AA9" w:rsidRDefault="00615C86" w:rsidP="00653E84">
      <w:pPr>
        <w:pStyle w:val="Rubrik3"/>
      </w:pPr>
      <w:r w:rsidRPr="00F61AA9">
        <w:t>Vid insättande av intravenös venkateter på övriga indikationer</w:t>
      </w:r>
    </w:p>
    <w:p w14:paraId="34AF0228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 xml:space="preserve">Trombosprofylax ges enligt ovan om flera riskfaktorer föreligger för VTE, individualiserad bedömning. </w:t>
      </w:r>
    </w:p>
    <w:bookmarkEnd w:id="0"/>
    <w:p w14:paraId="76B9F95B" w14:textId="24513497" w:rsidR="00536A5A" w:rsidRPr="002E4E11" w:rsidRDefault="00536A5A" w:rsidP="007660B7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2E4E11" w:rsidSect="00615C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7B0732" w14:textId="77777777" w:rsidR="009243C9" w:rsidRDefault="009243C9">
      <w:r>
        <w:separator/>
      </w:r>
    </w:p>
  </w:endnote>
  <w:endnote w:type="continuationSeparator" w:id="0">
    <w:p w14:paraId="6D4B8ADB" w14:textId="77777777" w:rsidR="009243C9" w:rsidRDefault="009243C9">
      <w:r>
        <w:continuationSeparator/>
      </w:r>
    </w:p>
  </w:endnote>
  <w:endnote w:type="continuationNotice" w:id="1">
    <w:p w14:paraId="4EC202BB" w14:textId="77777777" w:rsidR="009243C9" w:rsidRDefault="009243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8DF37" w14:textId="77777777" w:rsidR="009243C9" w:rsidRDefault="009243C9"/>
  </w:footnote>
  <w:footnote w:type="continuationSeparator" w:id="0">
    <w:p w14:paraId="1B4DF604" w14:textId="77777777" w:rsidR="009243C9" w:rsidRDefault="009243C9">
      <w:r>
        <w:continuationSeparator/>
      </w:r>
    </w:p>
  </w:footnote>
  <w:footnote w:type="continuationNotice" w:id="1">
    <w:p w14:paraId="71663B07" w14:textId="77777777" w:rsidR="009243C9" w:rsidRDefault="009243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F93F56"/>
    <w:multiLevelType w:val="hybridMultilevel"/>
    <w:tmpl w:val="CFDCAC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1182880">
    <w:abstractNumId w:val="18"/>
  </w:num>
  <w:num w:numId="2" w16cid:durableId="2052922739">
    <w:abstractNumId w:val="15"/>
  </w:num>
  <w:num w:numId="3" w16cid:durableId="1931620717">
    <w:abstractNumId w:val="0"/>
  </w:num>
  <w:num w:numId="4" w16cid:durableId="1782724420">
    <w:abstractNumId w:val="6"/>
  </w:num>
  <w:num w:numId="5" w16cid:durableId="641733078">
    <w:abstractNumId w:val="16"/>
  </w:num>
  <w:num w:numId="6" w16cid:durableId="1891266296">
    <w:abstractNumId w:val="2"/>
  </w:num>
  <w:num w:numId="7" w16cid:durableId="382801931">
    <w:abstractNumId w:val="12"/>
  </w:num>
  <w:num w:numId="8" w16cid:durableId="1925987273">
    <w:abstractNumId w:val="8"/>
  </w:num>
  <w:num w:numId="9" w16cid:durableId="1201429956">
    <w:abstractNumId w:val="1"/>
  </w:num>
  <w:num w:numId="10" w16cid:durableId="1715038748">
    <w:abstractNumId w:val="1"/>
  </w:num>
  <w:num w:numId="11" w16cid:durableId="1167018115">
    <w:abstractNumId w:val="3"/>
  </w:num>
  <w:num w:numId="12" w16cid:durableId="1441876260">
    <w:abstractNumId w:val="4"/>
  </w:num>
  <w:num w:numId="13" w16cid:durableId="1683127128">
    <w:abstractNumId w:val="14"/>
  </w:num>
  <w:num w:numId="14" w16cid:durableId="1726372567">
    <w:abstractNumId w:val="9"/>
  </w:num>
  <w:num w:numId="15" w16cid:durableId="135418375">
    <w:abstractNumId w:val="7"/>
  </w:num>
  <w:num w:numId="16" w16cid:durableId="1317492219">
    <w:abstractNumId w:val="13"/>
  </w:num>
  <w:num w:numId="17" w16cid:durableId="321200199">
    <w:abstractNumId w:val="5"/>
  </w:num>
  <w:num w:numId="18" w16cid:durableId="68315330">
    <w:abstractNumId w:val="11"/>
  </w:num>
  <w:num w:numId="19" w16cid:durableId="1925920090">
    <w:abstractNumId w:val="17"/>
  </w:num>
  <w:num w:numId="20" w16cid:durableId="2654327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96"/>
    <w:rsid w:val="002B0B30"/>
    <w:rsid w:val="002B0C78"/>
    <w:rsid w:val="002C0C02"/>
    <w:rsid w:val="002C1277"/>
    <w:rsid w:val="002C60AD"/>
    <w:rsid w:val="002D0E0E"/>
    <w:rsid w:val="002D6023"/>
    <w:rsid w:val="002E263F"/>
    <w:rsid w:val="002E4E1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C86"/>
    <w:rsid w:val="00617710"/>
    <w:rsid w:val="00617EE6"/>
    <w:rsid w:val="0062184C"/>
    <w:rsid w:val="00623724"/>
    <w:rsid w:val="00627BEA"/>
    <w:rsid w:val="006319DB"/>
    <w:rsid w:val="00653E8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0B7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3C9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3D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AA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248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gynekologisk cancer</dc:title>
  <dc:subject/>
  <dc:creator>patrik.jens.johansson@vgregion.se</dc:creator>
  <keywords/>
  <lastModifiedBy>Ewelyn Persson</lastModifiedBy>
  <revision>8</revision>
  <lastPrinted>2016-03-31T10:56:00.0000000Z</lastPrinted>
  <dcterms:created xsi:type="dcterms:W3CDTF">2022-05-13T03:40:00.0000000Z</dcterms:created>
  <dcterms:modified xsi:type="dcterms:W3CDTF">2024-03-01T10:14:00.0000000Z</dcterms:modified>
</coreProperties>
</file>