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3BC93" w14:textId="77777777" w:rsidR="00345A41" w:rsidRDefault="00345A41" w:rsidP="00F35B05">
      <w:pPr>
        <w:pStyle w:val="Rubrik2"/>
        <w:sectPr w:rsidR="00345A41" w:rsidSect="00345A4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2C2306" w14:textId="77777777" w:rsidR="00345A41" w:rsidRPr="00345A41" w:rsidRDefault="00345A41" w:rsidP="00345A41">
      <w:pPr>
        <w:spacing w:after="0" w:line="240" w:lineRule="auto"/>
        <w:ind w:left="0" w:right="0"/>
        <w:rPr>
          <w:szCs w:val="20"/>
        </w:rPr>
      </w:pPr>
    </w:p>
    <w:p w14:paraId="3648699C" w14:textId="77777777" w:rsidR="00345A41" w:rsidRPr="00345A41" w:rsidRDefault="00345A41" w:rsidP="00345A41">
      <w:pPr>
        <w:spacing w:after="0" w:line="240" w:lineRule="auto"/>
        <w:ind w:left="0" w:right="0"/>
        <w:rPr>
          <w:szCs w:val="20"/>
        </w:rPr>
      </w:pPr>
    </w:p>
    <w:p w14:paraId="3F17A65F" w14:textId="47600B96" w:rsidR="00345A41" w:rsidRPr="00345A41" w:rsidRDefault="006F5AEA" w:rsidP="008B61EC">
      <w:pPr>
        <w:pStyle w:val="Rubrik1"/>
        <w:spacing w:line="240" w:lineRule="auto"/>
        <w:rPr>
          <w:szCs w:val="20"/>
        </w:rPr>
      </w:pPr>
      <w:bookmarkStart w:id="1" w:name="_Toc192162363"/>
      <w:bookmarkStart w:id="2" w:name="_Toc192162618"/>
      <w:r>
        <w:t>Trombosprofylax under graviditet och postpartum vid ökad risk för venös trombo</w:t>
      </w:r>
      <w:r w:rsidR="00862EF6">
        <w:t>embolism (VTE)</w:t>
      </w:r>
      <w:bookmarkEnd w:id="1"/>
      <w:bookmarkEnd w:id="2"/>
    </w:p>
    <w:bookmarkStart w:id="3" w:name="Rubrik" w:displacedByCustomXml="next"/>
    <w:bookmarkEnd w:id="3" w:displacedByCustomXml="next"/>
    <w:bookmarkStart w:id="4" w:name="_1314629194" w:displacedByCustomXml="next"/>
    <w:bookmarkEnd w:id="4" w:displacedByCustomXml="next"/>
    <w:sdt>
      <w:sdtPr>
        <w:id w:val="-84847055"/>
        <w:docPartObj>
          <w:docPartGallery w:val="Table of Contents"/>
          <w:docPartUnique/>
        </w:docPartObj>
      </w:sdtPr>
      <w:sdtEndPr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</w:sdtEndPr>
      <w:sdtContent>
        <w:p w14:paraId="704FC923" w14:textId="0CD90A9F" w:rsidR="000947FF" w:rsidRDefault="000947FF">
          <w:pPr>
            <w:pStyle w:val="Innehllsfrteckningsrubrik"/>
          </w:pPr>
          <w:r>
            <w:t>Innehåll</w:t>
          </w:r>
        </w:p>
        <w:p w14:paraId="2510C927" w14:textId="651FEF1E" w:rsidR="002112D5" w:rsidRPr="002112D5" w:rsidRDefault="000947FF" w:rsidP="002112D5">
          <w:pPr>
            <w:pStyle w:val="Innehll1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2162619" w:history="1">
            <w:r w:rsidR="002112D5" w:rsidRPr="002112D5">
              <w:rPr>
                <w:rStyle w:val="Hyperlnk"/>
                <w:rFonts w:ascii="Calibri" w:eastAsia="MS Gothic" w:hAnsi="Calibri" w:cs="Calibri"/>
                <w:noProof/>
              </w:rPr>
              <w:t>Revidering i denna version</w:t>
            </w:r>
            <w:r w:rsidR="002112D5" w:rsidRPr="002112D5">
              <w:rPr>
                <w:rFonts w:ascii="Calibri" w:hAnsi="Calibri" w:cs="Calibri"/>
                <w:noProof/>
                <w:webHidden/>
              </w:rPr>
              <w:tab/>
            </w:r>
            <w:r w:rsidR="002112D5"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2112D5" w:rsidRPr="002112D5">
              <w:rPr>
                <w:rFonts w:ascii="Calibri" w:hAnsi="Calibri" w:cs="Calibri"/>
                <w:noProof/>
                <w:webHidden/>
              </w:rPr>
              <w:instrText xml:space="preserve"> PAGEREF _Toc192162619 \h </w:instrText>
            </w:r>
            <w:r w:rsidR="002112D5" w:rsidRPr="002112D5">
              <w:rPr>
                <w:rFonts w:ascii="Calibri" w:hAnsi="Calibri" w:cs="Calibri"/>
                <w:noProof/>
                <w:webHidden/>
              </w:rPr>
            </w:r>
            <w:r w:rsidR="002112D5"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2</w:t>
            </w:r>
            <w:r w:rsidR="002112D5"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001AC5F" w14:textId="53A902AB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20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Bakgrund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_Toc192162620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2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B3E6BC4" w14:textId="23E663AD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21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Sammanfattning/syfte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_Toc192162621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2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4B8FAF9" w14:textId="5C14EC32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22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Trombofiliutredning under graviditet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_Toc192162622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2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780E1D9" w14:textId="4C99D476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23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Kompressionsstrumpor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_Toc192162623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2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6650EEF" w14:textId="606745AA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24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Indikation för farmakologisk trombosprofylax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_Toc192162624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2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DFABD25" w14:textId="15872F4E" w:rsidR="002112D5" w:rsidRPr="002112D5" w:rsidRDefault="002112D5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25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Tabell 1. Riskfaktorer för VTE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_Toc192162625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3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736F183" w14:textId="5848D2F5" w:rsidR="002112D5" w:rsidRPr="002112D5" w:rsidRDefault="002112D5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26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Tabell 2. Riskpoäng med utgångspunkt från summan av patientens riskpoäng enligt tabell 1 samt åtgärder.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_Toc192162626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4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1DBE37D" w14:textId="1A71DA62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27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Normaldosprofylax LMH under graviditet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_Toc192162627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5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BB31564" w14:textId="7F2FCDB9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28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Högdosprofylax LMH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_Toc192162628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5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0487525" w14:textId="1DBA7DD8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29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Övergång från Waran till LMH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_Toc192162629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6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6C2E1C8" w14:textId="746F4036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30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Blödningskomplikation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_Toc192162630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6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D5CB196" w14:textId="60128E08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31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Heparininducerad trombocytopeni (HIT)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_Toc192162631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6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815B1F7" w14:textId="1CDA185E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32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Allergi mot LMH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_Toc192162632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6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3592ED8" w14:textId="7FF870D0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33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Tromboser postpartum, allmänt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_Toc192162633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6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F66CD58" w14:textId="7B52573A" w:rsidR="002112D5" w:rsidRPr="002112D5" w:rsidRDefault="002112D5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2162634" w:history="1">
            <w:r w:rsidRPr="002112D5">
              <w:rPr>
                <w:rStyle w:val="Hyperlnk"/>
                <w:rFonts w:ascii="Calibri" w:eastAsia="MS Gothic" w:hAnsi="Calibri" w:cs="Calibri"/>
                <w:noProof/>
              </w:rPr>
              <w:t>Källor</w:t>
            </w:r>
            <w:r w:rsidRPr="002112D5">
              <w:rPr>
                <w:rFonts w:ascii="Calibri" w:hAnsi="Calibri" w:cs="Calibri"/>
                <w:noProof/>
                <w:webHidden/>
              </w:rPr>
              <w:tab/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112D5">
              <w:rPr>
                <w:rFonts w:ascii="Calibri" w:hAnsi="Calibri" w:cs="Calibri"/>
                <w:noProof/>
                <w:webHidden/>
              </w:rPr>
              <w:instrText xml:space="preserve"> PAGEREF _Toc192162634 \h </w:instrText>
            </w:r>
            <w:r w:rsidRPr="002112D5">
              <w:rPr>
                <w:rFonts w:ascii="Calibri" w:hAnsi="Calibri" w:cs="Calibri"/>
                <w:noProof/>
                <w:webHidden/>
              </w:rPr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512D0E">
              <w:rPr>
                <w:rFonts w:ascii="Calibri" w:hAnsi="Calibri" w:cs="Calibri"/>
                <w:noProof/>
                <w:webHidden/>
              </w:rPr>
              <w:t>6</w:t>
            </w:r>
            <w:r w:rsidRPr="002112D5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FE436CE" w14:textId="75E05745" w:rsidR="000947FF" w:rsidRDefault="000947FF">
          <w:r>
            <w:rPr>
              <w:b/>
              <w:bCs/>
            </w:rPr>
            <w:fldChar w:fldCharType="end"/>
          </w:r>
        </w:p>
      </w:sdtContent>
    </w:sdt>
    <w:p w14:paraId="60BF0861" w14:textId="4803CFBE" w:rsidR="00345A41" w:rsidRPr="00345A41" w:rsidRDefault="00345A41" w:rsidP="006B6A4F">
      <w:pPr>
        <w:pStyle w:val="Rubrik3"/>
      </w:pPr>
      <w:bookmarkStart w:id="5" w:name="_Toc192162619"/>
      <w:r w:rsidRPr="00345A41">
        <w:lastRenderedPageBreak/>
        <w:t>Revidering i denna version</w:t>
      </w:r>
      <w:bookmarkEnd w:id="5"/>
    </w:p>
    <w:p w14:paraId="1BB15C17" w14:textId="35628C74" w:rsidR="00345A41" w:rsidRPr="006B6A4F" w:rsidRDefault="00345A41" w:rsidP="00862EF6">
      <w:pPr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</w:rPr>
        <w:t>I</w:t>
      </w:r>
      <w:r w:rsidR="008E0D3A">
        <w:rPr>
          <w:rFonts w:ascii="Calibri" w:hAnsi="Calibri" w:cs="Calibri"/>
        </w:rPr>
        <w:t>nga ändringar i denna version.</w:t>
      </w:r>
    </w:p>
    <w:p w14:paraId="7E269294" w14:textId="77777777" w:rsidR="00345A41" w:rsidRPr="006B6A4F" w:rsidRDefault="00345A41" w:rsidP="00931CCA">
      <w:pPr>
        <w:pStyle w:val="Rubrik2"/>
      </w:pPr>
      <w:bookmarkStart w:id="6" w:name="_Toc192162620"/>
      <w:r w:rsidRPr="006B6A4F">
        <w:t>Bakgrund</w:t>
      </w:r>
      <w:bookmarkEnd w:id="6"/>
      <w:r w:rsidRPr="006B6A4F">
        <w:t xml:space="preserve"> </w:t>
      </w:r>
    </w:p>
    <w:p w14:paraId="28D228C2" w14:textId="77777777" w:rsidR="00345A41" w:rsidRPr="006B6A4F" w:rsidRDefault="00345A41" w:rsidP="00862EF6">
      <w:pPr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</w:rPr>
        <w:t xml:space="preserve">Ökad risk för VTE under graviditet och postpartum gör att trombosprofylax behöver övervägas för varje patient. </w:t>
      </w:r>
    </w:p>
    <w:p w14:paraId="21727105" w14:textId="77777777" w:rsidR="00345A41" w:rsidRPr="006B6A4F" w:rsidRDefault="00345A41" w:rsidP="00931CCA">
      <w:pPr>
        <w:pStyle w:val="Rubrik2"/>
      </w:pPr>
      <w:bookmarkStart w:id="7" w:name="_Toc192162621"/>
      <w:r w:rsidRPr="006B6A4F">
        <w:t>Sammanfattning/syfte</w:t>
      </w:r>
      <w:bookmarkEnd w:id="7"/>
    </w:p>
    <w:p w14:paraId="3E669ECA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  <w:r w:rsidRPr="006B6A4F">
        <w:rPr>
          <w:rFonts w:ascii="Calibri" w:hAnsi="Calibri" w:cs="Calibri"/>
          <w:bCs/>
          <w:color w:val="000000"/>
        </w:rPr>
        <w:t>Trombofiliutredning under graviditet.</w:t>
      </w:r>
    </w:p>
    <w:p w14:paraId="01EE0044" w14:textId="77777777" w:rsidR="00345A41" w:rsidRPr="006B6A4F" w:rsidRDefault="00345A41" w:rsidP="00395345">
      <w:pPr>
        <w:pStyle w:val="Rubrik2"/>
      </w:pPr>
      <w:bookmarkStart w:id="8" w:name="_Toc192162622"/>
      <w:r w:rsidRPr="006B6A4F">
        <w:t>Trombofiliutredning under graviditet</w:t>
      </w:r>
      <w:bookmarkEnd w:id="8"/>
    </w:p>
    <w:p w14:paraId="228CD798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bCs/>
          <w:color w:val="000000"/>
        </w:rPr>
      </w:pPr>
      <w:r w:rsidRPr="006B6A4F">
        <w:rPr>
          <w:rFonts w:ascii="Calibri" w:hAnsi="Calibri" w:cs="Calibri"/>
          <w:bCs/>
          <w:color w:val="000000"/>
        </w:rPr>
        <w:t>Utredning görs om patienten tidigare haft VTE eller vid hereditet för VTE hos förstagradssläkting med VTE oavsett ålder eller flera andra andragradssläktingar med VTE före 60 års ålder.</w:t>
      </w:r>
    </w:p>
    <w:p w14:paraId="1037B71C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bCs/>
          <w:color w:val="000000"/>
        </w:rPr>
      </w:pPr>
    </w:p>
    <w:p w14:paraId="447877A7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bCs/>
          <w:color w:val="000000"/>
        </w:rPr>
      </w:pPr>
      <w:r w:rsidRPr="006B6A4F">
        <w:rPr>
          <w:rFonts w:ascii="Calibri" w:hAnsi="Calibri" w:cs="Calibri"/>
          <w:bCs/>
          <w:color w:val="000000"/>
        </w:rPr>
        <w:t>Utredning: Antitrombin, protein C, protein S, APC-resistens (faktor V Leiden mutation), faktor II genotyp (protrombingenmutation). Utredning görs bara en gång.</w:t>
      </w:r>
    </w:p>
    <w:p w14:paraId="5C930A46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  <w:r w:rsidRPr="006B6A4F">
        <w:rPr>
          <w:rFonts w:ascii="Calibri" w:hAnsi="Calibri" w:cs="Calibri"/>
          <w:bCs/>
          <w:color w:val="000000"/>
        </w:rPr>
        <w:t>Om patienten haft VTE kompletteras med APTT, lupus antikoagulans och kardiolipin-/</w:t>
      </w:r>
      <w:r w:rsidRPr="006B6A4F">
        <w:rPr>
          <w:rFonts w:ascii="Calibri" w:hAnsi="Calibri" w:cs="Calibri"/>
          <w:color w:val="000000"/>
        </w:rPr>
        <w:sym w:font="Symbol" w:char="F062"/>
      </w:r>
      <w:r w:rsidRPr="006B6A4F">
        <w:rPr>
          <w:rFonts w:ascii="Calibri" w:hAnsi="Calibri" w:cs="Calibri"/>
          <w:color w:val="000000"/>
        </w:rPr>
        <w:t>2-glykoprotein-I-antikroppar.</w:t>
      </w:r>
    </w:p>
    <w:p w14:paraId="0FFDF9A6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</w:p>
    <w:p w14:paraId="1D5EFD18" w14:textId="54154072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  <w:r w:rsidRPr="006B6A4F">
        <w:rPr>
          <w:rFonts w:ascii="Calibri" w:hAnsi="Calibri" w:cs="Calibri"/>
          <w:b/>
          <w:color w:val="000000"/>
        </w:rPr>
        <w:t>OBS</w:t>
      </w:r>
      <w:r w:rsidRPr="006B6A4F">
        <w:rPr>
          <w:rFonts w:ascii="Calibri" w:hAnsi="Calibri" w:cs="Calibri"/>
          <w:color w:val="000000"/>
        </w:rPr>
        <w:t xml:space="preserve"> Vid brist på protein C eller protein S kontrolleras barnafaderns halt. Vid brist hos båda föräldrarna kontaktas Koagulationscentrum, Sahlgrenska sjukhuset/SU. Om barnet får anlaget i dubbel form är risken stor för fulminant tromboembolism redan i nyföddhetsperioden om ingen behandling ges.</w:t>
      </w:r>
    </w:p>
    <w:p w14:paraId="513D92F6" w14:textId="77777777" w:rsidR="00345A41" w:rsidRPr="006B6A4F" w:rsidRDefault="00345A41" w:rsidP="00395345">
      <w:pPr>
        <w:pStyle w:val="Rubrik2"/>
      </w:pPr>
      <w:bookmarkStart w:id="9" w:name="_Toc192162623"/>
      <w:r w:rsidRPr="006B6A4F">
        <w:t>Kompressionsstrumpor</w:t>
      </w:r>
      <w:bookmarkEnd w:id="9"/>
    </w:p>
    <w:p w14:paraId="423BC7E0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  <w:r w:rsidRPr="006B6A4F">
        <w:rPr>
          <w:rFonts w:ascii="Calibri" w:hAnsi="Calibri" w:cs="Calibri"/>
          <w:color w:val="000000"/>
        </w:rPr>
        <w:t>Alla gravida med ökad risk rekommenderas strumpor, klass I från tidig graviditet till och med 12 veckor postpartum.</w:t>
      </w:r>
    </w:p>
    <w:p w14:paraId="0A6FB46B" w14:textId="77777777" w:rsidR="00345A41" w:rsidRPr="006B6A4F" w:rsidRDefault="00345A41" w:rsidP="00395345">
      <w:pPr>
        <w:pStyle w:val="Rubrik2"/>
      </w:pPr>
      <w:bookmarkStart w:id="10" w:name="_Toc192162624"/>
      <w:r w:rsidRPr="006B6A4F">
        <w:t>Indikation för farmakologisk trombosprofylax</w:t>
      </w:r>
      <w:bookmarkEnd w:id="10"/>
      <w:r w:rsidRPr="006B6A4F">
        <w:t xml:space="preserve"> </w:t>
      </w:r>
    </w:p>
    <w:p w14:paraId="7A6930C1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  <w:r w:rsidRPr="006B6A4F">
        <w:rPr>
          <w:rFonts w:ascii="Calibri" w:hAnsi="Calibri" w:cs="Calibri"/>
          <w:b/>
          <w:bCs/>
          <w:color w:val="000000"/>
        </w:rPr>
        <w:t>Riskbedömning</w:t>
      </w:r>
      <w:r w:rsidRPr="006B6A4F">
        <w:rPr>
          <w:rFonts w:ascii="Calibri" w:hAnsi="Calibri" w:cs="Calibri"/>
          <w:bCs/>
          <w:color w:val="000000"/>
        </w:rPr>
        <w:t xml:space="preserve"> av</w:t>
      </w:r>
      <w:r w:rsidRPr="006B6A4F">
        <w:rPr>
          <w:rFonts w:ascii="Calibri" w:hAnsi="Calibri" w:cs="Calibri"/>
          <w:color w:val="000000"/>
        </w:rPr>
        <w:t xml:space="preserve"> tillstånd med ökad risk </w:t>
      </w:r>
      <w:r w:rsidRPr="006B6A4F">
        <w:rPr>
          <w:rFonts w:ascii="Calibri" w:hAnsi="Calibri" w:cs="Calibri"/>
          <w:b/>
          <w:bCs/>
          <w:color w:val="000000"/>
        </w:rPr>
        <w:t>för insjuknande i VTE</w:t>
      </w:r>
      <w:r w:rsidRPr="006B6A4F">
        <w:rPr>
          <w:rFonts w:ascii="Calibri" w:hAnsi="Calibri" w:cs="Calibri"/>
          <w:color w:val="000000"/>
        </w:rPr>
        <w:t xml:space="preserve"> under graviditet och puerperium görs enligt tabell 1. 1 poäng motsvarar en femfaldigt ökad risk, 2 poäng 25-faldig ökning etc. </w:t>
      </w:r>
    </w:p>
    <w:p w14:paraId="30804BAF" w14:textId="1656E669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  <w:r w:rsidRPr="006B6A4F">
        <w:rPr>
          <w:rFonts w:ascii="Calibri" w:hAnsi="Calibri" w:cs="Calibri"/>
          <w:color w:val="000000"/>
        </w:rPr>
        <w:br/>
        <w:t>Summan av riskpoäng används för att bestämma indikation för och duration av trombosprofylax. Med ”utan VTE” avses att patienten inte haft egen VTE.</w:t>
      </w:r>
    </w:p>
    <w:p w14:paraId="44E43DE2" w14:textId="643ABAF2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  <w:r w:rsidRPr="006B6A4F">
        <w:rPr>
          <w:rFonts w:ascii="Calibri" w:hAnsi="Calibri" w:cs="Calibri"/>
          <w:color w:val="000000"/>
        </w:rPr>
        <w:t xml:space="preserve">OBS Sectio, elektivt eller akut, får alltid 7 dagars profylax, även vid </w:t>
      </w:r>
      <w:r w:rsidRPr="006B6A4F">
        <w:rPr>
          <w:rFonts w:ascii="Calibri" w:hAnsi="Calibri" w:cs="Calibri"/>
          <w:color w:val="000000"/>
        </w:rPr>
        <w:br/>
        <w:t xml:space="preserve">1 poäng. För eventuellt 6 veckor räkna poäng enligt tabell. </w:t>
      </w:r>
    </w:p>
    <w:p w14:paraId="05AA2E10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b/>
          <w:bCs/>
          <w:color w:val="000000"/>
        </w:rPr>
      </w:pPr>
    </w:p>
    <w:p w14:paraId="3063505E" w14:textId="77777777" w:rsidR="0014736B" w:rsidRDefault="0014736B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lastRenderedPageBreak/>
        <w:br w:type="page"/>
      </w:r>
    </w:p>
    <w:p w14:paraId="15FDD121" w14:textId="686972BB" w:rsidR="00345A41" w:rsidRPr="006B6A4F" w:rsidRDefault="00345A41" w:rsidP="005F12D5">
      <w:pPr>
        <w:pStyle w:val="Rubrik3"/>
        <w:rPr>
          <w:rFonts w:ascii="Calibri" w:hAnsi="Calibri" w:cs="Calibri"/>
          <w:color w:val="000000"/>
          <w:sz w:val="24"/>
        </w:rPr>
      </w:pPr>
      <w:bookmarkStart w:id="11" w:name="_Toc192162625"/>
      <w:r w:rsidRPr="006B6A4F">
        <w:t>Tabell 1. Riskfaktorer för VTE</w:t>
      </w:r>
      <w:bookmarkEnd w:id="11"/>
      <w:r w:rsidRPr="006B6A4F">
        <w:t xml:space="preserve"> </w:t>
      </w:r>
    </w:p>
    <w:tbl>
      <w:tblPr>
        <w:tblW w:w="6151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02"/>
        <w:gridCol w:w="1908"/>
        <w:gridCol w:w="2602"/>
        <w:gridCol w:w="1020"/>
        <w:gridCol w:w="2841"/>
      </w:tblGrid>
      <w:tr w:rsidR="00345A41" w:rsidRPr="006B6A4F" w14:paraId="09DF9DFC" w14:textId="77777777" w:rsidTr="008B61EC">
        <w:tc>
          <w:tcPr>
            <w:tcW w:w="1186" w:type="pct"/>
          </w:tcPr>
          <w:p w14:paraId="269E6544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  <w:r w:rsidRPr="006B6A4F">
              <w:rPr>
                <w:rFonts w:ascii="Calibri" w:hAnsi="Calibri" w:cs="Calibri"/>
                <w:b/>
                <w:bCs/>
                <w:color w:val="000000"/>
              </w:rPr>
              <w:t>1 poäng</w:t>
            </w:r>
          </w:p>
          <w:p w14:paraId="259FA178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</w:p>
          <w:p w14:paraId="7802422C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869" w:type="pct"/>
          </w:tcPr>
          <w:p w14:paraId="78A476D3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  <w:r w:rsidRPr="006B6A4F">
              <w:rPr>
                <w:rFonts w:ascii="Calibri" w:hAnsi="Calibri" w:cs="Calibri"/>
                <w:b/>
                <w:bCs/>
                <w:color w:val="000000"/>
              </w:rPr>
              <w:t>2 poäng</w:t>
            </w:r>
          </w:p>
          <w:p w14:paraId="46B41F23" w14:textId="2EC5FA7E" w:rsidR="00345A41" w:rsidRPr="006B6A4F" w:rsidRDefault="00345A41" w:rsidP="007556F9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  <w:r w:rsidRPr="006B6A4F">
              <w:rPr>
                <w:rFonts w:ascii="Calibri" w:hAnsi="Calibri" w:cs="Calibri"/>
                <w:b/>
                <w:bCs/>
                <w:color w:val="000000"/>
              </w:rPr>
              <w:t>Måttligt ökad risk</w:t>
            </w:r>
          </w:p>
        </w:tc>
        <w:tc>
          <w:tcPr>
            <w:tcW w:w="1186" w:type="pct"/>
          </w:tcPr>
          <w:p w14:paraId="40BC3AF0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  <w:r w:rsidRPr="006B6A4F">
              <w:rPr>
                <w:rFonts w:ascii="Calibri" w:hAnsi="Calibri" w:cs="Calibri"/>
                <w:b/>
                <w:bCs/>
                <w:color w:val="000000"/>
              </w:rPr>
              <w:t>3 poäng</w:t>
            </w:r>
          </w:p>
          <w:p w14:paraId="102DE01C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  <w:r w:rsidRPr="006B6A4F">
              <w:rPr>
                <w:rFonts w:ascii="Calibri" w:hAnsi="Calibri" w:cs="Calibri"/>
                <w:b/>
                <w:bCs/>
                <w:color w:val="000000"/>
              </w:rPr>
              <w:t>Måttligt ökad risk</w:t>
            </w:r>
          </w:p>
        </w:tc>
        <w:tc>
          <w:tcPr>
            <w:tcW w:w="465" w:type="pct"/>
          </w:tcPr>
          <w:p w14:paraId="22F6D6A3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4</w:t>
            </w:r>
            <w:r w:rsidRPr="006B6A4F">
              <w:rPr>
                <w:rFonts w:ascii="Calibri" w:hAnsi="Calibri" w:cs="Calibri"/>
                <w:b/>
                <w:bCs/>
                <w:color w:val="000000"/>
              </w:rPr>
              <w:t xml:space="preserve"> poäng</w:t>
            </w:r>
          </w:p>
          <w:p w14:paraId="7294EAD4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b/>
                <w:bCs/>
                <w:color w:val="000000"/>
              </w:rPr>
              <w:t>Hög risk</w:t>
            </w:r>
          </w:p>
        </w:tc>
        <w:tc>
          <w:tcPr>
            <w:tcW w:w="1295" w:type="pct"/>
          </w:tcPr>
          <w:p w14:paraId="18BE1523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b/>
                <w:bCs/>
                <w:color w:val="000000"/>
              </w:rPr>
              <w:t>Specialtillstånd</w:t>
            </w:r>
          </w:p>
          <w:p w14:paraId="4F3D9DE8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color w:val="000000"/>
              </w:rPr>
            </w:pPr>
          </w:p>
        </w:tc>
      </w:tr>
      <w:tr w:rsidR="00345A41" w:rsidRPr="006B6A4F" w14:paraId="08596831" w14:textId="77777777" w:rsidTr="008B61EC">
        <w:tc>
          <w:tcPr>
            <w:tcW w:w="1186" w:type="pct"/>
          </w:tcPr>
          <w:p w14:paraId="62BC71B6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6B6A4F">
              <w:rPr>
                <w:rFonts w:ascii="Calibri" w:hAnsi="Calibri" w:cs="Calibri"/>
              </w:rPr>
              <w:t>Elektivt sectio</w:t>
            </w:r>
          </w:p>
          <w:p w14:paraId="7263308D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624A7E77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Heterozygot APC-resistens </w:t>
            </w:r>
          </w:p>
          <w:p w14:paraId="5EE29523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utan</w:t>
            </w:r>
            <w:r w:rsidRPr="006B6A4F">
              <w:rPr>
                <w:rFonts w:ascii="Calibri" w:hAnsi="Calibri" w:cs="Calibri"/>
                <w:color w:val="000000"/>
              </w:rPr>
              <w:t xml:space="preserve"> VTE</w:t>
            </w:r>
          </w:p>
          <w:p w14:paraId="35804DDC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1637CB37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Heterozygot</w:t>
            </w:r>
          </w:p>
          <w:p w14:paraId="757BABBC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protrombingenmutation</w:t>
            </w:r>
          </w:p>
          <w:p w14:paraId="24783253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utan</w:t>
            </w:r>
            <w:r w:rsidRPr="006B6A4F">
              <w:rPr>
                <w:rFonts w:ascii="Calibri" w:hAnsi="Calibri" w:cs="Calibri"/>
                <w:color w:val="000000"/>
              </w:rPr>
              <w:t xml:space="preserve"> VTE.</w:t>
            </w:r>
          </w:p>
          <w:p w14:paraId="322F6AB4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601D38FB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i/>
                <w:iCs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Hereditet för VTE: </w:t>
            </w:r>
            <w:r w:rsidRPr="006B6A4F">
              <w:rPr>
                <w:rFonts w:ascii="Calibri" w:hAnsi="Calibri" w:cs="Calibri"/>
                <w:i/>
                <w:iCs/>
                <w:color w:val="000000"/>
              </w:rPr>
              <w:t xml:space="preserve"> def enl ovan</w:t>
            </w:r>
          </w:p>
          <w:p w14:paraId="5C1FDADC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i/>
                <w:iCs/>
                <w:color w:val="000000"/>
              </w:rPr>
            </w:pPr>
          </w:p>
          <w:p w14:paraId="4D1C166B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BMI &gt; 28 vid inskrivning***       </w:t>
            </w:r>
          </w:p>
          <w:p w14:paraId="4994E14F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6F9476C0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Ålder &gt; 40 år </w:t>
            </w:r>
          </w:p>
          <w:p w14:paraId="2D9CA8E6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6E0850D9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Svår preeklampsi</w:t>
            </w:r>
          </w:p>
          <w:p w14:paraId="5012981B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/eklampsi*****</w:t>
            </w:r>
          </w:p>
          <w:p w14:paraId="746226A3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74712B74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Ablatio placentae</w:t>
            </w:r>
          </w:p>
          <w:p w14:paraId="349D053D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06DED7FF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Inflammatorisk tarm-</w:t>
            </w:r>
          </w:p>
          <w:p w14:paraId="2E10F527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sjukdom </w:t>
            </w:r>
          </w:p>
          <w:p w14:paraId="5B99B6C1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5CE941FA" w14:textId="6946AEF8" w:rsidR="00345A41" w:rsidRPr="006B6A4F" w:rsidRDefault="00345A41" w:rsidP="00FE6DC5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Annan riskfaktor som tas hänsyn till*</w:t>
            </w:r>
          </w:p>
        </w:tc>
        <w:tc>
          <w:tcPr>
            <w:tcW w:w="869" w:type="pct"/>
          </w:tcPr>
          <w:p w14:paraId="7B94F4C6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Akut sectio</w:t>
            </w:r>
          </w:p>
          <w:p w14:paraId="1C7F51C8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5B713740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Protein S-brist</w:t>
            </w:r>
          </w:p>
          <w:p w14:paraId="21618B09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utan</w:t>
            </w:r>
            <w:r w:rsidRPr="006B6A4F">
              <w:rPr>
                <w:rFonts w:ascii="Calibri" w:hAnsi="Calibri" w:cs="Calibri"/>
                <w:color w:val="000000"/>
              </w:rPr>
              <w:t xml:space="preserve"> VTE</w:t>
            </w:r>
          </w:p>
          <w:p w14:paraId="361FAA9E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77E13AC6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Protein C-brist</w:t>
            </w:r>
          </w:p>
          <w:p w14:paraId="1698B3CB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utan</w:t>
            </w:r>
            <w:r w:rsidRPr="006B6A4F">
              <w:rPr>
                <w:rFonts w:ascii="Calibri" w:hAnsi="Calibri" w:cs="Calibri"/>
                <w:color w:val="000000"/>
              </w:rPr>
              <w:t xml:space="preserve"> VTE</w:t>
            </w:r>
          </w:p>
          <w:p w14:paraId="7B3641F1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6B8CBA87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Immobilisering**</w:t>
            </w:r>
          </w:p>
          <w:p w14:paraId="10DCB02D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FF0000"/>
              </w:rPr>
            </w:pPr>
          </w:p>
          <w:p w14:paraId="7D5F6DCF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Aktuell vikt &gt; 120 kg***</w:t>
            </w:r>
          </w:p>
          <w:p w14:paraId="510498A2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86" w:type="pct"/>
          </w:tcPr>
          <w:p w14:paraId="38605133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Homozygot APC-resistens </w:t>
            </w:r>
            <w:r w:rsidRPr="006B6A4F">
              <w:rPr>
                <w:rFonts w:ascii="Calibri" w:hAnsi="Calibri" w:cs="Calibri"/>
                <w:b/>
                <w:color w:val="000000"/>
              </w:rPr>
              <w:t xml:space="preserve">utan </w:t>
            </w:r>
            <w:r w:rsidRPr="006B6A4F">
              <w:rPr>
                <w:rFonts w:ascii="Calibri" w:hAnsi="Calibri" w:cs="Calibri"/>
                <w:color w:val="000000"/>
              </w:rPr>
              <w:t>VTE</w:t>
            </w:r>
          </w:p>
          <w:p w14:paraId="6217DCE7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48827FC8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Homozygot protrombingenmutation </w:t>
            </w:r>
          </w:p>
          <w:p w14:paraId="516CEAC8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 xml:space="preserve">utan </w:t>
            </w:r>
            <w:r w:rsidRPr="006B6A4F">
              <w:rPr>
                <w:rFonts w:ascii="Calibri" w:hAnsi="Calibri" w:cs="Calibri"/>
                <w:color w:val="000000"/>
              </w:rPr>
              <w:t>VTE</w:t>
            </w:r>
          </w:p>
          <w:p w14:paraId="5A77CD4D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410BEA39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Dubbeltrombofili </w:t>
            </w:r>
          </w:p>
          <w:p w14:paraId="01257217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bCs/>
                <w:color w:val="000000"/>
              </w:rPr>
              <w:t>utan</w:t>
            </w:r>
            <w:r w:rsidRPr="006B6A4F">
              <w:rPr>
                <w:rFonts w:ascii="Calibri" w:hAnsi="Calibri" w:cs="Calibri"/>
                <w:color w:val="000000"/>
              </w:rPr>
              <w:t xml:space="preserve"> VTE</w:t>
            </w:r>
          </w:p>
          <w:p w14:paraId="1496869E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6DB71FF5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65" w:type="pct"/>
          </w:tcPr>
          <w:p w14:paraId="2551E710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Tidigare VTE</w:t>
            </w:r>
          </w:p>
          <w:p w14:paraId="521A2601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5030E25B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95" w:type="pct"/>
          </w:tcPr>
          <w:p w14:paraId="7E68AFC5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Antikoagulantiabehandling</w:t>
            </w:r>
          </w:p>
          <w:p w14:paraId="112C1C4B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omedelbart </w:t>
            </w:r>
            <w:r w:rsidRPr="006B6A4F">
              <w:rPr>
                <w:rFonts w:ascii="Calibri" w:hAnsi="Calibri" w:cs="Calibri"/>
                <w:b/>
                <w:color w:val="000000"/>
              </w:rPr>
              <w:t>före</w:t>
            </w:r>
            <w:r w:rsidRPr="006B6A4F">
              <w:rPr>
                <w:rFonts w:ascii="Calibri" w:hAnsi="Calibri" w:cs="Calibri"/>
                <w:color w:val="000000"/>
              </w:rPr>
              <w:t xml:space="preserve"> aktuell graviditet</w:t>
            </w:r>
          </w:p>
          <w:p w14:paraId="6446294F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72ABA126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Lupus antikoagulans****</w:t>
            </w:r>
          </w:p>
          <w:p w14:paraId="3D522CC2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148BF55B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Kardiolipin</w:t>
            </w:r>
          </w:p>
          <w:p w14:paraId="58506698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/</w:t>
            </w:r>
            <w:r w:rsidRPr="006B6A4F">
              <w:rPr>
                <w:rFonts w:ascii="Calibri" w:hAnsi="Calibri" w:cs="Calibri"/>
                <w:color w:val="000000"/>
              </w:rPr>
              <w:sym w:font="Symbol" w:char="F062"/>
            </w:r>
            <w:r w:rsidRPr="006B6A4F">
              <w:rPr>
                <w:rFonts w:ascii="Calibri" w:hAnsi="Calibri" w:cs="Calibri"/>
                <w:color w:val="000000"/>
              </w:rPr>
              <w:t>2-glykoprotein-1-ak</w:t>
            </w:r>
            <w:r w:rsidRPr="006B6A4F">
              <w:rPr>
                <w:rFonts w:ascii="Calibri" w:hAnsi="Calibri" w:cs="Calibri"/>
                <w:b/>
                <w:color w:val="000000"/>
              </w:rPr>
              <w:t>****</w:t>
            </w:r>
          </w:p>
          <w:p w14:paraId="1F7CBA73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color w:val="000000"/>
              </w:rPr>
            </w:pPr>
          </w:p>
          <w:p w14:paraId="0F099078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Antitrombinbrist, hereditär</w:t>
            </w:r>
          </w:p>
          <w:p w14:paraId="7CF7F207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4F0CFDB7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Dubbeltrombofili </w:t>
            </w:r>
            <w:r w:rsidRPr="006B6A4F">
              <w:rPr>
                <w:rFonts w:ascii="Calibri" w:hAnsi="Calibri" w:cs="Calibri"/>
                <w:b/>
                <w:color w:val="000000"/>
              </w:rPr>
              <w:t xml:space="preserve">med </w:t>
            </w:r>
            <w:r w:rsidRPr="006B6A4F">
              <w:rPr>
                <w:rFonts w:ascii="Calibri" w:hAnsi="Calibri" w:cs="Calibri"/>
                <w:color w:val="000000"/>
              </w:rPr>
              <w:t>VTE</w:t>
            </w:r>
          </w:p>
          <w:p w14:paraId="406E2308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5C42C3AB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Upprepade VTE</w:t>
            </w:r>
          </w:p>
        </w:tc>
      </w:tr>
    </w:tbl>
    <w:p w14:paraId="68FED6F2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  <w:r w:rsidRPr="006B6A4F">
        <w:rPr>
          <w:rFonts w:ascii="Calibri" w:hAnsi="Calibri" w:cs="Calibri"/>
          <w:color w:val="000000"/>
        </w:rPr>
        <w:t xml:space="preserve"> * = annan riskfaktor för VTE, exv postpartum endometrit, stor blödning, transfusionskrävande blödning med Hb &lt;100, förvärvad antitrombinbrist, albumin &lt;20.</w:t>
      </w:r>
    </w:p>
    <w:p w14:paraId="1388F622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  <w:r w:rsidRPr="006B6A4F">
        <w:rPr>
          <w:rFonts w:ascii="Calibri" w:hAnsi="Calibri" w:cs="Calibri"/>
          <w:color w:val="000000"/>
        </w:rPr>
        <w:t xml:space="preserve">** = ex. bengips eller strikt sängläge </w:t>
      </w:r>
    </w:p>
    <w:p w14:paraId="08571F44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  <w:r w:rsidRPr="006B6A4F">
        <w:rPr>
          <w:rFonts w:ascii="Calibri" w:hAnsi="Calibri" w:cs="Calibri"/>
          <w:color w:val="000000"/>
        </w:rPr>
        <w:t>***=BMI värderas med hänsyn till viktuppgång under grav. Generellt innebär vikt över 120 kg alltid 1-6 veckors profylax.</w:t>
      </w:r>
    </w:p>
    <w:p w14:paraId="11572DED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  <w:r w:rsidRPr="006B6A4F">
        <w:rPr>
          <w:rFonts w:ascii="Calibri" w:hAnsi="Calibri" w:cs="Calibri"/>
          <w:color w:val="000000"/>
        </w:rPr>
        <w:t>****= signifikant hög titer av a-k vid upprepad provtagning</w:t>
      </w:r>
      <w:r w:rsidRPr="006B6A4F">
        <w:rPr>
          <w:rFonts w:ascii="Calibri" w:hAnsi="Calibri" w:cs="Calibri"/>
          <w:color w:val="000000"/>
        </w:rPr>
        <w:br/>
        <w:t>***** = försiktighet med att använda Fragmin vid förväntad nära förestående förlossning. Ge delad dygnsdos</w:t>
      </w:r>
    </w:p>
    <w:p w14:paraId="588995BE" w14:textId="77777777" w:rsidR="00345A41" w:rsidRPr="006B6A4F" w:rsidRDefault="00345A41" w:rsidP="00A40DCE">
      <w:pPr>
        <w:pStyle w:val="MellanrubrikVGR"/>
        <w:spacing w:after="0"/>
      </w:pPr>
      <w:r w:rsidRPr="006B6A4F">
        <w:t xml:space="preserve">Åtgärder </w:t>
      </w:r>
    </w:p>
    <w:p w14:paraId="5F3B21BF" w14:textId="659DB2B0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b/>
          <w:bCs/>
          <w:color w:val="000000"/>
        </w:rPr>
      </w:pPr>
      <w:r w:rsidRPr="006B6A4F">
        <w:rPr>
          <w:rFonts w:ascii="Calibri" w:hAnsi="Calibri" w:cs="Calibri"/>
          <w:bCs/>
          <w:color w:val="000000"/>
        </w:rPr>
        <w:t xml:space="preserve">Trombosprofylax ges enligt nedan. Vid enbart fler riskpoäng på 1poäng som ger totalt ≥4poäng, individuellt ställningstagande till åtgärd, se </w:t>
      </w:r>
      <w:r w:rsidRPr="006B6A4F">
        <w:rPr>
          <w:rFonts w:ascii="Calibri" w:hAnsi="Calibri" w:cs="Calibri"/>
          <w:bCs/>
          <w:color w:val="000000"/>
        </w:rPr>
        <w:br/>
        <w:t>tabell 2. Det är viktigt att ompröva risken för trombos vid ändrad situation för patienten.</w:t>
      </w:r>
      <w:r w:rsidRPr="006B6A4F">
        <w:rPr>
          <w:rFonts w:ascii="Calibri" w:hAnsi="Calibri" w:cs="Calibri"/>
          <w:bCs/>
          <w:color w:val="000000"/>
        </w:rPr>
        <w:br/>
      </w:r>
      <w:r w:rsidRPr="006B6A4F">
        <w:rPr>
          <w:rFonts w:ascii="Calibri" w:hAnsi="Calibri" w:cs="Calibri"/>
          <w:bCs/>
          <w:color w:val="000000"/>
        </w:rPr>
        <w:lastRenderedPageBreak/>
        <w:t xml:space="preserve">Vid preeklampsi, försiktighet med profylax om förlossning nära förestående. Om indicerat ge 2500 x 2. </w:t>
      </w:r>
    </w:p>
    <w:p w14:paraId="7A8A8475" w14:textId="77777777" w:rsidR="00345A41" w:rsidRPr="006B6A4F" w:rsidRDefault="00345A41" w:rsidP="005F12D5">
      <w:pPr>
        <w:pStyle w:val="Rubrik3"/>
      </w:pPr>
      <w:bookmarkStart w:id="12" w:name="_Toc192162626"/>
      <w:r w:rsidRPr="006B6A4F">
        <w:t>Tabell 2. Riskpoäng med utgångspunkt från summan av patientens riskpoäng enligt tabell 1 samt åtgärder.</w:t>
      </w:r>
      <w:bookmarkEnd w:id="12"/>
    </w:p>
    <w:p w14:paraId="2F08882C" w14:textId="77777777" w:rsidR="00345A41" w:rsidRPr="006B6A4F" w:rsidRDefault="00345A41" w:rsidP="00862EF6">
      <w:pPr>
        <w:tabs>
          <w:tab w:val="left" w:pos="3402"/>
          <w:tab w:val="left" w:pos="6237"/>
        </w:tabs>
        <w:spacing w:after="0" w:line="240" w:lineRule="auto"/>
        <w:ind w:right="0"/>
        <w:rPr>
          <w:rFonts w:ascii="Calibri" w:hAnsi="Calibri" w:cs="Calibri"/>
          <w:color w:val="000000"/>
        </w:rPr>
      </w:pPr>
    </w:p>
    <w:tbl>
      <w:tblPr>
        <w:tblW w:w="8919" w:type="dxa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8"/>
        <w:gridCol w:w="5761"/>
      </w:tblGrid>
      <w:tr w:rsidR="00345A41" w:rsidRPr="006B6A4F" w14:paraId="7D7D2509" w14:textId="77777777" w:rsidTr="00862EF6">
        <w:trPr>
          <w:trHeight w:val="75"/>
        </w:trPr>
        <w:tc>
          <w:tcPr>
            <w:tcW w:w="3158" w:type="dxa"/>
          </w:tcPr>
          <w:p w14:paraId="03B06143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Poängsumma</w:t>
            </w:r>
          </w:p>
        </w:tc>
        <w:tc>
          <w:tcPr>
            <w:tcW w:w="5761" w:type="dxa"/>
          </w:tcPr>
          <w:p w14:paraId="4FB568AA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Åtgärder</w:t>
            </w:r>
          </w:p>
        </w:tc>
      </w:tr>
      <w:tr w:rsidR="00345A41" w:rsidRPr="006B6A4F" w14:paraId="27C5CBDD" w14:textId="77777777" w:rsidTr="00862EF6">
        <w:trPr>
          <w:trHeight w:val="307"/>
        </w:trPr>
        <w:tc>
          <w:tcPr>
            <w:tcW w:w="3158" w:type="dxa"/>
          </w:tcPr>
          <w:p w14:paraId="153E4B3B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jc w:val="center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1</w:t>
            </w:r>
          </w:p>
        </w:tc>
        <w:tc>
          <w:tcPr>
            <w:tcW w:w="5761" w:type="dxa"/>
          </w:tcPr>
          <w:p w14:paraId="445C661A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Ingen åtgärd annat än kompressionsstrumpor och skärpt observans</w:t>
            </w:r>
          </w:p>
        </w:tc>
      </w:tr>
      <w:tr w:rsidR="00345A41" w:rsidRPr="006B6A4F" w14:paraId="63988B54" w14:textId="77777777" w:rsidTr="00862EF6">
        <w:trPr>
          <w:trHeight w:val="582"/>
        </w:trPr>
        <w:tc>
          <w:tcPr>
            <w:tcW w:w="3158" w:type="dxa"/>
          </w:tcPr>
          <w:p w14:paraId="7FEEC444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jc w:val="center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2</w:t>
            </w:r>
          </w:p>
        </w:tc>
        <w:tc>
          <w:tcPr>
            <w:tcW w:w="5761" w:type="dxa"/>
          </w:tcPr>
          <w:p w14:paraId="56194A5C" w14:textId="77777777" w:rsidR="00345A41" w:rsidRPr="006B6A4F" w:rsidRDefault="00345A41" w:rsidP="00345A41">
            <w:pPr>
              <w:tabs>
                <w:tab w:val="left" w:pos="2127"/>
                <w:tab w:val="left" w:pos="2552"/>
                <w:tab w:val="left" w:pos="5245"/>
              </w:tabs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6B6A4F">
              <w:rPr>
                <w:rFonts w:ascii="Calibri" w:hAnsi="Calibri" w:cs="Calibri"/>
                <w:b/>
              </w:rPr>
              <w:t>Under grav</w:t>
            </w:r>
            <w:r w:rsidRPr="006B6A4F">
              <w:rPr>
                <w:rFonts w:ascii="Calibri" w:hAnsi="Calibri" w:cs="Calibri"/>
              </w:rPr>
              <w:t xml:space="preserve"> ges normaldosprofylax  LMH* vid tillfällig risk</w:t>
            </w:r>
            <w:r w:rsidRPr="006B6A4F">
              <w:rPr>
                <w:rFonts w:ascii="Calibri" w:hAnsi="Calibri" w:cs="Calibri"/>
                <w:b/>
              </w:rPr>
              <w:t xml:space="preserve"> </w:t>
            </w:r>
            <w:r w:rsidRPr="006B6A4F">
              <w:rPr>
                <w:rFonts w:ascii="Calibri" w:hAnsi="Calibri" w:cs="Calibri"/>
                <w:bCs/>
              </w:rPr>
              <w:t>exv. immobilisering, dehydrering, längre resa, allvarlig infektion, kirurgi.</w:t>
            </w:r>
          </w:p>
          <w:p w14:paraId="2346863D" w14:textId="77777777" w:rsidR="00345A41" w:rsidRPr="006B6A4F" w:rsidRDefault="00345A41" w:rsidP="00345A41">
            <w:pPr>
              <w:tabs>
                <w:tab w:val="left" w:pos="2127"/>
                <w:tab w:val="left" w:pos="2552"/>
                <w:tab w:val="left" w:pos="5245"/>
              </w:tabs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6B6A4F">
              <w:rPr>
                <w:rFonts w:ascii="Calibri" w:hAnsi="Calibri" w:cs="Calibri"/>
                <w:b/>
              </w:rPr>
              <w:t>Postpartum</w:t>
            </w:r>
            <w:r w:rsidRPr="006B6A4F">
              <w:rPr>
                <w:rFonts w:ascii="Calibri" w:hAnsi="Calibri" w:cs="Calibri"/>
              </w:rPr>
              <w:t xml:space="preserve"> ≥ 7 dygn</w:t>
            </w:r>
          </w:p>
        </w:tc>
      </w:tr>
      <w:tr w:rsidR="00345A41" w:rsidRPr="006B6A4F" w14:paraId="381FA7B0" w14:textId="77777777" w:rsidTr="00862EF6">
        <w:trPr>
          <w:trHeight w:val="582"/>
        </w:trPr>
        <w:tc>
          <w:tcPr>
            <w:tcW w:w="3158" w:type="dxa"/>
          </w:tcPr>
          <w:p w14:paraId="43C3408B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jc w:val="center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3</w:t>
            </w:r>
          </w:p>
        </w:tc>
        <w:tc>
          <w:tcPr>
            <w:tcW w:w="5761" w:type="dxa"/>
          </w:tcPr>
          <w:p w14:paraId="348FFF45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Under grav se 2 poäng</w:t>
            </w:r>
          </w:p>
          <w:p w14:paraId="1340CDB0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 xml:space="preserve">Postpartum </w:t>
            </w:r>
            <w:r w:rsidRPr="006B6A4F">
              <w:rPr>
                <w:rFonts w:ascii="Calibri" w:hAnsi="Calibri" w:cs="Calibri"/>
                <w:color w:val="000000"/>
              </w:rPr>
              <w:t xml:space="preserve">ges normaldosprofylax LMH 6 veckor med start 4-6 timmar efter partus. </w:t>
            </w:r>
          </w:p>
        </w:tc>
      </w:tr>
      <w:tr w:rsidR="00345A41" w:rsidRPr="006B6A4F" w14:paraId="3593F6B1" w14:textId="77777777" w:rsidTr="00862EF6">
        <w:trPr>
          <w:trHeight w:val="614"/>
        </w:trPr>
        <w:tc>
          <w:tcPr>
            <w:tcW w:w="3158" w:type="dxa"/>
          </w:tcPr>
          <w:p w14:paraId="52789E4D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jc w:val="center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4</w:t>
            </w:r>
          </w:p>
          <w:p w14:paraId="785DD379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761" w:type="dxa"/>
          </w:tcPr>
          <w:p w14:paraId="4286D18D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Normaldosprofylax LMH med start </w:t>
            </w:r>
            <w:r w:rsidRPr="006B6A4F">
              <w:rPr>
                <w:rFonts w:ascii="Calibri" w:hAnsi="Calibri" w:cs="Calibri"/>
                <w:b/>
                <w:color w:val="000000"/>
              </w:rPr>
              <w:t>direkt när graviditeten är känd</w:t>
            </w:r>
            <w:r w:rsidRPr="006B6A4F">
              <w:rPr>
                <w:rFonts w:ascii="Calibri" w:hAnsi="Calibri" w:cs="Calibri"/>
                <w:color w:val="000000"/>
              </w:rPr>
              <w:t xml:space="preserve"> </w:t>
            </w:r>
          </w:p>
          <w:p w14:paraId="4921ED28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P</w:t>
            </w:r>
            <w:r w:rsidRPr="006B6A4F">
              <w:rPr>
                <w:rFonts w:ascii="Calibri" w:hAnsi="Calibri" w:cs="Calibri"/>
                <w:b/>
                <w:color w:val="000000"/>
              </w:rPr>
              <w:t>ostpartum 6 veckor</w:t>
            </w:r>
          </w:p>
        </w:tc>
      </w:tr>
      <w:tr w:rsidR="00345A41" w:rsidRPr="006B6A4F" w14:paraId="587F1590" w14:textId="77777777" w:rsidTr="00862EF6">
        <w:trPr>
          <w:trHeight w:val="614"/>
        </w:trPr>
        <w:tc>
          <w:tcPr>
            <w:tcW w:w="3158" w:type="dxa"/>
          </w:tcPr>
          <w:p w14:paraId="269891B4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jc w:val="center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&gt;4</w:t>
            </w:r>
          </w:p>
        </w:tc>
        <w:tc>
          <w:tcPr>
            <w:tcW w:w="5761" w:type="dxa"/>
          </w:tcPr>
          <w:p w14:paraId="461A68DA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 xml:space="preserve">Individuell bedömning,  </w:t>
            </w:r>
          </w:p>
          <w:p w14:paraId="7E355174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Normaldosprophylax eller högdosprofylax LMH </w:t>
            </w:r>
          </w:p>
          <w:p w14:paraId="5E82BC4F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Start direkt graviditeten är känd</w:t>
            </w:r>
            <w:r w:rsidRPr="006B6A4F">
              <w:rPr>
                <w:rFonts w:ascii="Calibri" w:hAnsi="Calibri" w:cs="Calibri"/>
                <w:color w:val="000000"/>
              </w:rPr>
              <w:t xml:space="preserve"> och </w:t>
            </w:r>
            <w:r w:rsidRPr="006B6A4F">
              <w:rPr>
                <w:rFonts w:ascii="Calibri" w:hAnsi="Calibri" w:cs="Calibri"/>
                <w:i/>
                <w:color w:val="000000"/>
              </w:rPr>
              <w:t>minst</w:t>
            </w:r>
            <w:r w:rsidRPr="006B6A4F">
              <w:rPr>
                <w:rFonts w:ascii="Calibri" w:hAnsi="Calibri" w:cs="Calibri"/>
                <w:color w:val="000000"/>
              </w:rPr>
              <w:t xml:space="preserve"> 6 veckor </w:t>
            </w:r>
            <w:r w:rsidRPr="006B6A4F">
              <w:rPr>
                <w:rFonts w:ascii="Calibri" w:hAnsi="Calibri" w:cs="Calibri"/>
                <w:b/>
                <w:color w:val="000000"/>
              </w:rPr>
              <w:t>postpartum</w:t>
            </w:r>
          </w:p>
        </w:tc>
      </w:tr>
      <w:tr w:rsidR="00345A41" w:rsidRPr="006B6A4F" w14:paraId="63B4FE9B" w14:textId="77777777" w:rsidTr="00862EF6">
        <w:trPr>
          <w:trHeight w:val="614"/>
        </w:trPr>
        <w:tc>
          <w:tcPr>
            <w:tcW w:w="3158" w:type="dxa"/>
          </w:tcPr>
          <w:p w14:paraId="0ECEDEB6" w14:textId="785A2655" w:rsidR="00345A41" w:rsidRPr="006B6A4F" w:rsidRDefault="00345A41" w:rsidP="00F9363D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 xml:space="preserve">              Specialtillstånd</w:t>
            </w:r>
          </w:p>
        </w:tc>
        <w:tc>
          <w:tcPr>
            <w:tcW w:w="5761" w:type="dxa"/>
          </w:tcPr>
          <w:p w14:paraId="31429E05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</w:tc>
      </w:tr>
      <w:tr w:rsidR="00345A41" w:rsidRPr="006B6A4F" w14:paraId="03D28945" w14:textId="77777777" w:rsidTr="00862EF6">
        <w:trPr>
          <w:trHeight w:val="614"/>
        </w:trPr>
        <w:tc>
          <w:tcPr>
            <w:tcW w:w="3158" w:type="dxa"/>
          </w:tcPr>
          <w:p w14:paraId="31986384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Hereditär antitrombinbrist</w:t>
            </w:r>
          </w:p>
          <w:p w14:paraId="3E2E8550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19BD170C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color w:val="000000"/>
              </w:rPr>
            </w:pPr>
          </w:p>
        </w:tc>
        <w:tc>
          <w:tcPr>
            <w:tcW w:w="5761" w:type="dxa"/>
          </w:tcPr>
          <w:p w14:paraId="0629D7B1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vertAlign w:val="subscript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Högdosprofylax LMH plus antitrombinkoncentrat** vid komplikationer och partus, individuell behandlingsplan </w:t>
            </w:r>
          </w:p>
          <w:p w14:paraId="0E445AD9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Start före eller direkt när graviditeten är känd</w:t>
            </w:r>
          </w:p>
          <w:p w14:paraId="6F5DFD7D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och minst </w:t>
            </w:r>
            <w:r w:rsidRPr="006B6A4F">
              <w:rPr>
                <w:rFonts w:ascii="Calibri" w:hAnsi="Calibri" w:cs="Calibri"/>
                <w:bCs/>
                <w:color w:val="000000"/>
              </w:rPr>
              <w:t>12 veckor</w:t>
            </w:r>
            <w:r w:rsidRPr="006B6A4F"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r w:rsidRPr="006B6A4F">
              <w:rPr>
                <w:rFonts w:ascii="Calibri" w:hAnsi="Calibri" w:cs="Calibri"/>
                <w:color w:val="000000"/>
              </w:rPr>
              <w:t>postpartum.  Informera koagcentrum/SU-SS om att patienten är gravid.</w:t>
            </w:r>
          </w:p>
        </w:tc>
      </w:tr>
      <w:tr w:rsidR="00345A41" w:rsidRPr="006B6A4F" w14:paraId="61EB8FF6" w14:textId="77777777" w:rsidTr="00862EF6">
        <w:trPr>
          <w:trHeight w:val="614"/>
        </w:trPr>
        <w:tc>
          <w:tcPr>
            <w:tcW w:w="3158" w:type="dxa"/>
          </w:tcPr>
          <w:p w14:paraId="3EE8BC10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lang w:val="fi-FI"/>
              </w:rPr>
            </w:pPr>
            <w:r w:rsidRPr="006B6A4F">
              <w:rPr>
                <w:rFonts w:ascii="Calibri" w:hAnsi="Calibri" w:cs="Calibri"/>
                <w:color w:val="000000"/>
                <w:lang w:val="fi-FI"/>
              </w:rPr>
              <w:t>Lupus antikoagulans,</w:t>
            </w:r>
          </w:p>
          <w:p w14:paraId="01837ACC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lang w:val="fi-FI"/>
              </w:rPr>
            </w:pPr>
            <w:r w:rsidRPr="006B6A4F">
              <w:rPr>
                <w:rFonts w:ascii="Calibri" w:hAnsi="Calibri" w:cs="Calibri"/>
                <w:color w:val="000000"/>
                <w:lang w:val="fi-FI"/>
              </w:rPr>
              <w:t>Kardiolipin-a-k,</w:t>
            </w:r>
          </w:p>
          <w:p w14:paraId="2C0A9471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sym w:font="Symbol" w:char="F062"/>
            </w:r>
            <w:r w:rsidRPr="006B6A4F">
              <w:rPr>
                <w:rFonts w:ascii="Calibri" w:hAnsi="Calibri" w:cs="Calibri"/>
                <w:color w:val="000000"/>
              </w:rPr>
              <w:t>2-glykoprotein-I-a-k</w:t>
            </w:r>
          </w:p>
          <w:p w14:paraId="2CED6C99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  <w:r w:rsidRPr="006B6A4F">
              <w:rPr>
                <w:rFonts w:ascii="Calibri" w:hAnsi="Calibri" w:cs="Calibri"/>
                <w:b/>
                <w:bCs/>
                <w:color w:val="000000"/>
              </w:rPr>
              <w:t>utan</w:t>
            </w:r>
            <w:r w:rsidRPr="006B6A4F">
              <w:rPr>
                <w:rFonts w:ascii="Calibri" w:hAnsi="Calibri" w:cs="Calibri"/>
                <w:color w:val="000000"/>
              </w:rPr>
              <w:t xml:space="preserve"> VTE</w:t>
            </w:r>
          </w:p>
        </w:tc>
        <w:tc>
          <w:tcPr>
            <w:tcW w:w="5761" w:type="dxa"/>
          </w:tcPr>
          <w:p w14:paraId="2B6BFBBE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Normaldosprofylax LMH plus ASA 75 mg x1</w:t>
            </w:r>
          </w:p>
          <w:p w14:paraId="68A57529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Start före eller direkt graviditeten är känd</w:t>
            </w:r>
            <w:r w:rsidRPr="006B6A4F">
              <w:rPr>
                <w:rFonts w:ascii="Calibri" w:hAnsi="Calibri" w:cs="Calibri"/>
                <w:color w:val="000000"/>
              </w:rPr>
              <w:t xml:space="preserve"> och minst </w:t>
            </w:r>
            <w:r w:rsidRPr="006B6A4F">
              <w:rPr>
                <w:rFonts w:ascii="Calibri" w:hAnsi="Calibri" w:cs="Calibri"/>
                <w:bCs/>
                <w:color w:val="000000"/>
              </w:rPr>
              <w:t>12 veckor</w:t>
            </w:r>
            <w:r w:rsidRPr="006B6A4F"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r w:rsidRPr="006B6A4F">
              <w:rPr>
                <w:rFonts w:ascii="Calibri" w:hAnsi="Calibri" w:cs="Calibri"/>
                <w:color w:val="000000"/>
              </w:rPr>
              <w:t>postpartum</w:t>
            </w:r>
          </w:p>
          <w:p w14:paraId="2E8C92E1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</w:tc>
      </w:tr>
      <w:tr w:rsidR="00345A41" w:rsidRPr="006B6A4F" w14:paraId="021CAE76" w14:textId="77777777" w:rsidTr="00862EF6">
        <w:trPr>
          <w:trHeight w:val="614"/>
        </w:trPr>
        <w:tc>
          <w:tcPr>
            <w:tcW w:w="3158" w:type="dxa"/>
          </w:tcPr>
          <w:p w14:paraId="24FEC27C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lang w:val="fi-FI"/>
              </w:rPr>
            </w:pPr>
            <w:r w:rsidRPr="006B6A4F">
              <w:rPr>
                <w:rFonts w:ascii="Calibri" w:hAnsi="Calibri" w:cs="Calibri"/>
                <w:color w:val="000000"/>
                <w:lang w:val="fi-FI"/>
              </w:rPr>
              <w:t>Lupus antikoagulans,</w:t>
            </w:r>
          </w:p>
          <w:p w14:paraId="5C77DB06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lang w:val="fi-FI"/>
              </w:rPr>
            </w:pPr>
            <w:r w:rsidRPr="006B6A4F">
              <w:rPr>
                <w:rFonts w:ascii="Calibri" w:hAnsi="Calibri" w:cs="Calibri"/>
                <w:color w:val="000000"/>
                <w:lang w:val="fi-FI"/>
              </w:rPr>
              <w:t>Kardiolipin-a-k,</w:t>
            </w:r>
          </w:p>
          <w:p w14:paraId="7D1A560F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sym w:font="Symbol" w:char="F062"/>
            </w:r>
            <w:r w:rsidRPr="006B6A4F">
              <w:rPr>
                <w:rFonts w:ascii="Calibri" w:hAnsi="Calibri" w:cs="Calibri"/>
                <w:color w:val="000000"/>
              </w:rPr>
              <w:t>2-glykoprotein-I-a-k</w:t>
            </w:r>
          </w:p>
          <w:p w14:paraId="76647854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  <w:r w:rsidRPr="006B6A4F">
              <w:rPr>
                <w:rFonts w:ascii="Calibri" w:hAnsi="Calibri" w:cs="Calibri"/>
                <w:b/>
                <w:bCs/>
                <w:color w:val="000000"/>
              </w:rPr>
              <w:t>med</w:t>
            </w:r>
            <w:r w:rsidRPr="006B6A4F">
              <w:rPr>
                <w:rFonts w:ascii="Calibri" w:hAnsi="Calibri" w:cs="Calibri"/>
                <w:color w:val="000000"/>
              </w:rPr>
              <w:t xml:space="preserve"> VTE</w:t>
            </w:r>
          </w:p>
          <w:p w14:paraId="07692A87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761" w:type="dxa"/>
          </w:tcPr>
          <w:p w14:paraId="689121D5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Högdosprofylax LMH plus ASA 75 mg x1</w:t>
            </w:r>
          </w:p>
          <w:p w14:paraId="22CBC957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b/>
                <w:color w:val="000000"/>
              </w:rPr>
              <w:t>Start före eller direkt graviditeten är känd</w:t>
            </w:r>
            <w:r w:rsidRPr="006B6A4F">
              <w:rPr>
                <w:rFonts w:ascii="Calibri" w:hAnsi="Calibri" w:cs="Calibri"/>
                <w:color w:val="000000"/>
              </w:rPr>
              <w:t xml:space="preserve"> och minst </w:t>
            </w:r>
            <w:r w:rsidRPr="006B6A4F">
              <w:rPr>
                <w:rFonts w:ascii="Calibri" w:hAnsi="Calibri" w:cs="Calibri"/>
                <w:bCs/>
                <w:color w:val="000000"/>
              </w:rPr>
              <w:t>12 veckor</w:t>
            </w:r>
            <w:r w:rsidRPr="006B6A4F"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r w:rsidRPr="006B6A4F">
              <w:rPr>
                <w:rFonts w:ascii="Calibri" w:hAnsi="Calibri" w:cs="Calibri"/>
                <w:color w:val="000000"/>
              </w:rPr>
              <w:t>postpartum</w:t>
            </w:r>
          </w:p>
          <w:p w14:paraId="7EF7C3BA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</w:tc>
      </w:tr>
      <w:tr w:rsidR="00345A41" w:rsidRPr="006B6A4F" w14:paraId="56C446AF" w14:textId="77777777" w:rsidTr="00862EF6">
        <w:trPr>
          <w:trHeight w:val="614"/>
        </w:trPr>
        <w:tc>
          <w:tcPr>
            <w:tcW w:w="3158" w:type="dxa"/>
          </w:tcPr>
          <w:p w14:paraId="215D89F5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bCs/>
                <w:color w:val="000000"/>
              </w:rPr>
            </w:pPr>
            <w:r w:rsidRPr="006B6A4F">
              <w:rPr>
                <w:rFonts w:ascii="Calibri" w:hAnsi="Calibri" w:cs="Calibri"/>
                <w:bCs/>
                <w:color w:val="000000"/>
              </w:rPr>
              <w:t>Pågående Waranbehandling före graviditet</w:t>
            </w:r>
          </w:p>
        </w:tc>
        <w:tc>
          <w:tcPr>
            <w:tcW w:w="5761" w:type="dxa"/>
          </w:tcPr>
          <w:p w14:paraId="1C82527A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>Högdosprofylax LMH</w:t>
            </w:r>
          </w:p>
          <w:p w14:paraId="4EA2CDF6" w14:textId="77777777" w:rsidR="00345A41" w:rsidRPr="006B6A4F" w:rsidRDefault="00345A41" w:rsidP="00345A41">
            <w:pPr>
              <w:tabs>
                <w:tab w:val="left" w:pos="3402"/>
                <w:tab w:val="left" w:pos="6237"/>
              </w:tabs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  <w:r w:rsidRPr="006B6A4F">
              <w:rPr>
                <w:rFonts w:ascii="Calibri" w:hAnsi="Calibri" w:cs="Calibri"/>
                <w:color w:val="000000"/>
              </w:rPr>
              <w:t xml:space="preserve">Övergång till LMH med eller utan ASA </w:t>
            </w:r>
            <w:r w:rsidRPr="006B6A4F">
              <w:rPr>
                <w:rFonts w:ascii="Calibri" w:hAnsi="Calibri" w:cs="Calibri"/>
                <w:b/>
                <w:color w:val="000000"/>
              </w:rPr>
              <w:t>före graviditetsvecka 6</w:t>
            </w:r>
            <w:r w:rsidRPr="006B6A4F">
              <w:rPr>
                <w:rFonts w:ascii="Calibri" w:hAnsi="Calibri" w:cs="Calibri"/>
                <w:color w:val="000000"/>
              </w:rPr>
              <w:t xml:space="preserve">. Övergång till </w:t>
            </w:r>
            <w:r w:rsidRPr="006B6A4F">
              <w:rPr>
                <w:rFonts w:ascii="Calibri" w:hAnsi="Calibri" w:cs="Calibri"/>
                <w:b/>
                <w:color w:val="000000"/>
              </w:rPr>
              <w:t>Waran behandling snarast efter initial LMH profylax i puerperiet</w:t>
            </w:r>
            <w:r w:rsidRPr="006B6A4F">
              <w:rPr>
                <w:rFonts w:ascii="Calibri" w:hAnsi="Calibri" w:cs="Calibri"/>
                <w:color w:val="000000"/>
              </w:rPr>
              <w:t>. Behåll LMH vid ökad blödningsbenägenhet. Samråd med koagulationskonsult/medicinkonsult pp</w:t>
            </w:r>
          </w:p>
        </w:tc>
      </w:tr>
    </w:tbl>
    <w:p w14:paraId="42D88C21" w14:textId="77777777" w:rsidR="00345A41" w:rsidRPr="006B6A4F" w:rsidRDefault="00345A41" w:rsidP="00862EF6">
      <w:pPr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</w:rPr>
        <w:t>*LMH=låg molekylärt heparin</w:t>
      </w:r>
    </w:p>
    <w:p w14:paraId="08849EB1" w14:textId="77777777" w:rsidR="00345A41" w:rsidRPr="006B6A4F" w:rsidRDefault="00345A41" w:rsidP="00862EF6">
      <w:pPr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</w:rPr>
        <w:lastRenderedPageBreak/>
        <w:t>**AT-koncentrat ges enligt formel: (önskad AT nivå i %) x kg kroppsvikt. AT 100%=1 KIE/ml. Normalisering till minst 100 % eftersträvas i minst 3 dygn postpartum och till adekvat trombosprofylaxdos. Kontroll av AT dagligen. Se FASS Atenativ Octapharma. Normalisering av AT-nivå minskar behovet av heparin/LMH!</w:t>
      </w:r>
    </w:p>
    <w:p w14:paraId="553FEA01" w14:textId="77777777" w:rsidR="00345A41" w:rsidRPr="006B6A4F" w:rsidRDefault="00345A41" w:rsidP="00395345">
      <w:pPr>
        <w:pStyle w:val="Rubrik2"/>
      </w:pPr>
      <w:bookmarkStart w:id="13" w:name="_Toc192162627"/>
      <w:r w:rsidRPr="006B6A4F">
        <w:t>Normaldosprofylax LMH under graviditet</w:t>
      </w:r>
      <w:bookmarkEnd w:id="13"/>
      <w:r w:rsidRPr="006B6A4F">
        <w:t xml:space="preserve"> </w:t>
      </w:r>
    </w:p>
    <w:p w14:paraId="1000FBC3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  <w:bCs/>
        </w:rPr>
        <w:t xml:space="preserve">Inför start av profylax kontrollera </w:t>
      </w:r>
      <w:r w:rsidRPr="006B6A4F">
        <w:rPr>
          <w:rFonts w:ascii="Calibri" w:hAnsi="Calibri" w:cs="Calibri"/>
          <w:b/>
        </w:rPr>
        <w:t>TPK, APTT och PK. TPK</w:t>
      </w:r>
      <w:r w:rsidRPr="006B6A4F">
        <w:rPr>
          <w:rFonts w:ascii="Calibri" w:hAnsi="Calibri" w:cs="Calibri"/>
        </w:rPr>
        <w:t xml:space="preserve"> kontrolleras efter 2 veckor och i graviditetsvecka 34 på grund av risk för heparininducerad trombocytopeni (HIT). Detta kan avstås om patienten haft profylax under tidigare graviditet/er. AntiXa kontrolleras också efter </w:t>
      </w:r>
      <w:r w:rsidRPr="006B6A4F">
        <w:rPr>
          <w:rFonts w:ascii="Calibri" w:hAnsi="Calibri" w:cs="Calibri"/>
        </w:rPr>
        <w:br/>
        <w:t>2 veckor, om det är första gången patienten har profylax. Viktigt att patienten tagit injektion på morgonen cirka 4 dagar före kontroll, för att underlätta. Det räcker med kontroll av efterprov.</w:t>
      </w:r>
    </w:p>
    <w:p w14:paraId="10C721B0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</w:p>
    <w:p w14:paraId="4264191B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iCs/>
        </w:rPr>
      </w:pPr>
      <w:r w:rsidRPr="006B6A4F">
        <w:rPr>
          <w:rFonts w:ascii="Calibri" w:hAnsi="Calibri" w:cs="Calibri"/>
          <w:b/>
          <w:iCs/>
        </w:rPr>
        <w:t>Trombosprofylax ges enligt följande, helst till kvällen:</w:t>
      </w:r>
    </w:p>
    <w:p w14:paraId="1523F52E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iCs/>
        </w:rPr>
      </w:pPr>
    </w:p>
    <w:p w14:paraId="1F81AD6B" w14:textId="7D66E923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iCs/>
        </w:rPr>
      </w:pPr>
      <w:r w:rsidRPr="005F12D5">
        <w:rPr>
          <w:rFonts w:ascii="Calibri" w:hAnsi="Calibri" w:cs="Calibri"/>
          <w:b/>
          <w:iCs/>
        </w:rPr>
        <w:t>Aktuell</w:t>
      </w:r>
      <w:r w:rsidRPr="006B6A4F">
        <w:rPr>
          <w:rFonts w:ascii="Calibri" w:hAnsi="Calibri" w:cs="Calibri"/>
          <w:b/>
          <w:iCs/>
        </w:rPr>
        <w:t xml:space="preserve"> vikt </w:t>
      </w:r>
      <w:r w:rsidR="00386106">
        <w:rPr>
          <w:rFonts w:ascii="Calibri" w:hAnsi="Calibri" w:cs="Calibri"/>
          <w:b/>
          <w:iCs/>
        </w:rPr>
        <w:tab/>
      </w:r>
      <w:r w:rsidRPr="006B6A4F">
        <w:rPr>
          <w:rFonts w:ascii="Calibri" w:hAnsi="Calibri" w:cs="Calibri"/>
          <w:b/>
          <w:iCs/>
        </w:rPr>
        <w:t xml:space="preserve">&lt;50 kg </w:t>
      </w:r>
      <w:r w:rsidRPr="006B6A4F">
        <w:rPr>
          <w:rFonts w:ascii="Calibri" w:hAnsi="Calibri" w:cs="Calibri"/>
          <w:b/>
          <w:iCs/>
        </w:rPr>
        <w:tab/>
        <w:t xml:space="preserve">Fragmin 2500 E x 1 </w:t>
      </w:r>
    </w:p>
    <w:p w14:paraId="4CE6B531" w14:textId="560C34E5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iCs/>
        </w:rPr>
      </w:pPr>
      <w:r w:rsidRPr="006B6A4F">
        <w:rPr>
          <w:rFonts w:ascii="Calibri" w:hAnsi="Calibri" w:cs="Calibri"/>
          <w:b/>
          <w:iCs/>
        </w:rPr>
        <w:t xml:space="preserve">              vikt </w:t>
      </w:r>
      <w:r w:rsidR="00386106">
        <w:rPr>
          <w:rFonts w:ascii="Calibri" w:hAnsi="Calibri" w:cs="Calibri"/>
          <w:b/>
          <w:iCs/>
        </w:rPr>
        <w:tab/>
      </w:r>
      <w:r w:rsidRPr="006B6A4F">
        <w:rPr>
          <w:rFonts w:ascii="Calibri" w:hAnsi="Calibri" w:cs="Calibri"/>
          <w:b/>
          <w:iCs/>
        </w:rPr>
        <w:t xml:space="preserve">50-90 kg </w:t>
      </w:r>
      <w:r w:rsidRPr="006B6A4F">
        <w:rPr>
          <w:rFonts w:ascii="Calibri" w:hAnsi="Calibri" w:cs="Calibri"/>
          <w:b/>
          <w:iCs/>
        </w:rPr>
        <w:tab/>
        <w:t>Fragmin 5000 E x 1</w:t>
      </w:r>
    </w:p>
    <w:p w14:paraId="49C1F20A" w14:textId="5AE18830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iCs/>
        </w:rPr>
      </w:pPr>
      <w:r w:rsidRPr="006B6A4F">
        <w:rPr>
          <w:rFonts w:ascii="Calibri" w:hAnsi="Calibri" w:cs="Calibri"/>
          <w:b/>
          <w:iCs/>
        </w:rPr>
        <w:t xml:space="preserve">              vikt </w:t>
      </w:r>
      <w:r w:rsidR="00386106">
        <w:rPr>
          <w:rFonts w:ascii="Calibri" w:hAnsi="Calibri" w:cs="Calibri"/>
          <w:b/>
          <w:iCs/>
        </w:rPr>
        <w:tab/>
      </w:r>
      <w:r w:rsidRPr="006B6A4F">
        <w:rPr>
          <w:rFonts w:ascii="Calibri" w:hAnsi="Calibri" w:cs="Calibri"/>
          <w:b/>
          <w:iCs/>
        </w:rPr>
        <w:t>&gt;90 kg</w:t>
      </w:r>
      <w:r w:rsidRPr="006B6A4F">
        <w:rPr>
          <w:rFonts w:ascii="Calibri" w:hAnsi="Calibri" w:cs="Calibri"/>
          <w:b/>
          <w:iCs/>
        </w:rPr>
        <w:tab/>
        <w:t>Fragmin 7500 E x 1</w:t>
      </w:r>
    </w:p>
    <w:p w14:paraId="306F5049" w14:textId="40AB0EE3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Cs/>
          <w:iCs/>
        </w:rPr>
      </w:pPr>
      <w:r w:rsidRPr="006B6A4F">
        <w:rPr>
          <w:rFonts w:ascii="Calibri" w:hAnsi="Calibri" w:cs="Calibri"/>
          <w:b/>
          <w:iCs/>
        </w:rPr>
        <w:t xml:space="preserve">              vikt </w:t>
      </w:r>
      <w:r w:rsidR="00386106">
        <w:rPr>
          <w:rFonts w:ascii="Calibri" w:hAnsi="Calibri" w:cs="Calibri"/>
          <w:b/>
          <w:iCs/>
        </w:rPr>
        <w:tab/>
      </w:r>
      <w:r w:rsidRPr="006B6A4F">
        <w:rPr>
          <w:rFonts w:ascii="Calibri" w:hAnsi="Calibri" w:cs="Calibri"/>
          <w:b/>
          <w:iCs/>
        </w:rPr>
        <w:t>&gt;130 kg</w:t>
      </w:r>
      <w:r w:rsidRPr="006B6A4F">
        <w:rPr>
          <w:rFonts w:ascii="Calibri" w:hAnsi="Calibri" w:cs="Calibri"/>
          <w:b/>
          <w:iCs/>
        </w:rPr>
        <w:tab/>
        <w:t>Fragmin 5000 E x 2</w:t>
      </w:r>
    </w:p>
    <w:p w14:paraId="3967D484" w14:textId="77777777" w:rsidR="00345A41" w:rsidRPr="006B6A4F" w:rsidRDefault="00345A41" w:rsidP="00862EF6">
      <w:pPr>
        <w:tabs>
          <w:tab w:val="left" w:pos="-180"/>
          <w:tab w:val="left" w:pos="360"/>
          <w:tab w:val="left" w:pos="5245"/>
        </w:tabs>
        <w:spacing w:after="0" w:line="240" w:lineRule="auto"/>
        <w:ind w:right="0"/>
        <w:rPr>
          <w:rFonts w:ascii="Calibri" w:hAnsi="Calibri" w:cs="Calibri"/>
          <w:b/>
        </w:rPr>
      </w:pPr>
    </w:p>
    <w:p w14:paraId="5F50972E" w14:textId="50EF22DB" w:rsidR="00345A41" w:rsidRPr="006B6A4F" w:rsidRDefault="00345A41" w:rsidP="00862EF6">
      <w:pPr>
        <w:tabs>
          <w:tab w:val="left" w:pos="-180"/>
          <w:tab w:val="left" w:pos="360"/>
          <w:tab w:val="left" w:pos="5245"/>
        </w:tabs>
        <w:spacing w:after="0" w:line="240" w:lineRule="auto"/>
        <w:ind w:right="0"/>
        <w:rPr>
          <w:rFonts w:ascii="Calibri" w:hAnsi="Calibri" w:cs="Calibri"/>
          <w:b/>
        </w:rPr>
      </w:pPr>
      <w:r w:rsidRPr="006B6A4F">
        <w:rPr>
          <w:rFonts w:ascii="Calibri" w:hAnsi="Calibri" w:cs="Calibri"/>
          <w:b/>
        </w:rPr>
        <w:t>Målvärde AntiXa efterprov (3 tim</w:t>
      </w:r>
      <w:r w:rsidR="00386106">
        <w:rPr>
          <w:rFonts w:ascii="Calibri" w:hAnsi="Calibri" w:cs="Calibri"/>
          <w:b/>
        </w:rPr>
        <w:t>mar</w:t>
      </w:r>
      <w:r w:rsidRPr="006B6A4F">
        <w:rPr>
          <w:rFonts w:ascii="Calibri" w:hAnsi="Calibri" w:cs="Calibri"/>
          <w:b/>
        </w:rPr>
        <w:t xml:space="preserve"> efter injektion) 0,2-0,45.</w:t>
      </w:r>
    </w:p>
    <w:p w14:paraId="31C4A7A3" w14:textId="77777777" w:rsidR="00345A41" w:rsidRPr="006B6A4F" w:rsidRDefault="00345A41" w:rsidP="00395345">
      <w:pPr>
        <w:pStyle w:val="Rubrik2"/>
      </w:pPr>
      <w:bookmarkStart w:id="14" w:name="_Toc192162628"/>
      <w:r w:rsidRPr="006B6A4F">
        <w:t>Högdosprofylax LMH</w:t>
      </w:r>
      <w:bookmarkEnd w:id="14"/>
    </w:p>
    <w:p w14:paraId="605FEF94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bCs/>
        </w:rPr>
      </w:pPr>
      <w:r w:rsidRPr="006B6A4F">
        <w:rPr>
          <w:rFonts w:ascii="Calibri" w:hAnsi="Calibri" w:cs="Calibri"/>
          <w:bCs/>
        </w:rPr>
        <w:t xml:space="preserve">Inför start av profylax kontrollera </w:t>
      </w:r>
      <w:r w:rsidRPr="006B6A4F">
        <w:rPr>
          <w:rFonts w:ascii="Calibri" w:hAnsi="Calibri" w:cs="Calibri"/>
          <w:b/>
        </w:rPr>
        <w:t xml:space="preserve">TPK, APTT och PK. </w:t>
      </w:r>
      <w:r w:rsidRPr="006B6A4F">
        <w:rPr>
          <w:rFonts w:ascii="Calibri" w:hAnsi="Calibri" w:cs="Calibri"/>
          <w:b/>
          <w:bCs/>
        </w:rPr>
        <w:t>TPK</w:t>
      </w:r>
      <w:r w:rsidRPr="006B6A4F">
        <w:rPr>
          <w:rFonts w:ascii="Calibri" w:hAnsi="Calibri" w:cs="Calibri"/>
        </w:rPr>
        <w:t xml:space="preserve"> även </w:t>
      </w:r>
      <w:r w:rsidRPr="006B6A4F">
        <w:rPr>
          <w:rFonts w:ascii="Calibri" w:hAnsi="Calibri" w:cs="Calibri"/>
          <w:b/>
          <w:bCs/>
        </w:rPr>
        <w:t>2 veckor efter start</w:t>
      </w:r>
      <w:r w:rsidRPr="006B6A4F">
        <w:rPr>
          <w:rFonts w:ascii="Calibri" w:hAnsi="Calibri" w:cs="Calibri"/>
        </w:rPr>
        <w:t xml:space="preserve"> av trombosprofylax, samt i </w:t>
      </w:r>
      <w:r w:rsidRPr="006B6A4F">
        <w:rPr>
          <w:rFonts w:ascii="Calibri" w:hAnsi="Calibri" w:cs="Calibri"/>
          <w:b/>
          <w:bCs/>
        </w:rPr>
        <w:t>graviditetsvecka 34.</w:t>
      </w:r>
    </w:p>
    <w:p w14:paraId="5B76F906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bCs/>
        </w:rPr>
      </w:pPr>
    </w:p>
    <w:p w14:paraId="7E3C4978" w14:textId="73BA22BA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iCs/>
        </w:rPr>
      </w:pPr>
      <w:r w:rsidRPr="005F12D5">
        <w:rPr>
          <w:rFonts w:ascii="Calibri" w:hAnsi="Calibri" w:cs="Calibri"/>
          <w:b/>
          <w:iCs/>
        </w:rPr>
        <w:t>Aktuell</w:t>
      </w:r>
      <w:r w:rsidRPr="006B6A4F">
        <w:rPr>
          <w:rFonts w:ascii="Calibri" w:hAnsi="Calibri" w:cs="Calibri"/>
          <w:b/>
          <w:iCs/>
        </w:rPr>
        <w:t xml:space="preserve"> vikt </w:t>
      </w:r>
      <w:r w:rsidR="00C85764">
        <w:rPr>
          <w:rFonts w:ascii="Calibri" w:hAnsi="Calibri" w:cs="Calibri"/>
          <w:b/>
          <w:iCs/>
        </w:rPr>
        <w:tab/>
      </w:r>
      <w:r w:rsidRPr="006B6A4F">
        <w:rPr>
          <w:rFonts w:ascii="Calibri" w:hAnsi="Calibri" w:cs="Calibri"/>
          <w:b/>
          <w:iCs/>
        </w:rPr>
        <w:t xml:space="preserve">≤80 kg </w:t>
      </w:r>
      <w:r w:rsidRPr="006B6A4F">
        <w:rPr>
          <w:rFonts w:ascii="Calibri" w:hAnsi="Calibri" w:cs="Calibri"/>
          <w:b/>
          <w:iCs/>
        </w:rPr>
        <w:tab/>
        <w:t xml:space="preserve">Fragmin 2500 E+5000E </w:t>
      </w:r>
    </w:p>
    <w:p w14:paraId="69DB8F2E" w14:textId="30F76BB2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iCs/>
        </w:rPr>
      </w:pPr>
      <w:r w:rsidRPr="006B6A4F">
        <w:rPr>
          <w:rFonts w:ascii="Calibri" w:hAnsi="Calibri" w:cs="Calibri"/>
          <w:b/>
          <w:iCs/>
        </w:rPr>
        <w:t xml:space="preserve">              vikt </w:t>
      </w:r>
      <w:r w:rsidR="00C85764">
        <w:rPr>
          <w:rFonts w:ascii="Calibri" w:hAnsi="Calibri" w:cs="Calibri"/>
          <w:b/>
          <w:iCs/>
        </w:rPr>
        <w:tab/>
      </w:r>
      <w:r w:rsidRPr="006B6A4F">
        <w:rPr>
          <w:rFonts w:ascii="Calibri" w:hAnsi="Calibri" w:cs="Calibri"/>
          <w:b/>
          <w:iCs/>
        </w:rPr>
        <w:t>&gt;80 kg</w:t>
      </w:r>
      <w:r w:rsidRPr="006B6A4F">
        <w:rPr>
          <w:rFonts w:ascii="Calibri" w:hAnsi="Calibri" w:cs="Calibri"/>
          <w:b/>
          <w:iCs/>
        </w:rPr>
        <w:tab/>
        <w:t>Fragmin 5000 E x2</w:t>
      </w:r>
    </w:p>
    <w:p w14:paraId="2710CB07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bCs/>
        </w:rPr>
      </w:pPr>
    </w:p>
    <w:p w14:paraId="4A4993EC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bCs/>
        </w:rPr>
      </w:pPr>
      <w:r w:rsidRPr="006B6A4F">
        <w:rPr>
          <w:rFonts w:ascii="Calibri" w:hAnsi="Calibri" w:cs="Calibri"/>
          <w:b/>
          <w:bCs/>
        </w:rPr>
        <w:t>Anti-Xa kontrolleras efter 1 vecka</w:t>
      </w:r>
    </w:p>
    <w:p w14:paraId="03BCB069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bCs/>
        </w:rPr>
      </w:pPr>
      <w:r w:rsidRPr="006B6A4F">
        <w:rPr>
          <w:rFonts w:ascii="Calibri" w:hAnsi="Calibri" w:cs="Calibri"/>
          <w:b/>
          <w:bCs/>
        </w:rPr>
        <w:t>Målvärde förprov 0,1-0,2 och efterprov 0,2-0,45</w:t>
      </w:r>
    </w:p>
    <w:p w14:paraId="78C8604B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  <w:b/>
          <w:bCs/>
        </w:rPr>
      </w:pPr>
    </w:p>
    <w:p w14:paraId="3A230745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  <w:b/>
          <w:bCs/>
        </w:rPr>
        <w:t>Vid bra målvärde räcker det att kontrollera anti-Xa som förprov i graviditetsvecka 24, 30, 34.</w:t>
      </w:r>
      <w:r w:rsidRPr="006B6A4F">
        <w:rPr>
          <w:rFonts w:ascii="Calibri" w:hAnsi="Calibri" w:cs="Calibri"/>
        </w:rPr>
        <w:t xml:space="preserve"> </w:t>
      </w:r>
    </w:p>
    <w:p w14:paraId="6CDABCCD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</w:p>
    <w:p w14:paraId="1E8A0367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</w:rPr>
        <w:t xml:space="preserve">Vid </w:t>
      </w:r>
      <w:r w:rsidRPr="006B6A4F">
        <w:rPr>
          <w:rFonts w:ascii="Calibri" w:hAnsi="Calibri" w:cs="Calibri"/>
          <w:b/>
        </w:rPr>
        <w:t>behov av dosjustering</w:t>
      </w:r>
      <w:r w:rsidRPr="006B6A4F">
        <w:rPr>
          <w:rFonts w:ascii="Calibri" w:hAnsi="Calibri" w:cs="Calibri"/>
        </w:rPr>
        <w:t xml:space="preserve"> minskas eller ökas dosen med 2 500 enheter/dygn, ny kontroll efter 1 vecka. </w:t>
      </w:r>
    </w:p>
    <w:p w14:paraId="2FB154DF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</w:p>
    <w:p w14:paraId="4111A94E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</w:rPr>
        <w:t xml:space="preserve">Patienten går till </w:t>
      </w:r>
      <w:r w:rsidRPr="006B6A4F">
        <w:rPr>
          <w:rFonts w:ascii="Calibri" w:hAnsi="Calibri" w:cs="Calibri"/>
          <w:b/>
        </w:rPr>
        <w:t xml:space="preserve">provtagningscentral på NÄL eller Uddevalla </w:t>
      </w:r>
      <w:r w:rsidRPr="006B6A4F">
        <w:rPr>
          <w:rFonts w:ascii="Calibri" w:hAnsi="Calibri" w:cs="Calibri"/>
          <w:bCs/>
        </w:rPr>
        <w:t>med remiss 3 Klin Kem (kryssa för anti-Xa aktivitet, tidpunkt och LMH-dos)</w:t>
      </w:r>
      <w:r w:rsidRPr="006B6A4F">
        <w:rPr>
          <w:rFonts w:ascii="Calibri" w:hAnsi="Calibri" w:cs="Calibri"/>
        </w:rPr>
        <w:t xml:space="preserve"> utfärdad av </w:t>
      </w:r>
      <w:r w:rsidRPr="006B6A4F">
        <w:rPr>
          <w:rFonts w:ascii="Calibri" w:hAnsi="Calibri" w:cs="Calibri"/>
          <w:bCs/>
        </w:rPr>
        <w:t>läkare på Kvinnokliniken, via Antenatalmottagning. Barnmorska på Antenatalmottagning kan ordna med tid på lab.</w:t>
      </w:r>
    </w:p>
    <w:p w14:paraId="5D98FB50" w14:textId="77777777" w:rsidR="00345A41" w:rsidRPr="006B6A4F" w:rsidRDefault="00345A41" w:rsidP="00862EF6">
      <w:pPr>
        <w:tabs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</w:p>
    <w:p w14:paraId="50EE0E11" w14:textId="77777777" w:rsidR="00345A41" w:rsidRPr="006B6A4F" w:rsidRDefault="00345A41" w:rsidP="00862EF6">
      <w:pPr>
        <w:tabs>
          <w:tab w:val="left" w:pos="2127"/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  <w:b/>
          <w:bCs/>
        </w:rPr>
        <w:t xml:space="preserve">Behandlingsplan </w:t>
      </w:r>
      <w:r w:rsidRPr="006B6A4F">
        <w:rPr>
          <w:rFonts w:ascii="Calibri" w:hAnsi="Calibri" w:cs="Calibri"/>
          <w:bCs/>
        </w:rPr>
        <w:t>som inkluderar anti-Xa målvärden skrivs vid första besök och dosering</w:t>
      </w:r>
      <w:r w:rsidRPr="006B6A4F">
        <w:rPr>
          <w:rFonts w:ascii="Calibri" w:hAnsi="Calibri" w:cs="Calibri"/>
        </w:rPr>
        <w:t xml:space="preserve"> av Fragmin anges på MHV2 vid </w:t>
      </w:r>
      <w:r w:rsidRPr="006B6A4F">
        <w:rPr>
          <w:rFonts w:ascii="Calibri" w:hAnsi="Calibri" w:cs="Calibri"/>
          <w:bCs/>
        </w:rPr>
        <w:t xml:space="preserve">varje besök. </w:t>
      </w:r>
    </w:p>
    <w:p w14:paraId="7966D053" w14:textId="77777777" w:rsidR="00345A41" w:rsidRPr="006B6A4F" w:rsidRDefault="00345A41" w:rsidP="00395345">
      <w:pPr>
        <w:pStyle w:val="Rubrik2"/>
      </w:pPr>
      <w:bookmarkStart w:id="15" w:name="_Toc192162629"/>
      <w:r w:rsidRPr="006B6A4F">
        <w:lastRenderedPageBreak/>
        <w:t>Övergång från Waran till LMH</w:t>
      </w:r>
      <w:bookmarkEnd w:id="15"/>
    </w:p>
    <w:p w14:paraId="7852F736" w14:textId="77777777" w:rsidR="00345A41" w:rsidRPr="006B6A4F" w:rsidRDefault="00345A41" w:rsidP="00445EEF">
      <w:pPr>
        <w:tabs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</w:rPr>
        <w:t>Byte sker snarast graviditeten är känd, då Waran är teratogent, helst görs bytet innan graviditet.</w:t>
      </w:r>
    </w:p>
    <w:p w14:paraId="21E2C496" w14:textId="77777777" w:rsidR="00345A41" w:rsidRPr="006B6A4F" w:rsidRDefault="00345A41" w:rsidP="00445EEF">
      <w:pPr>
        <w:tabs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</w:rPr>
        <w:t xml:space="preserve">Kontroll av anti-Xa bör göras andra behandlingsdygnet med LMH.  </w:t>
      </w:r>
    </w:p>
    <w:p w14:paraId="36A5686F" w14:textId="77777777" w:rsidR="00345A41" w:rsidRPr="006B6A4F" w:rsidRDefault="00345A41" w:rsidP="00395345">
      <w:pPr>
        <w:pStyle w:val="Rubrik2"/>
      </w:pPr>
      <w:bookmarkStart w:id="16" w:name="_Toc192162630"/>
      <w:r w:rsidRPr="006B6A4F">
        <w:t>Blödningskomplikation</w:t>
      </w:r>
      <w:bookmarkEnd w:id="16"/>
    </w:p>
    <w:p w14:paraId="02A44E35" w14:textId="77777777" w:rsidR="00345A41" w:rsidRPr="006B6A4F" w:rsidRDefault="00345A41" w:rsidP="00862EF6">
      <w:pPr>
        <w:tabs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</w:rPr>
        <w:t>Beroende på allvarlighetsgrad minskas LMH eller sätts ut helt. Transfusion enligt ordinarie rutiner. Protamin kan övervägas vid överdosering av LMH, kontakta koagulationsjour på SU.</w:t>
      </w:r>
    </w:p>
    <w:p w14:paraId="15528134" w14:textId="77777777" w:rsidR="00345A41" w:rsidRPr="006B6A4F" w:rsidRDefault="00345A41" w:rsidP="00395345">
      <w:pPr>
        <w:pStyle w:val="Rubrik2"/>
      </w:pPr>
      <w:bookmarkStart w:id="17" w:name="_Toc192162631"/>
      <w:r w:rsidRPr="006B6A4F">
        <w:t>Heparininducerad trombocytopeni (HIT)</w:t>
      </w:r>
      <w:bookmarkEnd w:id="17"/>
    </w:p>
    <w:p w14:paraId="19337299" w14:textId="77777777" w:rsidR="00345A41" w:rsidRPr="006B6A4F" w:rsidRDefault="00345A41" w:rsidP="00862EF6">
      <w:pPr>
        <w:tabs>
          <w:tab w:val="left" w:pos="2552"/>
          <w:tab w:val="left" w:pos="5245"/>
        </w:tabs>
        <w:spacing w:after="0" w:line="240" w:lineRule="auto"/>
        <w:ind w:right="0"/>
        <w:rPr>
          <w:rFonts w:ascii="Calibri" w:hAnsi="Calibri" w:cs="Calibri"/>
        </w:rPr>
      </w:pPr>
      <w:r w:rsidRPr="006B6A4F">
        <w:rPr>
          <w:rFonts w:ascii="Calibri" w:hAnsi="Calibri" w:cs="Calibri"/>
        </w:rPr>
        <w:t>Oväntad sänkning av TPK &gt; 50 % hos patient som behandlas med LMH. Diagnos ställs med trombocytaggregationstest och HIT-antikroppstest, konsultera koagulationsjour.</w:t>
      </w:r>
    </w:p>
    <w:p w14:paraId="65C00EBA" w14:textId="77777777" w:rsidR="00345A41" w:rsidRPr="006B6A4F" w:rsidRDefault="00345A41" w:rsidP="00862EF6">
      <w:pPr>
        <w:keepLines/>
        <w:tabs>
          <w:tab w:val="left" w:pos="0"/>
          <w:tab w:val="left" w:pos="2552"/>
          <w:tab w:val="left" w:pos="5245"/>
        </w:tabs>
        <w:spacing w:before="60" w:after="0" w:line="240" w:lineRule="auto"/>
        <w:ind w:right="-1"/>
        <w:rPr>
          <w:rFonts w:ascii="Calibri" w:hAnsi="Calibri" w:cs="Calibri"/>
          <w:b/>
          <w:bCs/>
        </w:rPr>
      </w:pPr>
      <w:r w:rsidRPr="006B6A4F">
        <w:rPr>
          <w:rFonts w:ascii="Calibri" w:hAnsi="Calibri" w:cs="Calibri"/>
          <w:b/>
          <w:bCs/>
        </w:rPr>
        <w:t>Byt preparat!</w:t>
      </w:r>
    </w:p>
    <w:p w14:paraId="2872934C" w14:textId="77777777" w:rsidR="00345A41" w:rsidRPr="006B6A4F" w:rsidRDefault="00345A41" w:rsidP="00395345">
      <w:pPr>
        <w:pStyle w:val="Rubrik2"/>
      </w:pPr>
      <w:bookmarkStart w:id="18" w:name="_Toc192162632"/>
      <w:r w:rsidRPr="006B6A4F">
        <w:t>Allergi mot LMH</w:t>
      </w:r>
      <w:bookmarkEnd w:id="18"/>
    </w:p>
    <w:p w14:paraId="4E8984D4" w14:textId="77777777" w:rsidR="00345A41" w:rsidRPr="006B6A4F" w:rsidRDefault="00345A41" w:rsidP="00862EF6">
      <w:pPr>
        <w:keepLines/>
        <w:tabs>
          <w:tab w:val="left" w:pos="0"/>
          <w:tab w:val="left" w:pos="2552"/>
          <w:tab w:val="left" w:pos="5245"/>
        </w:tabs>
        <w:spacing w:after="0" w:line="240" w:lineRule="auto"/>
        <w:ind w:right="-1"/>
        <w:rPr>
          <w:rFonts w:ascii="Calibri" w:hAnsi="Calibri" w:cs="Calibri"/>
          <w:bCs/>
        </w:rPr>
      </w:pPr>
      <w:r w:rsidRPr="006B6A4F">
        <w:rPr>
          <w:rFonts w:ascii="Calibri" w:hAnsi="Calibri" w:cs="Calibri"/>
          <w:bCs/>
        </w:rPr>
        <w:t>I första hand byt Fragmin mot Innohep</w:t>
      </w:r>
    </w:p>
    <w:p w14:paraId="0CB99807" w14:textId="77777777" w:rsidR="00345A41" w:rsidRPr="006B6A4F" w:rsidRDefault="00345A41" w:rsidP="00862EF6">
      <w:pPr>
        <w:keepLines/>
        <w:tabs>
          <w:tab w:val="left" w:pos="0"/>
          <w:tab w:val="left" w:pos="2552"/>
          <w:tab w:val="left" w:pos="5245"/>
        </w:tabs>
        <w:spacing w:after="0" w:line="240" w:lineRule="auto"/>
        <w:ind w:right="-1"/>
        <w:rPr>
          <w:rFonts w:ascii="Calibri" w:hAnsi="Calibri" w:cs="Calibri"/>
          <w:bCs/>
        </w:rPr>
      </w:pPr>
      <w:r w:rsidRPr="006B6A4F">
        <w:rPr>
          <w:rFonts w:ascii="Calibri" w:hAnsi="Calibri" w:cs="Calibri"/>
          <w:bCs/>
        </w:rPr>
        <w:t>Vid svårare allergi byt till Orgaran eller Arixtra och kontakta koagulationsjour/SU.</w:t>
      </w:r>
    </w:p>
    <w:p w14:paraId="470A044F" w14:textId="77777777" w:rsidR="00345A41" w:rsidRPr="006B6A4F" w:rsidRDefault="00345A41" w:rsidP="00862EF6">
      <w:pPr>
        <w:keepLines/>
        <w:tabs>
          <w:tab w:val="left" w:pos="0"/>
          <w:tab w:val="left" w:pos="2552"/>
          <w:tab w:val="left" w:pos="5245"/>
        </w:tabs>
        <w:spacing w:after="0" w:line="240" w:lineRule="auto"/>
        <w:ind w:right="-1"/>
        <w:rPr>
          <w:rFonts w:ascii="Calibri" w:hAnsi="Calibri" w:cs="Calibri"/>
          <w:bCs/>
        </w:rPr>
      </w:pPr>
      <w:r w:rsidRPr="006B6A4F">
        <w:rPr>
          <w:rFonts w:ascii="Calibri" w:hAnsi="Calibri" w:cs="Calibri"/>
          <w:bCs/>
        </w:rPr>
        <w:t>Anmälan till HemARG/SFOG för dokumentation av dessa ovanliga fall.</w:t>
      </w:r>
    </w:p>
    <w:p w14:paraId="429ACFDE" w14:textId="77777777" w:rsidR="00345A41" w:rsidRPr="006B6A4F" w:rsidRDefault="00345A41" w:rsidP="00395345">
      <w:pPr>
        <w:pStyle w:val="Rubrik2"/>
      </w:pPr>
      <w:bookmarkStart w:id="19" w:name="_Toc192162633"/>
      <w:r w:rsidRPr="006B6A4F">
        <w:t>Tromboser postpartum, allmänt</w:t>
      </w:r>
      <w:bookmarkEnd w:id="19"/>
    </w:p>
    <w:p w14:paraId="48255CF4" w14:textId="77777777" w:rsidR="00345A41" w:rsidRPr="006B6A4F" w:rsidRDefault="00345A41" w:rsidP="00862EF6">
      <w:pPr>
        <w:keepLines/>
        <w:tabs>
          <w:tab w:val="left" w:pos="0"/>
          <w:tab w:val="left" w:pos="2552"/>
          <w:tab w:val="left" w:pos="5245"/>
        </w:tabs>
        <w:spacing w:after="0" w:line="240" w:lineRule="auto"/>
        <w:ind w:right="-1"/>
        <w:rPr>
          <w:rFonts w:ascii="Calibri" w:hAnsi="Calibri" w:cs="Calibri"/>
          <w:bCs/>
        </w:rPr>
      </w:pPr>
      <w:r w:rsidRPr="006B6A4F">
        <w:rPr>
          <w:rFonts w:ascii="Calibri" w:hAnsi="Calibri" w:cs="Calibri"/>
          <w:bCs/>
        </w:rPr>
        <w:t>För att lära mer om riskfaktorer kring trombos i anslutning till graviditet rekommenderas att alla patienter som fått en trombos postpartum rapporteras till HemARG via Anna Hagman</w:t>
      </w:r>
    </w:p>
    <w:p w14:paraId="2DA31A4B" w14:textId="77777777" w:rsidR="00345A41" w:rsidRPr="006B6A4F" w:rsidRDefault="00345A41" w:rsidP="00445EEF">
      <w:pPr>
        <w:pStyle w:val="Rubrik2"/>
      </w:pPr>
      <w:bookmarkStart w:id="20" w:name="_Toc192162634"/>
      <w:r w:rsidRPr="006B6A4F">
        <w:t>Källor</w:t>
      </w:r>
      <w:bookmarkEnd w:id="20"/>
    </w:p>
    <w:p w14:paraId="2382BE99" w14:textId="77777777" w:rsidR="00445EEF" w:rsidRDefault="00345A41" w:rsidP="00862EF6">
      <w:pPr>
        <w:keepLines/>
        <w:tabs>
          <w:tab w:val="left" w:pos="0"/>
          <w:tab w:val="left" w:pos="2552"/>
          <w:tab w:val="left" w:pos="5245"/>
        </w:tabs>
        <w:spacing w:before="60" w:after="0" w:line="240" w:lineRule="auto"/>
        <w:ind w:right="-1"/>
        <w:rPr>
          <w:rFonts w:ascii="Calibri" w:hAnsi="Calibri" w:cs="Calibri"/>
          <w:bCs/>
        </w:rPr>
      </w:pPr>
      <w:r w:rsidRPr="006B6A4F">
        <w:rPr>
          <w:rFonts w:ascii="Calibri" w:hAnsi="Calibri" w:cs="Calibri"/>
          <w:bCs/>
        </w:rPr>
        <w:t>HemARG rapport nr 68, 2012</w:t>
      </w:r>
    </w:p>
    <w:p w14:paraId="26D5D835" w14:textId="6A99A603" w:rsidR="00345A41" w:rsidRPr="006B6A4F" w:rsidRDefault="00345A41" w:rsidP="00862EF6">
      <w:pPr>
        <w:keepLines/>
        <w:tabs>
          <w:tab w:val="left" w:pos="0"/>
          <w:tab w:val="left" w:pos="2552"/>
          <w:tab w:val="left" w:pos="5245"/>
        </w:tabs>
        <w:spacing w:before="60" w:after="0" w:line="240" w:lineRule="auto"/>
        <w:ind w:right="-1"/>
        <w:rPr>
          <w:rFonts w:ascii="Calibri" w:hAnsi="Calibri" w:cs="Calibri"/>
          <w:bCs/>
        </w:rPr>
      </w:pPr>
      <w:r w:rsidRPr="006B6A4F">
        <w:rPr>
          <w:rFonts w:ascii="Calibri" w:hAnsi="Calibri" w:cs="Calibri"/>
          <w:bCs/>
        </w:rPr>
        <w:t>RCOG 2016</w:t>
      </w:r>
    </w:p>
    <w:p w14:paraId="74D42E69" w14:textId="77777777" w:rsidR="00345A41" w:rsidRPr="00345A41" w:rsidRDefault="00345A41" w:rsidP="00345A41">
      <w:pPr>
        <w:spacing w:after="0" w:line="240" w:lineRule="auto"/>
        <w:ind w:left="0" w:right="0"/>
        <w:rPr>
          <w:szCs w:val="20"/>
        </w:rPr>
      </w:pPr>
    </w:p>
    <w:p w14:paraId="0B056517" w14:textId="77777777" w:rsidR="00345A41" w:rsidRPr="00345A41" w:rsidRDefault="00345A41" w:rsidP="00345A41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345A41">
        <w:rPr>
          <w:rFonts w:ascii="Arial Fet" w:hAnsi="Arial Fet" w:cs="Arial"/>
          <w:b/>
          <w:bCs/>
          <w:szCs w:val="26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556F9">
      <w:type w:val="continuous"/>
      <w:pgSz w:w="11900" w:h="16840"/>
      <w:pgMar w:top="1418" w:right="1979" w:bottom="0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5065346">
    <w:abstractNumId w:val="17"/>
  </w:num>
  <w:num w:numId="2" w16cid:durableId="1697542472">
    <w:abstractNumId w:val="14"/>
  </w:num>
  <w:num w:numId="3" w16cid:durableId="331952703">
    <w:abstractNumId w:val="0"/>
  </w:num>
  <w:num w:numId="4" w16cid:durableId="1545363259">
    <w:abstractNumId w:val="6"/>
  </w:num>
  <w:num w:numId="5" w16cid:durableId="181092056">
    <w:abstractNumId w:val="15"/>
  </w:num>
  <w:num w:numId="6" w16cid:durableId="1927615567">
    <w:abstractNumId w:val="2"/>
  </w:num>
  <w:num w:numId="7" w16cid:durableId="2068187095">
    <w:abstractNumId w:val="11"/>
  </w:num>
  <w:num w:numId="8" w16cid:durableId="2112310854">
    <w:abstractNumId w:val="8"/>
  </w:num>
  <w:num w:numId="9" w16cid:durableId="487720201">
    <w:abstractNumId w:val="1"/>
  </w:num>
  <w:num w:numId="10" w16cid:durableId="2120442799">
    <w:abstractNumId w:val="1"/>
  </w:num>
  <w:num w:numId="11" w16cid:durableId="360328076">
    <w:abstractNumId w:val="3"/>
  </w:num>
  <w:num w:numId="12" w16cid:durableId="1441485556">
    <w:abstractNumId w:val="4"/>
  </w:num>
  <w:num w:numId="13" w16cid:durableId="155389620">
    <w:abstractNumId w:val="13"/>
  </w:num>
  <w:num w:numId="14" w16cid:durableId="1929388769">
    <w:abstractNumId w:val="9"/>
  </w:num>
  <w:num w:numId="15" w16cid:durableId="7484229">
    <w:abstractNumId w:val="7"/>
  </w:num>
  <w:num w:numId="16" w16cid:durableId="250966882">
    <w:abstractNumId w:val="12"/>
  </w:num>
  <w:num w:numId="17" w16cid:durableId="1388992096">
    <w:abstractNumId w:val="5"/>
  </w:num>
  <w:num w:numId="18" w16cid:durableId="1969319445">
    <w:abstractNumId w:val="10"/>
  </w:num>
  <w:num w:numId="19" w16cid:durableId="15320631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4B3"/>
    <w:rsid w:val="0009062C"/>
    <w:rsid w:val="000947FF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36B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F4A"/>
    <w:rsid w:val="0019632A"/>
    <w:rsid w:val="001A4E7C"/>
    <w:rsid w:val="001B762C"/>
    <w:rsid w:val="001C4D0A"/>
    <w:rsid w:val="001C5FEF"/>
    <w:rsid w:val="002112D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BF3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A41"/>
    <w:rsid w:val="00345EB1"/>
    <w:rsid w:val="00350CC4"/>
    <w:rsid w:val="00355040"/>
    <w:rsid w:val="00360E0D"/>
    <w:rsid w:val="0036357D"/>
    <w:rsid w:val="00363B23"/>
    <w:rsid w:val="0036594C"/>
    <w:rsid w:val="00367D19"/>
    <w:rsid w:val="00371BED"/>
    <w:rsid w:val="00384019"/>
    <w:rsid w:val="003854F1"/>
    <w:rsid w:val="00386106"/>
    <w:rsid w:val="0039118E"/>
    <w:rsid w:val="00395345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4E67"/>
    <w:rsid w:val="0043167E"/>
    <w:rsid w:val="0043409A"/>
    <w:rsid w:val="00443C1E"/>
    <w:rsid w:val="00445EEF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D0E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2D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A4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AE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9A6"/>
    <w:rsid w:val="00754905"/>
    <w:rsid w:val="007556F9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2EF6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1EC"/>
    <w:rsid w:val="008C253E"/>
    <w:rsid w:val="008C4B27"/>
    <w:rsid w:val="008C7F2A"/>
    <w:rsid w:val="008E0D3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1CCA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0DCE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51A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2A5"/>
    <w:rsid w:val="00BB69DB"/>
    <w:rsid w:val="00BC322E"/>
    <w:rsid w:val="00BC44CD"/>
    <w:rsid w:val="00BC48A6"/>
    <w:rsid w:val="00BE7978"/>
    <w:rsid w:val="00BF48B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764"/>
    <w:rsid w:val="00C85DA1"/>
    <w:rsid w:val="00C9071C"/>
    <w:rsid w:val="00C908FF"/>
    <w:rsid w:val="00C97BD3"/>
    <w:rsid w:val="00CA0EDC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363D"/>
    <w:rsid w:val="00FB2F0F"/>
    <w:rsid w:val="00FB5086"/>
    <w:rsid w:val="00FB5411"/>
    <w:rsid w:val="00FB6392"/>
    <w:rsid w:val="00FD3C70"/>
    <w:rsid w:val="00FD6820"/>
    <w:rsid w:val="00FE12D8"/>
    <w:rsid w:val="00FE6DC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0947FF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6</Pages>
  <Words>1209</Words>
  <Characters>8676</Characters>
  <Application>Microsoft Office Word</Application>
  <DocSecurity>0</DocSecurity>
  <Lines>72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9866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Trombosprofylax under graviditet och postpartum vid ökad risk för venös tromboembolism (VTE)</dc:title>
  <dc:subject/>
  <dc:creator>patrik.jens.johansson@vgregion.se</dc:creator>
  <keywords/>
  <lastModifiedBy>Ewelyn Persson</lastModifiedBy>
  <revision>30</revision>
  <lastPrinted>2016-03-31T10:56:00.0000000Z</lastPrinted>
  <dcterms:created xsi:type="dcterms:W3CDTF">2022-05-27T05:50:00.0000000Z</dcterms:created>
  <dcterms:modified xsi:type="dcterms:W3CDTF">2025-03-06T13:12:00.0000000Z</dcterms:modified>
</coreProperties>
</file>