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B999B" w14:textId="77777777" w:rsidR="00205F32" w:rsidRDefault="00205F32" w:rsidP="00F35B05">
      <w:pPr>
        <w:pStyle w:val="Rubrik2"/>
        <w:sectPr w:rsidR="00205F32" w:rsidSect="00205F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80B4D7" w14:textId="77777777" w:rsidR="00205F32" w:rsidRPr="00205F32" w:rsidRDefault="00205F32" w:rsidP="00205F32">
      <w:pPr>
        <w:spacing w:after="0" w:line="240" w:lineRule="auto"/>
        <w:ind w:left="0" w:right="0"/>
        <w:rPr>
          <w:szCs w:val="20"/>
        </w:rPr>
      </w:pPr>
    </w:p>
    <w:p w14:paraId="1FB9D4A4" w14:textId="77777777" w:rsidR="00347288" w:rsidRDefault="00347288" w:rsidP="000D19C5">
      <w:pPr>
        <w:pStyle w:val="Rubrik1"/>
      </w:pPr>
    </w:p>
    <w:p w14:paraId="40A6544D" w14:textId="1CE88818" w:rsidR="00205F32" w:rsidRPr="00205F32" w:rsidRDefault="000D19C5" w:rsidP="000D19C5">
      <w:pPr>
        <w:pStyle w:val="Rubrik1"/>
      </w:pPr>
      <w:r>
        <w:t xml:space="preserve">Prolaps </w:t>
      </w:r>
      <w:r w:rsidR="005B7C2C">
        <w:t>–</w:t>
      </w:r>
      <w:r>
        <w:t xml:space="preserve"> rik</w:t>
      </w:r>
      <w:r w:rsidR="005B7C2C">
        <w:t>tlinjer för utredning och behandling</w:t>
      </w:r>
    </w:p>
    <w:p w14:paraId="6B2FEE48" w14:textId="77777777" w:rsidR="00205F32" w:rsidRPr="00205F32" w:rsidRDefault="00205F32" w:rsidP="005B7C2C">
      <w:pPr>
        <w:pStyle w:val="Rubrik3"/>
      </w:pPr>
      <w:bookmarkStart w:id="1" w:name="_Toc501440349"/>
      <w:r w:rsidRPr="00205F32">
        <w:t>Revidering i denna version</w:t>
      </w:r>
      <w:bookmarkEnd w:id="1"/>
    </w:p>
    <w:p w14:paraId="28D53A97" w14:textId="2A096EDA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Förändringar </w:t>
      </w:r>
      <w:r w:rsidR="00462242">
        <w:rPr>
          <w:rFonts w:ascii="Calibri" w:hAnsi="Calibri" w:cs="Calibri"/>
          <w:szCs w:val="20"/>
        </w:rPr>
        <w:t xml:space="preserve">av innehållet under rubrik Operation. </w:t>
      </w:r>
    </w:p>
    <w:p w14:paraId="17358534" w14:textId="77777777" w:rsidR="00205F32" w:rsidRPr="00205F32" w:rsidRDefault="00205F32" w:rsidP="005B7C2C">
      <w:pPr>
        <w:pStyle w:val="Rubrik2"/>
      </w:pPr>
      <w:bookmarkStart w:id="2" w:name="_Toc501440351"/>
      <w:r w:rsidRPr="00205F32">
        <w:t xml:space="preserve">Åtgärder </w:t>
      </w:r>
      <w:bookmarkEnd w:id="2"/>
    </w:p>
    <w:p w14:paraId="7B43E744" w14:textId="77777777" w:rsidR="00205F32" w:rsidRPr="00205F32" w:rsidRDefault="00205F32" w:rsidP="005B7C2C">
      <w:pPr>
        <w:pStyle w:val="Rubrik3"/>
      </w:pPr>
      <w:bookmarkStart w:id="3" w:name="_Toc501440352"/>
      <w:r w:rsidRPr="00205F32">
        <w:t xml:space="preserve">Utredning </w:t>
      </w:r>
    </w:p>
    <w:p w14:paraId="770C1190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Noggrann anamnes, med symptombeskrivning avseende miktion och defekation samt samlivsanamnes.</w:t>
      </w:r>
    </w:p>
    <w:p w14:paraId="250AB6E1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POP-Q mätning är obligatorisk på alla patienter som handläggs vid Kvinnokliniken i NU-sjukvården.</w:t>
      </w:r>
    </w:p>
    <w:p w14:paraId="27168911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Remiss från gynekolog utan POP-Q-mätning eller annan beskrivning som är likvärdig med POP-Q-mätning som underlag för operationsplaneringen återsändes för komplettering av status om patienten ska kunna operationsplaneras utan föregående besök med bedömning på Kvinnokliniken NU.</w:t>
      </w:r>
    </w:p>
    <w:p w14:paraId="269514EA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Hälsodeklaration ifylld.</w:t>
      </w:r>
    </w:p>
    <w:p w14:paraId="40501047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Allmäntillstånd, hjärt-och lungstatus, blodtryck (så att patienten är förberedd för eventuell operation).</w:t>
      </w:r>
    </w:p>
    <w:p w14:paraId="5A8D4144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Rökare ska tillrådas rökavvänjning enligt rutin.</w:t>
      </w:r>
    </w:p>
    <w:p w14:paraId="780DC6DC" w14:textId="77777777" w:rsidR="00205F32" w:rsidRPr="00205F32" w:rsidRDefault="00205F32" w:rsidP="005B7C2C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szCs w:val="20"/>
        </w:rPr>
      </w:pPr>
      <w:r w:rsidRPr="00205F32">
        <w:rPr>
          <w:rFonts w:ascii="Calibri" w:hAnsi="Calibri" w:cs="Calibri"/>
          <w:szCs w:val="20"/>
        </w:rPr>
        <w:t>Allmän information om orsaker till bäckenbottensvaghet, information om livsstilsfaktorer, realistisk information om vilket resultat som kan förväntas av åtgärderna som föreslås.</w:t>
      </w:r>
    </w:p>
    <w:p w14:paraId="4392DB1C" w14:textId="77777777" w:rsidR="00205F32" w:rsidRPr="00205F32" w:rsidRDefault="00205F32" w:rsidP="00347288">
      <w:pPr>
        <w:pStyle w:val="Rubrik3"/>
      </w:pPr>
      <w:r w:rsidRPr="00205F32">
        <w:t>Behandling</w:t>
      </w:r>
    </w:p>
    <w:p w14:paraId="73EC9E4E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Endast symptomgivande prolaps behandlas.</w:t>
      </w:r>
    </w:p>
    <w:p w14:paraId="57820E12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 w:val="22"/>
          <w:szCs w:val="22"/>
        </w:rPr>
      </w:pPr>
    </w:p>
    <w:p w14:paraId="3362AC92" w14:textId="77777777" w:rsidR="00205F32" w:rsidRPr="00205F32" w:rsidRDefault="00205F32" w:rsidP="00347288">
      <w:pPr>
        <w:pStyle w:val="MellanrubrikVGR"/>
      </w:pPr>
      <w:r w:rsidRPr="00205F32">
        <w:lastRenderedPageBreak/>
        <w:t>Bäckenbottenträning + slemhinneöstrogen</w:t>
      </w:r>
    </w:p>
    <w:p w14:paraId="6B832352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Lindriga symtom och mindre prolaps kan symtom lindras genom insättande av lokalt östrogen och bäckenbottenträning. Skriftliga instruktioner medskickas, eventuellt remiss till sjukgymnast. Slemhinneöstrogen i form av Oestring ring kan ge ett tillräckligt bäckenbottenstöd.</w:t>
      </w:r>
    </w:p>
    <w:p w14:paraId="0873CB26" w14:textId="77777777" w:rsidR="00205F32" w:rsidRPr="00205F32" w:rsidRDefault="00205F32" w:rsidP="00347288">
      <w:pPr>
        <w:pStyle w:val="MellanrubrikVGR"/>
      </w:pPr>
      <w:r w:rsidRPr="00205F32">
        <w:t>Prolapsring</w:t>
      </w:r>
    </w:p>
    <w:p w14:paraId="5D4530F1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Diskutera alltid ring som behandling eller som symptomlindring i väntan på operation.</w:t>
      </w:r>
    </w:p>
    <w:p w14:paraId="427379F9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31B18ED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Väljs ring som behandling bör plan för fortsatta kontroller göras. Återbesök planeras till undersköterska första gången efter 3 – 4 månader, såvida du inte vill göra en utvärdering som ställningstagande inför eventuell operation. Ringbehandling ska alltid kombineras med slemhinneöstrogen i någon form. </w:t>
      </w:r>
    </w:p>
    <w:p w14:paraId="21982347" w14:textId="77777777" w:rsidR="00205F32" w:rsidRPr="00205F32" w:rsidRDefault="00205F32" w:rsidP="005B7C2C">
      <w:pPr>
        <w:spacing w:after="0" w:line="240" w:lineRule="auto"/>
        <w:ind w:right="-1135"/>
        <w:rPr>
          <w:rFonts w:ascii="Calibri" w:hAnsi="Calibri" w:cs="Calibri"/>
          <w:szCs w:val="20"/>
        </w:rPr>
      </w:pPr>
    </w:p>
    <w:p w14:paraId="648E12D6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Ändrar sig patienten innan återbesök eller i anslutning till detta, telefonkontakt till patientansvarig läkare (PAL) som kan sätta upp patienten för operation enligt primärjournalen.</w:t>
      </w:r>
    </w:p>
    <w:p w14:paraId="6F28ED61" w14:textId="77777777" w:rsidR="00205F32" w:rsidRPr="00205F32" w:rsidRDefault="00205F32" w:rsidP="00347288">
      <w:pPr>
        <w:pStyle w:val="MellanrubrikVGR"/>
      </w:pPr>
      <w:r w:rsidRPr="00205F32">
        <w:t>Operation</w:t>
      </w:r>
    </w:p>
    <w:p w14:paraId="10278752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Endast symptomgivande kompartment opereras.</w:t>
      </w:r>
    </w:p>
    <w:p w14:paraId="577F099D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Var restriktiv med operation i både fram- och bakvägg samtidigt.</w:t>
      </w:r>
    </w:p>
    <w:p w14:paraId="3FA0A80C" w14:textId="48825398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Vid recidivprolaps och vid mittkompartmentdescens där cervix/uterus eller vaginaltoppen är involverad </w:t>
      </w:r>
      <w:r w:rsidR="00744212">
        <w:rPr>
          <w:rFonts w:ascii="Calibri" w:hAnsi="Calibri" w:cs="Calibri"/>
          <w:szCs w:val="20"/>
        </w:rPr>
        <w:t>–</w:t>
      </w:r>
      <w:r w:rsidRPr="00205F32">
        <w:rPr>
          <w:rFonts w:ascii="Calibri" w:hAnsi="Calibri" w:cs="Calibri"/>
          <w:szCs w:val="20"/>
        </w:rPr>
        <w:t xml:space="preserve"> rådfråga</w:t>
      </w:r>
      <w:r w:rsidR="00744212">
        <w:rPr>
          <w:rFonts w:ascii="Calibri" w:hAnsi="Calibri" w:cs="Calibri"/>
          <w:szCs w:val="20"/>
        </w:rPr>
        <w:t xml:space="preserve"> lämplig kollega med erfarenhet inom prolapskirurgi.</w:t>
      </w:r>
    </w:p>
    <w:p w14:paraId="115BB04D" w14:textId="1227709E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Mittkompartmentdescens är ofta = descens där sacrospinosusfixation, cervixamputation eller sakrokolpopexi/sakrouteropexi ska övervägas. Diskutera med läkare från </w:t>
      </w:r>
      <w:r w:rsidR="00AF5267">
        <w:rPr>
          <w:rFonts w:ascii="Calibri" w:hAnsi="Calibri" w:cs="Calibri"/>
          <w:szCs w:val="20"/>
        </w:rPr>
        <w:t xml:space="preserve">benigna </w:t>
      </w:r>
      <w:r w:rsidRPr="00205F32">
        <w:rPr>
          <w:rFonts w:ascii="Calibri" w:hAnsi="Calibri" w:cs="Calibri"/>
          <w:szCs w:val="20"/>
        </w:rPr>
        <w:t>teamet angående operationssätt</w:t>
      </w:r>
      <w:r w:rsidR="00AF5267">
        <w:rPr>
          <w:rFonts w:ascii="Calibri" w:hAnsi="Calibri" w:cs="Calibri"/>
          <w:szCs w:val="20"/>
        </w:rPr>
        <w:t>.</w:t>
      </w:r>
    </w:p>
    <w:p w14:paraId="05872895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b/>
          <w:szCs w:val="20"/>
        </w:rPr>
      </w:pPr>
      <w:r w:rsidRPr="00205F32">
        <w:rPr>
          <w:rFonts w:ascii="Calibri" w:hAnsi="Calibri" w:cs="Calibri"/>
          <w:szCs w:val="20"/>
        </w:rPr>
        <w:t xml:space="preserve">Lokal slemhinneöstrogenbehandling är obligatorisk i väntan på operation hos postmenopausala kvinnor – även till kvinnor som haft receptorpositiv bröstcancer. </w:t>
      </w:r>
    </w:p>
    <w:p w14:paraId="2D2C8EDB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b/>
          <w:szCs w:val="20"/>
        </w:rPr>
        <w:t>Diskutera anestesimetod</w:t>
      </w:r>
      <w:r w:rsidRPr="00205F32">
        <w:rPr>
          <w:rFonts w:ascii="Calibri" w:hAnsi="Calibri" w:cs="Calibri"/>
          <w:szCs w:val="20"/>
        </w:rPr>
        <w:t xml:space="preserve">. Med fördel görs ingreppet i lokalbedövning – det är viktigt att ta upp diskussion om anestesimetod vid operationsplaneringen. </w:t>
      </w:r>
    </w:p>
    <w:p w14:paraId="21714047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Patienter som opereras i lokalbedövning eller spinalanestesi kan vara ensamma hemma första dygnet.</w:t>
      </w:r>
    </w:p>
    <w:p w14:paraId="10BB99AB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ASA 1 och ASA 2 patienter opereras i normalfallet som dagkirurgi.</w:t>
      </w:r>
    </w:p>
    <w:p w14:paraId="0802FF9B" w14:textId="7777777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ASA 3 och anamnes på sömnapné (=CPAP apparat nattetid) planeras i slutenvård.</w:t>
      </w:r>
    </w:p>
    <w:p w14:paraId="76147F8C" w14:textId="58B8FF13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>Vid BMI över 35 planeras i största möjliga mån i lokalanestesi</w:t>
      </w:r>
      <w:r w:rsidR="000B45B4">
        <w:rPr>
          <w:rFonts w:ascii="Calibri" w:hAnsi="Calibri" w:cs="Calibri"/>
          <w:szCs w:val="20"/>
        </w:rPr>
        <w:t>.</w:t>
      </w:r>
      <w:r w:rsidRPr="00205F32">
        <w:rPr>
          <w:rFonts w:ascii="Calibri" w:hAnsi="Calibri" w:cs="Calibri"/>
          <w:szCs w:val="20"/>
        </w:rPr>
        <w:t xml:space="preserve"> </w:t>
      </w:r>
    </w:p>
    <w:p w14:paraId="0B6E1E71" w14:textId="4C1E70B7" w:rsidR="00205F32" w:rsidRP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t xml:space="preserve">Även patient som genomgår sakrospinosusligamentfixation planeras i första hand som dagkirurgi men får kvarstanna över natten om behov av till exempel utökad smärtlindring föreligger. </w:t>
      </w:r>
    </w:p>
    <w:p w14:paraId="1A927CD7" w14:textId="55EE7537" w:rsidR="00205F32" w:rsidRDefault="00205F32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205F32">
        <w:rPr>
          <w:rFonts w:ascii="Calibri" w:hAnsi="Calibri" w:cs="Calibri"/>
          <w:szCs w:val="20"/>
        </w:rPr>
        <w:lastRenderedPageBreak/>
        <w:t xml:space="preserve">Fragminprofylax ska ges till kvinnor med operationstid överstigande </w:t>
      </w:r>
      <w:r w:rsidR="00A6262D">
        <w:rPr>
          <w:rFonts w:ascii="Calibri" w:hAnsi="Calibri" w:cs="Calibri"/>
          <w:szCs w:val="20"/>
        </w:rPr>
        <w:br/>
      </w:r>
      <w:r w:rsidRPr="00205F32">
        <w:rPr>
          <w:rFonts w:ascii="Calibri" w:hAnsi="Calibri" w:cs="Calibri"/>
          <w:szCs w:val="20"/>
        </w:rPr>
        <w:t xml:space="preserve">1 timme – se hem-ARG: s rekommendationer angående antikoagulationsbehov i samband med operation. </w:t>
      </w:r>
    </w:p>
    <w:p w14:paraId="4BE4B7B4" w14:textId="2BD7FF30" w:rsidR="00AF5267" w:rsidRPr="00205F32" w:rsidRDefault="00AF5267" w:rsidP="005B7C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Patienter som opereras med laparoskopisk sakro</w:t>
      </w:r>
      <w:r w:rsidR="00DE34BB">
        <w:rPr>
          <w:rFonts w:ascii="Calibri" w:hAnsi="Calibri" w:cs="Calibri"/>
          <w:szCs w:val="20"/>
        </w:rPr>
        <w:t>uteropexi planeras</w:t>
      </w:r>
      <w:r w:rsidR="006F0FD8">
        <w:rPr>
          <w:rFonts w:ascii="Calibri" w:hAnsi="Calibri" w:cs="Calibri"/>
          <w:szCs w:val="20"/>
        </w:rPr>
        <w:t xml:space="preserve"> i slutenvård. </w:t>
      </w:r>
    </w:p>
    <w:p w14:paraId="3940E3DA" w14:textId="77777777" w:rsidR="00205F32" w:rsidRPr="00205F32" w:rsidRDefault="00205F32" w:rsidP="005B7C2C">
      <w:pPr>
        <w:spacing w:after="0" w:line="240" w:lineRule="auto"/>
        <w:ind w:right="0"/>
        <w:rPr>
          <w:rFonts w:ascii="Arial" w:hAnsi="Arial" w:cs="Arial"/>
          <w:b/>
          <w:szCs w:val="20"/>
        </w:rPr>
      </w:pPr>
    </w:p>
    <w:p w14:paraId="0971F4BC" w14:textId="77777777" w:rsidR="00205F32" w:rsidRPr="00205F32" w:rsidRDefault="00205F32" w:rsidP="00347288">
      <w:pPr>
        <w:pStyle w:val="Rubrik3"/>
      </w:pPr>
      <w:r w:rsidRPr="00205F32">
        <w:t>Referenser</w:t>
      </w:r>
    </w:p>
    <w:p w14:paraId="73C67383" w14:textId="77777777" w:rsidR="00205F32" w:rsidRPr="00205F32" w:rsidRDefault="00205F32" w:rsidP="005B7C2C">
      <w:pPr>
        <w:spacing w:after="0" w:line="240" w:lineRule="auto"/>
        <w:ind w:right="0"/>
        <w:rPr>
          <w:rFonts w:ascii="Calibri" w:hAnsi="Calibri" w:cs="Calibri"/>
          <w:sz w:val="20"/>
          <w:szCs w:val="20"/>
        </w:rPr>
      </w:pPr>
      <w:r w:rsidRPr="00205F32">
        <w:rPr>
          <w:rFonts w:ascii="Calibri" w:hAnsi="Calibri" w:cs="Calibri"/>
          <w:sz w:val="20"/>
          <w:szCs w:val="20"/>
        </w:rPr>
        <w:t xml:space="preserve">Wiegersma M, Panman CM, Kollen BJ et al. </w:t>
      </w:r>
      <w:r w:rsidRPr="00205F32">
        <w:rPr>
          <w:rFonts w:ascii="Calibri" w:hAnsi="Calibri" w:cs="Calibri"/>
          <w:sz w:val="20"/>
          <w:szCs w:val="20"/>
          <w:lang w:val="en-US"/>
        </w:rPr>
        <w:t xml:space="preserve">Effect of pelvic floor muscle training compared with watchful waiting in older women with symptomatic mild pelvic organ prolapse: randomised controlled trial in primary care. </w:t>
      </w:r>
      <w:r w:rsidRPr="00205F32">
        <w:rPr>
          <w:rFonts w:ascii="Calibri" w:hAnsi="Calibri" w:cs="Calibri"/>
          <w:sz w:val="20"/>
          <w:szCs w:val="20"/>
        </w:rPr>
        <w:t>BMJ 2014;349:73-78</w:t>
      </w:r>
    </w:p>
    <w:p w14:paraId="1F4A50AB" w14:textId="77777777" w:rsidR="00205F32" w:rsidRPr="00205F32" w:rsidRDefault="00205F32" w:rsidP="005B7C2C">
      <w:pPr>
        <w:spacing w:after="0" w:line="240" w:lineRule="auto"/>
        <w:ind w:right="0"/>
        <w:rPr>
          <w:szCs w:val="20"/>
        </w:rPr>
      </w:pPr>
    </w:p>
    <w:bookmarkEnd w:id="3"/>
    <w:p w14:paraId="01056F24" w14:textId="77777777" w:rsidR="00205F32" w:rsidRPr="00205F32" w:rsidRDefault="00205F32" w:rsidP="005B7C2C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5B7C2C">
      <w:pPr>
        <w:spacing w:after="0" w:line="240" w:lineRule="auto"/>
        <w:ind w:right="0"/>
      </w:pPr>
    </w:p>
    <w:sectPr w:rsidR="00536A5A" w:rsidRPr="00536A5A" w:rsidSect="00205F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92D9B" w14:textId="77777777" w:rsidR="0032456E" w:rsidRDefault="0032456E">
      <w:r>
        <w:separator/>
      </w:r>
    </w:p>
  </w:endnote>
  <w:endnote w:type="continuationSeparator" w:id="0">
    <w:p w14:paraId="4DA4C79A" w14:textId="77777777" w:rsidR="0032456E" w:rsidRDefault="0032456E">
      <w:r>
        <w:continuationSeparator/>
      </w:r>
    </w:p>
  </w:endnote>
  <w:endnote w:type="continuationNotice" w:id="1">
    <w:p w14:paraId="615B3814" w14:textId="77777777" w:rsidR="0032456E" w:rsidRDefault="003245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85E0F" w14:textId="77777777" w:rsidR="0032456E" w:rsidRDefault="0032456E"/>
  </w:footnote>
  <w:footnote w:type="continuationSeparator" w:id="0">
    <w:p w14:paraId="026AAB7C" w14:textId="77777777" w:rsidR="0032456E" w:rsidRDefault="0032456E">
      <w:r>
        <w:continuationSeparator/>
      </w:r>
    </w:p>
  </w:footnote>
  <w:footnote w:type="continuationNotice" w:id="1">
    <w:p w14:paraId="572CFA55" w14:textId="77777777" w:rsidR="0032456E" w:rsidRDefault="003245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0C2FB6"/>
    <w:multiLevelType w:val="hybridMultilevel"/>
    <w:tmpl w:val="F58A566C"/>
    <w:lvl w:ilvl="0" w:tplc="8188B0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9411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0EC8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EA3E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D249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A6AF3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AA4F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588F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8C357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2B1056"/>
    <w:multiLevelType w:val="hybridMultilevel"/>
    <w:tmpl w:val="8D0A4ACE"/>
    <w:lvl w:ilvl="0" w:tplc="8144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E9EC4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2AA4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AAD2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160E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B38CB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4C1D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A61F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6458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848244">
    <w:abstractNumId w:val="19"/>
  </w:num>
  <w:num w:numId="2" w16cid:durableId="1382561843">
    <w:abstractNumId w:val="15"/>
  </w:num>
  <w:num w:numId="3" w16cid:durableId="1056054711">
    <w:abstractNumId w:val="0"/>
  </w:num>
  <w:num w:numId="4" w16cid:durableId="755400120">
    <w:abstractNumId w:val="6"/>
  </w:num>
  <w:num w:numId="5" w16cid:durableId="1674798999">
    <w:abstractNumId w:val="17"/>
  </w:num>
  <w:num w:numId="6" w16cid:durableId="519709215">
    <w:abstractNumId w:val="2"/>
  </w:num>
  <w:num w:numId="7" w16cid:durableId="1335256950">
    <w:abstractNumId w:val="11"/>
  </w:num>
  <w:num w:numId="8" w16cid:durableId="1496071611">
    <w:abstractNumId w:val="8"/>
  </w:num>
  <w:num w:numId="9" w16cid:durableId="808322932">
    <w:abstractNumId w:val="1"/>
  </w:num>
  <w:num w:numId="10" w16cid:durableId="667564610">
    <w:abstractNumId w:val="1"/>
  </w:num>
  <w:num w:numId="11" w16cid:durableId="1014261274">
    <w:abstractNumId w:val="3"/>
  </w:num>
  <w:num w:numId="12" w16cid:durableId="221797372">
    <w:abstractNumId w:val="4"/>
  </w:num>
  <w:num w:numId="13" w16cid:durableId="1942568844">
    <w:abstractNumId w:val="14"/>
  </w:num>
  <w:num w:numId="14" w16cid:durableId="1911571496">
    <w:abstractNumId w:val="9"/>
  </w:num>
  <w:num w:numId="15" w16cid:durableId="1855263514">
    <w:abstractNumId w:val="7"/>
  </w:num>
  <w:num w:numId="16" w16cid:durableId="1096750706">
    <w:abstractNumId w:val="12"/>
  </w:num>
  <w:num w:numId="17" w16cid:durableId="369107984">
    <w:abstractNumId w:val="5"/>
  </w:num>
  <w:num w:numId="18" w16cid:durableId="930547194">
    <w:abstractNumId w:val="10"/>
  </w:num>
  <w:num w:numId="19" w16cid:durableId="14042629">
    <w:abstractNumId w:val="18"/>
  </w:num>
  <w:num w:numId="20" w16cid:durableId="1901092085">
    <w:abstractNumId w:val="13"/>
  </w:num>
  <w:num w:numId="21" w16cid:durableId="19788007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5B4"/>
    <w:rsid w:val="000B7715"/>
    <w:rsid w:val="000D19C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F3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6E"/>
    <w:rsid w:val="00326C24"/>
    <w:rsid w:val="00337F99"/>
    <w:rsid w:val="0034307B"/>
    <w:rsid w:val="00345EB1"/>
    <w:rsid w:val="00347288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7BB"/>
    <w:rsid w:val="00451935"/>
    <w:rsid w:val="00460ED0"/>
    <w:rsid w:val="00462242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C2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0FD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21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332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62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CDB"/>
    <w:rsid w:val="00AD73EC"/>
    <w:rsid w:val="00AE5BC7"/>
    <w:rsid w:val="00AF526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1B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338D"/>
    <w:rsid w:val="00DE34B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3</Pages>
  <Words>590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Prolaps - riktlinjer för utredning och behandling</dc:title>
  <dc:subject/>
  <dc:creator>patrik.jens.johansson@vgregion.se</dc:creator>
  <keywords/>
  <lastModifiedBy>Ewelyn Persson</lastModifiedBy>
  <revision>16</revision>
  <lastPrinted>2016-03-31T10:56:00.0000000Z</lastPrinted>
  <dcterms:created xsi:type="dcterms:W3CDTF">2022-05-13T03:53:00.0000000Z</dcterms:created>
  <dcterms:modified xsi:type="dcterms:W3CDTF">2024-06-10T12:44:00.0000000Z</dcterms:modified>
</coreProperties>
</file>