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E2AB03D" w14:textId="77777777" w:rsidR="00E82E05" w:rsidRDefault="00E82E05" w:rsidP="00F35B05">
      <w:pPr>
        <w:pStyle w:val="Rubrik2"/>
        <w:sectPr w:rsidR="00E82E05" w:rsidSect="00E82E05">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3F121ED1" w14:textId="77777777" w:rsidR="00E82E05" w:rsidRPr="00E82E05" w:rsidRDefault="00E82E05" w:rsidP="00E82E05">
      <w:pPr>
        <w:spacing w:after="0" w:line="240" w:lineRule="auto"/>
        <w:ind w:left="0" w:right="0"/>
        <w:rPr>
          <w:szCs w:val="20"/>
        </w:rPr>
      </w:pPr>
    </w:p>
    <w:p w14:paraId="35350AF3" w14:textId="77777777" w:rsidR="00E82E05" w:rsidRPr="00E82E05" w:rsidRDefault="00E82E05" w:rsidP="00E82E05">
      <w:pPr>
        <w:spacing w:after="0" w:line="240" w:lineRule="auto"/>
        <w:ind w:left="0" w:right="0"/>
        <w:rPr>
          <w:szCs w:val="20"/>
        </w:rPr>
      </w:pPr>
    </w:p>
    <w:p w14:paraId="5CF242D9" w14:textId="77777777" w:rsidR="002827D7" w:rsidRDefault="002827D7" w:rsidP="002827D7">
      <w:pPr>
        <w:pStyle w:val="Rubrik1"/>
      </w:pPr>
    </w:p>
    <w:p w14:paraId="4EF1C9A5" w14:textId="1550AC74" w:rsidR="00E82E05" w:rsidRDefault="002827D7" w:rsidP="002827D7">
      <w:pPr>
        <w:pStyle w:val="Rubrik1"/>
      </w:pPr>
      <w:r>
        <w:t>Postmenopausal blödning</w:t>
      </w:r>
    </w:p>
    <w:p w14:paraId="33678EF9" w14:textId="47542ADE" w:rsidR="00E82E05" w:rsidRPr="00492762" w:rsidRDefault="00E82E05" w:rsidP="00492762">
      <w:pPr>
        <w:pStyle w:val="Rubrik3"/>
      </w:pPr>
      <w:r w:rsidRPr="00E82E05">
        <w:rPr>
          <w:noProof/>
          <w:szCs w:val="20"/>
        </w:rPr>
        <mc:AlternateContent>
          <mc:Choice Requires="wps">
            <w:drawing>
              <wp:anchor distT="0" distB="0" distL="114300" distR="114300" simplePos="0" relativeHeight="251659264" behindDoc="0" locked="0" layoutInCell="1" allowOverlap="1" wp14:anchorId="697184D3" wp14:editId="5C4ADC64">
                <wp:simplePos x="0" y="0"/>
                <wp:positionH relativeFrom="column">
                  <wp:posOffset>6518275</wp:posOffset>
                </wp:positionH>
                <wp:positionV relativeFrom="paragraph">
                  <wp:posOffset>78740</wp:posOffset>
                </wp:positionV>
                <wp:extent cx="1244600" cy="222885"/>
                <wp:effectExtent l="0" t="3810" r="0" b="190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3018478" w14:textId="77777777" w:rsidR="00E82E05" w:rsidRPr="003D37FD" w:rsidRDefault="00E82E05" w:rsidP="00E82E05">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12349</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697184D3" id="_x0000_t202" coordsize="21600,21600" o:spt="202" path="m,l,21600r21600,l21600,xe">
                <v:stroke joinstyle="miter"/>
                <v:path gradientshapeok="t" o:connecttype="rect"/>
              </v:shapetype>
              <v:shape id="Text Box 1" o:spid="_x0000_s1026" type="#_x0000_t202" style="position:absolute;left:0;text-align:left;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43018478" w14:textId="77777777" w:rsidR="00E82E05" w:rsidRPr="003D37FD" w:rsidRDefault="00E82E05" w:rsidP="00E82E05">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12349</w:t>
                      </w:r>
                      <w:r w:rsidRPr="003D37FD">
                        <w:rPr>
                          <w:rFonts w:ascii="Arial" w:hAnsi="Arial" w:cs="Arial"/>
                          <w:color w:val="FFFFFF"/>
                          <w:sz w:val="18"/>
                          <w:szCs w:val="18"/>
                        </w:rPr>
                        <w:fldChar w:fldCharType="end"/>
                      </w:r>
                    </w:p>
                  </w:txbxContent>
                </v:textbox>
              </v:shape>
            </w:pict>
          </mc:Fallback>
        </mc:AlternateContent>
      </w:r>
      <w:r w:rsidRPr="00492762">
        <w:t>Revidering i denna version</w:t>
      </w:r>
    </w:p>
    <w:p w14:paraId="26E4B655" w14:textId="33E2942B" w:rsidR="00E82E05" w:rsidRPr="00492762" w:rsidRDefault="00D11497" w:rsidP="00492762">
      <w:pPr>
        <w:spacing w:after="0" w:line="240" w:lineRule="auto"/>
        <w:ind w:right="0"/>
        <w:rPr>
          <w:rFonts w:ascii="Calibri" w:hAnsi="Calibri" w:cs="Calibri"/>
          <w:szCs w:val="20"/>
        </w:rPr>
      </w:pPr>
      <w:r>
        <w:rPr>
          <w:rFonts w:ascii="Calibri" w:hAnsi="Calibri" w:cs="Calibri"/>
          <w:szCs w:val="20"/>
        </w:rPr>
        <w:t>Endast mindre språklig</w:t>
      </w:r>
      <w:r w:rsidR="00C957C9">
        <w:rPr>
          <w:rFonts w:ascii="Calibri" w:hAnsi="Calibri" w:cs="Calibri"/>
          <w:szCs w:val="20"/>
        </w:rPr>
        <w:t xml:space="preserve">a ändringar i denna version. </w:t>
      </w:r>
    </w:p>
    <w:p w14:paraId="2F33A67C" w14:textId="77777777" w:rsidR="00E82E05" w:rsidRPr="00492762" w:rsidRDefault="00E82E05" w:rsidP="00492762">
      <w:pPr>
        <w:pStyle w:val="Rubrik2"/>
      </w:pPr>
      <w:r w:rsidRPr="00492762">
        <w:t>Definition</w:t>
      </w:r>
    </w:p>
    <w:p w14:paraId="6B86A116" w14:textId="20761F88" w:rsidR="00E82E05" w:rsidRPr="00492762" w:rsidRDefault="00E82E05" w:rsidP="00492762">
      <w:pPr>
        <w:spacing w:after="0" w:line="240" w:lineRule="auto"/>
        <w:ind w:right="-1"/>
        <w:rPr>
          <w:rFonts w:ascii="Calibri" w:hAnsi="Calibri" w:cs="Calibri"/>
        </w:rPr>
      </w:pPr>
      <w:r w:rsidRPr="00492762">
        <w:rPr>
          <w:rFonts w:ascii="Calibri" w:hAnsi="Calibri" w:cs="Calibri"/>
        </w:rPr>
        <w:t xml:space="preserve">Blödning &gt;12 månader efter sista normala menstruationen. Oregelbunden blödning hos </w:t>
      </w:r>
      <w:r w:rsidR="00C957C9">
        <w:rPr>
          <w:rFonts w:ascii="Calibri" w:hAnsi="Calibri" w:cs="Calibri"/>
        </w:rPr>
        <w:t>patienter</w:t>
      </w:r>
      <w:r w:rsidRPr="00492762">
        <w:rPr>
          <w:rFonts w:ascii="Calibri" w:hAnsi="Calibri" w:cs="Calibri"/>
        </w:rPr>
        <w:t xml:space="preserve"> med HRT-behandling. </w:t>
      </w:r>
    </w:p>
    <w:p w14:paraId="26DEB21E" w14:textId="77777777" w:rsidR="00E82E05" w:rsidRPr="00492762" w:rsidRDefault="00E82E05" w:rsidP="00492762">
      <w:pPr>
        <w:pStyle w:val="Rubrik2"/>
      </w:pPr>
      <w:r w:rsidRPr="00492762">
        <w:t>Bakgrund</w:t>
      </w:r>
    </w:p>
    <w:p w14:paraId="4863FCBE" w14:textId="77777777" w:rsidR="00E82E05" w:rsidRPr="00492762" w:rsidRDefault="00E82E05" w:rsidP="00492762">
      <w:pPr>
        <w:spacing w:after="0" w:line="240" w:lineRule="auto"/>
        <w:ind w:right="-1"/>
        <w:rPr>
          <w:rFonts w:ascii="Calibri" w:hAnsi="Calibri" w:cs="Calibri"/>
        </w:rPr>
      </w:pPr>
      <w:r w:rsidRPr="00492762">
        <w:rPr>
          <w:rFonts w:ascii="Calibri" w:hAnsi="Calibri" w:cs="Calibri"/>
        </w:rPr>
        <w:t xml:space="preserve">Postmenopausblödning (PM-blödning) ska utredas enligt </w:t>
      </w:r>
      <w:hyperlink r:id="rId17" w:history="1">
        <w:r w:rsidRPr="00492762">
          <w:rPr>
            <w:rFonts w:ascii="Calibri" w:hAnsi="Calibri" w:cs="Calibri"/>
            <w:color w:val="0000FF"/>
            <w:u w:val="single"/>
          </w:rPr>
          <w:t>SVF Corpuscancer.</w:t>
        </w:r>
      </w:hyperlink>
      <w:r w:rsidRPr="00492762">
        <w:rPr>
          <w:rFonts w:ascii="Calibri" w:hAnsi="Calibri" w:cs="Calibri"/>
        </w:rPr>
        <w:t xml:space="preserve"> Patienten kallas på ett filterbesök för klinisk undersökning inkluderande ultraljudsbedömning av endometriet. </w:t>
      </w:r>
    </w:p>
    <w:p w14:paraId="3EE3E8AE" w14:textId="192AABD6" w:rsidR="00E82E05" w:rsidRPr="00492762" w:rsidRDefault="00E82E05" w:rsidP="00492762">
      <w:pPr>
        <w:spacing w:after="0" w:line="240" w:lineRule="auto"/>
        <w:ind w:right="-1"/>
        <w:rPr>
          <w:rFonts w:ascii="Calibri" w:hAnsi="Calibri" w:cs="Calibri"/>
          <w:b/>
        </w:rPr>
      </w:pPr>
      <w:r w:rsidRPr="00492762">
        <w:rPr>
          <w:rFonts w:ascii="Calibri" w:hAnsi="Calibri" w:cs="Calibri"/>
        </w:rPr>
        <w:t xml:space="preserve">Ultraljud är en bra metod för att avgöra risk för endometriecancer. Hydrosonografi förtydligar om endometrieförtjockningen utgörs av polyp. Cervixcytologi tas om </w:t>
      </w:r>
      <w:r w:rsidR="00FA15FD">
        <w:rPr>
          <w:rFonts w:ascii="Calibri" w:hAnsi="Calibri" w:cs="Calibri"/>
        </w:rPr>
        <w:t>inte</w:t>
      </w:r>
      <w:r w:rsidRPr="00492762">
        <w:rPr>
          <w:rFonts w:ascii="Calibri" w:hAnsi="Calibri" w:cs="Calibri"/>
        </w:rPr>
        <w:t xml:space="preserve"> gjort nyligen, ta px vid misstänkt cervixförändring.</w:t>
      </w:r>
    </w:p>
    <w:p w14:paraId="7832E111" w14:textId="77777777" w:rsidR="00E82E05" w:rsidRPr="00492762" w:rsidRDefault="00E82E05" w:rsidP="0017265B">
      <w:pPr>
        <w:pStyle w:val="Rubrik2"/>
      </w:pPr>
      <w:r w:rsidRPr="00492762">
        <w:t>Metod</w:t>
      </w:r>
    </w:p>
    <w:p w14:paraId="52F1487A" w14:textId="77777777" w:rsidR="00E82E05" w:rsidRPr="00492762" w:rsidRDefault="00E82E05" w:rsidP="00275A73">
      <w:pPr>
        <w:pStyle w:val="MellanrubrikVGR"/>
        <w:spacing w:before="0"/>
      </w:pPr>
      <w:r w:rsidRPr="00492762">
        <w:t>Vaginalt ultraljud</w:t>
      </w:r>
    </w:p>
    <w:p w14:paraId="1188B038" w14:textId="6DFA3121" w:rsidR="00E82E05" w:rsidRPr="00492762" w:rsidRDefault="00E82E05" w:rsidP="00492762">
      <w:pPr>
        <w:spacing w:after="0" w:line="240" w:lineRule="auto"/>
        <w:ind w:right="-1"/>
        <w:rPr>
          <w:rFonts w:ascii="Calibri" w:hAnsi="Calibri" w:cs="Calibri"/>
          <w:b/>
        </w:rPr>
      </w:pPr>
      <w:r w:rsidRPr="00492762">
        <w:rPr>
          <w:rFonts w:ascii="Calibri" w:hAnsi="Calibri" w:cs="Calibri"/>
        </w:rPr>
        <w:t>Mätning av endometriespalten i sagittalplanet där den största tjockleken ska mätas (båda lagren men minus eventuell vätskespalt).</w:t>
      </w:r>
    </w:p>
    <w:p w14:paraId="6452520C" w14:textId="77777777" w:rsidR="00FC50AB" w:rsidRDefault="00E82E05" w:rsidP="00FC50AB">
      <w:pPr>
        <w:pStyle w:val="MellanrubrikVGR"/>
      </w:pPr>
      <w:r w:rsidRPr="00492762">
        <w:t>Endometriebiopsi</w:t>
      </w:r>
    </w:p>
    <w:p w14:paraId="43DD19F4" w14:textId="2E4D5C9C" w:rsidR="00E82E05" w:rsidRPr="00FC50AB" w:rsidRDefault="00E82E05" w:rsidP="00FC50AB">
      <w:pPr>
        <w:spacing w:after="0" w:line="240" w:lineRule="auto"/>
        <w:rPr>
          <w:rFonts w:ascii="Calibri" w:hAnsi="Calibri" w:cs="Calibri"/>
          <w:bCs/>
        </w:rPr>
      </w:pPr>
      <w:r w:rsidRPr="00FC50AB">
        <w:rPr>
          <w:rFonts w:ascii="Calibri" w:hAnsi="Calibri" w:cs="Calibri"/>
        </w:rPr>
        <w:t xml:space="preserve">Ska utföras vid endometriemått ≥5 mm eller vid oidentifierbart endometrium. </w:t>
      </w:r>
    </w:p>
    <w:p w14:paraId="30BB2D7D" w14:textId="77777777" w:rsidR="00892F4D" w:rsidRDefault="00E82E05" w:rsidP="00492762">
      <w:pPr>
        <w:spacing w:after="0" w:line="240" w:lineRule="auto"/>
        <w:ind w:right="-1"/>
        <w:rPr>
          <w:rFonts w:ascii="Calibri" w:hAnsi="Calibri" w:cs="Calibri"/>
          <w:bCs/>
        </w:rPr>
      </w:pPr>
      <w:r w:rsidRPr="00492762">
        <w:rPr>
          <w:rFonts w:ascii="Calibri" w:hAnsi="Calibri" w:cs="Calibri"/>
          <w:bCs/>
        </w:rPr>
        <w:t xml:space="preserve">Det går inte att se på cervix om ingreppet kan utföras. Hjälpmedel är självhållande spekulum, klotång, sond och eventuell PCB. Kontrollera sondmått och för att få tillräckligt material kan man gå in två gånger. </w:t>
      </w:r>
    </w:p>
    <w:p w14:paraId="7B63D44B" w14:textId="09484E19" w:rsidR="00E82E05" w:rsidRPr="00492762" w:rsidRDefault="00E82E05" w:rsidP="00492762">
      <w:pPr>
        <w:spacing w:after="0" w:line="240" w:lineRule="auto"/>
        <w:ind w:right="-1"/>
        <w:rPr>
          <w:rFonts w:ascii="Calibri" w:hAnsi="Calibri" w:cs="Calibri"/>
          <w:bCs/>
        </w:rPr>
      </w:pPr>
      <w:r w:rsidRPr="00492762">
        <w:rPr>
          <w:rFonts w:ascii="Calibri" w:hAnsi="Calibri" w:cs="Calibri"/>
          <w:bCs/>
        </w:rPr>
        <w:lastRenderedPageBreak/>
        <w:t xml:space="preserve">Om endometriebiopsin inte kan genomföras, överväg ett nytt försök med förbehandling i form av smärtlindring (paracetamol + NSAID). Vid östrogenstimulerade slemhinnor kan även 2 Cytotec ges per os minst 3 timmar före ingreppet. </w:t>
      </w:r>
    </w:p>
    <w:p w14:paraId="5E57A7D9" w14:textId="77777777" w:rsidR="00FC50AB" w:rsidRDefault="00E82E05" w:rsidP="00FC50AB">
      <w:pPr>
        <w:pStyle w:val="MellanrubrikVGR"/>
      </w:pPr>
      <w:r w:rsidRPr="00492762">
        <w:t>Hydrosonografi</w:t>
      </w:r>
    </w:p>
    <w:p w14:paraId="3FD443C6" w14:textId="270A0BD6" w:rsidR="00E82E05" w:rsidRPr="00FC50AB" w:rsidRDefault="00E82E05" w:rsidP="00FC50AB">
      <w:pPr>
        <w:spacing w:after="0" w:line="240" w:lineRule="auto"/>
        <w:rPr>
          <w:rFonts w:ascii="Calibri" w:hAnsi="Calibri" w:cs="Calibri"/>
          <w:bCs/>
        </w:rPr>
      </w:pPr>
      <w:r w:rsidRPr="00FC50AB">
        <w:rPr>
          <w:rFonts w:ascii="Calibri" w:hAnsi="Calibri" w:cs="Calibri"/>
        </w:rPr>
        <w:t xml:space="preserve">För att bedöma endometriet ytterligare i kombination med ultraljudet. Föreligger en generellt förtjockad slemhinna eller fokal förändring? Regelbunden eller oregelbunden förtjockning? </w:t>
      </w:r>
    </w:p>
    <w:p w14:paraId="4D38C697" w14:textId="77777777" w:rsidR="00E82E05" w:rsidRPr="00492762" w:rsidRDefault="00E82E05" w:rsidP="00492762">
      <w:pPr>
        <w:spacing w:after="0" w:line="240" w:lineRule="auto"/>
        <w:ind w:right="-1"/>
        <w:rPr>
          <w:rFonts w:ascii="Calibri" w:hAnsi="Calibri" w:cs="Calibri"/>
          <w:bCs/>
        </w:rPr>
      </w:pPr>
      <w:r w:rsidRPr="00492762">
        <w:rPr>
          <w:rFonts w:ascii="Calibri" w:hAnsi="Calibri" w:cs="Calibri"/>
          <w:bCs/>
        </w:rPr>
        <w:t xml:space="preserve">Normalt utförs denna med endometriebiopsikateter och påsatt spruta med koksalt (biopsin kan tas med samma kateter, aspirera med sprutan på). </w:t>
      </w:r>
    </w:p>
    <w:p w14:paraId="1DCCB14C" w14:textId="77777777" w:rsidR="00525FE2" w:rsidRDefault="00E82E05" w:rsidP="00525FE2">
      <w:pPr>
        <w:pStyle w:val="MellanrubrikVGR"/>
        <w:spacing w:after="0"/>
      </w:pPr>
      <w:r w:rsidRPr="00492762">
        <w:t xml:space="preserve">Som regel </w:t>
      </w:r>
    </w:p>
    <w:p w14:paraId="0107E4EB" w14:textId="2D548059" w:rsidR="00E82E05" w:rsidRPr="00604B4E" w:rsidRDefault="00E82E05" w:rsidP="00604B4E">
      <w:pPr>
        <w:spacing w:after="0" w:line="240" w:lineRule="auto"/>
        <w:ind w:right="-1"/>
        <w:rPr>
          <w:rFonts w:ascii="Calibri" w:hAnsi="Calibri" w:cs="Calibri"/>
        </w:rPr>
      </w:pPr>
      <w:r w:rsidRPr="00492762">
        <w:rPr>
          <w:rFonts w:ascii="Calibri" w:hAnsi="Calibri" w:cs="Calibri"/>
          <w:b/>
        </w:rPr>
        <w:t>ska alla patienter med postmenopausal blödning genomgå vaginal ultraljudsundersökning som första åtgärd vid läkarbesöket!</w:t>
      </w:r>
    </w:p>
    <w:p w14:paraId="26E5B76E" w14:textId="77777777" w:rsidR="00E82E05" w:rsidRPr="00492762" w:rsidRDefault="00E82E05" w:rsidP="00492762">
      <w:pPr>
        <w:spacing w:after="0" w:line="240" w:lineRule="auto"/>
        <w:ind w:right="-1"/>
        <w:rPr>
          <w:rFonts w:ascii="Calibri" w:hAnsi="Calibri" w:cs="Calibri"/>
          <w:b/>
        </w:rPr>
      </w:pPr>
      <w:r w:rsidRPr="00492762">
        <w:rPr>
          <w:rFonts w:ascii="Calibri" w:hAnsi="Calibri" w:cs="Calibri"/>
          <w:b/>
        </w:rPr>
        <w:t>Den uppmätta endometrietjockleken avgör sedan den vidare handläggningen.</w:t>
      </w:r>
    </w:p>
    <w:p w14:paraId="55BAC94F" w14:textId="77777777" w:rsidR="00E82E05" w:rsidRPr="00492762" w:rsidRDefault="00E82E05" w:rsidP="00492762">
      <w:pPr>
        <w:tabs>
          <w:tab w:val="left" w:pos="4820"/>
        </w:tabs>
        <w:spacing w:after="0" w:line="240" w:lineRule="auto"/>
        <w:ind w:right="-1"/>
        <w:rPr>
          <w:rFonts w:ascii="Calibri" w:hAnsi="Calibri" w:cs="Calibri"/>
          <w:b/>
          <w:u w:val="single"/>
        </w:rPr>
      </w:pPr>
    </w:p>
    <w:tbl>
      <w:tblPr>
        <w:tblW w:w="8506" w:type="dxa"/>
        <w:tblInd w:w="992" w:type="dxa"/>
        <w:tblLayout w:type="fixed"/>
        <w:tblLook w:val="04A0" w:firstRow="1" w:lastRow="0" w:firstColumn="1" w:lastColumn="0" w:noHBand="0" w:noVBand="1"/>
      </w:tblPr>
      <w:tblGrid>
        <w:gridCol w:w="4644"/>
        <w:gridCol w:w="3862"/>
      </w:tblGrid>
      <w:tr w:rsidR="00E82E05" w:rsidRPr="00492762" w14:paraId="0052319D" w14:textId="77777777" w:rsidTr="009A7AE1">
        <w:tc>
          <w:tcPr>
            <w:tcW w:w="4644" w:type="dxa"/>
            <w:shd w:val="clear" w:color="auto" w:fill="auto"/>
          </w:tcPr>
          <w:p w14:paraId="79C9B293" w14:textId="77777777" w:rsidR="00E82E05" w:rsidRPr="00492762" w:rsidRDefault="00E82E05" w:rsidP="00492762">
            <w:pPr>
              <w:tabs>
                <w:tab w:val="left" w:pos="5103"/>
              </w:tabs>
              <w:spacing w:after="0" w:line="240" w:lineRule="auto"/>
              <w:ind w:left="0" w:right="0"/>
              <w:rPr>
                <w:rFonts w:ascii="Calibri" w:hAnsi="Calibri" w:cs="Calibri"/>
                <w:b/>
              </w:rPr>
            </w:pPr>
            <w:r w:rsidRPr="00492762">
              <w:rPr>
                <w:rFonts w:ascii="Calibri" w:hAnsi="Calibri" w:cs="Calibri"/>
                <w:b/>
              </w:rPr>
              <w:t>Endometrietjocklek</w:t>
            </w:r>
          </w:p>
        </w:tc>
        <w:tc>
          <w:tcPr>
            <w:tcW w:w="3862" w:type="dxa"/>
            <w:shd w:val="clear" w:color="auto" w:fill="auto"/>
          </w:tcPr>
          <w:p w14:paraId="49D4B5E0" w14:textId="77777777" w:rsidR="00E82E05" w:rsidRPr="00492762" w:rsidRDefault="00E82E05" w:rsidP="00492762">
            <w:pPr>
              <w:tabs>
                <w:tab w:val="left" w:pos="5103"/>
              </w:tabs>
              <w:spacing w:after="0" w:line="240" w:lineRule="auto"/>
              <w:ind w:left="0" w:right="0"/>
              <w:rPr>
                <w:rFonts w:ascii="Calibri" w:hAnsi="Calibri" w:cs="Calibri"/>
              </w:rPr>
            </w:pPr>
            <w:r w:rsidRPr="00492762">
              <w:rPr>
                <w:rFonts w:ascii="Calibri" w:hAnsi="Calibri" w:cs="Calibri"/>
                <w:b/>
              </w:rPr>
              <w:t>Handläggning</w:t>
            </w:r>
          </w:p>
        </w:tc>
      </w:tr>
      <w:tr w:rsidR="00E82E05" w:rsidRPr="00492762" w14:paraId="427DC799" w14:textId="77777777" w:rsidTr="009A7AE1">
        <w:tc>
          <w:tcPr>
            <w:tcW w:w="4644" w:type="dxa"/>
            <w:shd w:val="clear" w:color="auto" w:fill="auto"/>
          </w:tcPr>
          <w:p w14:paraId="1CFBE236" w14:textId="77777777" w:rsidR="00E82E05" w:rsidRPr="00492762" w:rsidRDefault="00E82E05" w:rsidP="00492762">
            <w:pPr>
              <w:tabs>
                <w:tab w:val="left" w:pos="3686"/>
                <w:tab w:val="left" w:pos="5103"/>
                <w:tab w:val="left" w:pos="7088"/>
              </w:tabs>
              <w:spacing w:before="60" w:after="0" w:line="240" w:lineRule="auto"/>
              <w:ind w:left="0" w:right="0"/>
              <w:rPr>
                <w:rFonts w:ascii="Calibri" w:hAnsi="Calibri" w:cs="Calibri"/>
                <w:b/>
                <w:noProof/>
              </w:rPr>
            </w:pPr>
            <w:r w:rsidRPr="00492762">
              <w:rPr>
                <w:rFonts w:ascii="Calibri" w:hAnsi="Calibri" w:cs="Calibri"/>
                <w:b/>
                <w:noProof/>
              </w:rPr>
              <w:sym w:font="Symbol" w:char="F03C"/>
            </w:r>
            <w:r w:rsidRPr="00492762">
              <w:rPr>
                <w:rFonts w:ascii="Calibri" w:hAnsi="Calibri" w:cs="Calibri"/>
                <w:b/>
                <w:noProof/>
              </w:rPr>
              <w:t xml:space="preserve"> 5 mm</w:t>
            </w:r>
          </w:p>
        </w:tc>
        <w:tc>
          <w:tcPr>
            <w:tcW w:w="3862" w:type="dxa"/>
            <w:shd w:val="clear" w:color="auto" w:fill="auto"/>
          </w:tcPr>
          <w:p w14:paraId="0621EE17" w14:textId="77777777" w:rsidR="00E82E05" w:rsidRPr="00492762" w:rsidRDefault="00E82E05" w:rsidP="00492762">
            <w:pPr>
              <w:numPr>
                <w:ilvl w:val="0"/>
                <w:numId w:val="20"/>
              </w:numPr>
              <w:tabs>
                <w:tab w:val="left" w:pos="5103"/>
                <w:tab w:val="left" w:pos="7088"/>
              </w:tabs>
              <w:spacing w:before="60" w:after="0" w:line="240" w:lineRule="auto"/>
              <w:ind w:left="318" w:right="0"/>
              <w:rPr>
                <w:rFonts w:ascii="Calibri" w:hAnsi="Calibri" w:cs="Calibri"/>
                <w:noProof/>
              </w:rPr>
            </w:pPr>
            <w:r w:rsidRPr="00492762">
              <w:rPr>
                <w:rFonts w:ascii="Calibri" w:hAnsi="Calibri" w:cs="Calibri"/>
                <w:noProof/>
              </w:rPr>
              <w:t xml:space="preserve"> Cytologprov</w:t>
            </w:r>
          </w:p>
          <w:p w14:paraId="169066CE" w14:textId="77777777" w:rsidR="001366B3" w:rsidRDefault="00E82E05" w:rsidP="00492762">
            <w:pPr>
              <w:numPr>
                <w:ilvl w:val="0"/>
                <w:numId w:val="20"/>
              </w:numPr>
              <w:tabs>
                <w:tab w:val="left" w:pos="5103"/>
                <w:tab w:val="left" w:pos="7088"/>
              </w:tabs>
              <w:spacing w:before="60" w:after="0" w:line="240" w:lineRule="auto"/>
              <w:ind w:left="318" w:right="0"/>
              <w:rPr>
                <w:rFonts w:ascii="Calibri" w:hAnsi="Calibri" w:cs="Calibri"/>
                <w:noProof/>
              </w:rPr>
            </w:pPr>
            <w:r w:rsidRPr="00492762">
              <w:rPr>
                <w:rFonts w:ascii="Calibri" w:hAnsi="Calibri" w:cs="Calibri"/>
                <w:noProof/>
              </w:rPr>
              <w:t xml:space="preserve"> Exspektans. Patienten uppmanas söka åter vid ny blödning.</w:t>
            </w:r>
          </w:p>
          <w:p w14:paraId="5EB78BDF" w14:textId="1FC653FA" w:rsidR="00E82E05" w:rsidRPr="00492762" w:rsidRDefault="00E82E05" w:rsidP="001366B3">
            <w:pPr>
              <w:tabs>
                <w:tab w:val="left" w:pos="5103"/>
                <w:tab w:val="left" w:pos="7088"/>
              </w:tabs>
              <w:spacing w:before="60" w:after="0" w:line="240" w:lineRule="auto"/>
              <w:ind w:left="50" w:right="0"/>
              <w:rPr>
                <w:rFonts w:ascii="Calibri" w:hAnsi="Calibri" w:cs="Calibri"/>
                <w:noProof/>
              </w:rPr>
            </w:pPr>
            <w:r w:rsidRPr="00492762">
              <w:rPr>
                <w:rFonts w:ascii="Calibri" w:hAnsi="Calibri" w:cs="Calibri"/>
                <w:noProof/>
              </w:rPr>
              <w:t xml:space="preserve"> </w:t>
            </w:r>
          </w:p>
        </w:tc>
      </w:tr>
      <w:tr w:rsidR="00E82E05" w:rsidRPr="00492762" w14:paraId="267AD9FF" w14:textId="77777777" w:rsidTr="009A7AE1">
        <w:tc>
          <w:tcPr>
            <w:tcW w:w="4644" w:type="dxa"/>
            <w:shd w:val="clear" w:color="auto" w:fill="auto"/>
          </w:tcPr>
          <w:p w14:paraId="6E5F0D66" w14:textId="77777777" w:rsidR="00E82E05" w:rsidRPr="00492762" w:rsidRDefault="00E82E05" w:rsidP="00492762">
            <w:pPr>
              <w:tabs>
                <w:tab w:val="left" w:pos="5103"/>
              </w:tabs>
              <w:spacing w:after="0" w:line="240" w:lineRule="auto"/>
              <w:ind w:left="0" w:right="0"/>
              <w:rPr>
                <w:rFonts w:ascii="Calibri" w:hAnsi="Calibri" w:cs="Calibri"/>
              </w:rPr>
            </w:pPr>
            <w:r w:rsidRPr="00492762">
              <w:rPr>
                <w:rFonts w:ascii="Calibri" w:hAnsi="Calibri" w:cs="Calibri"/>
                <w:u w:val="single"/>
              </w:rPr>
              <w:t>&gt;</w:t>
            </w:r>
            <w:r w:rsidRPr="00492762">
              <w:rPr>
                <w:rFonts w:ascii="Calibri" w:hAnsi="Calibri" w:cs="Calibri"/>
              </w:rPr>
              <w:t xml:space="preserve"> 5 mm eller inte mätbart/osäkert fynd</w:t>
            </w:r>
          </w:p>
        </w:tc>
        <w:tc>
          <w:tcPr>
            <w:tcW w:w="3862" w:type="dxa"/>
            <w:shd w:val="clear" w:color="auto" w:fill="auto"/>
          </w:tcPr>
          <w:p w14:paraId="4F91F392" w14:textId="77777777" w:rsidR="00E82E05" w:rsidRPr="00492762" w:rsidRDefault="00E82E05" w:rsidP="00492762">
            <w:pPr>
              <w:numPr>
                <w:ilvl w:val="0"/>
                <w:numId w:val="21"/>
              </w:numPr>
              <w:tabs>
                <w:tab w:val="left" w:pos="5103"/>
              </w:tabs>
              <w:spacing w:after="0" w:line="240" w:lineRule="auto"/>
              <w:ind w:right="0"/>
              <w:rPr>
                <w:rFonts w:ascii="Calibri" w:hAnsi="Calibri" w:cs="Calibri"/>
              </w:rPr>
            </w:pPr>
            <w:r w:rsidRPr="00492762">
              <w:rPr>
                <w:rFonts w:ascii="Calibri" w:hAnsi="Calibri" w:cs="Calibri"/>
              </w:rPr>
              <w:t xml:space="preserve"> Cytologprov</w:t>
            </w:r>
          </w:p>
          <w:p w14:paraId="2D3A0913" w14:textId="31B79414" w:rsidR="00E82E05" w:rsidRPr="00492762" w:rsidRDefault="00E82E05" w:rsidP="00492762">
            <w:pPr>
              <w:numPr>
                <w:ilvl w:val="0"/>
                <w:numId w:val="21"/>
              </w:numPr>
              <w:tabs>
                <w:tab w:val="left" w:pos="5103"/>
              </w:tabs>
              <w:spacing w:after="0" w:line="240" w:lineRule="auto"/>
              <w:ind w:right="0"/>
              <w:rPr>
                <w:rFonts w:ascii="Calibri" w:hAnsi="Calibri" w:cs="Calibri"/>
              </w:rPr>
            </w:pPr>
            <w:r w:rsidRPr="00492762">
              <w:rPr>
                <w:rFonts w:ascii="Calibri" w:hAnsi="Calibri" w:cs="Calibri"/>
              </w:rPr>
              <w:t xml:space="preserve"> Hydrosonografi +</w:t>
            </w:r>
            <w:r w:rsidR="00E22B58">
              <w:rPr>
                <w:rFonts w:ascii="Calibri" w:hAnsi="Calibri" w:cs="Calibri"/>
              </w:rPr>
              <w:br/>
              <w:t xml:space="preserve">     </w:t>
            </w:r>
            <w:r w:rsidRPr="00492762">
              <w:rPr>
                <w:rFonts w:ascii="Calibri" w:hAnsi="Calibri" w:cs="Calibri"/>
              </w:rPr>
              <w:t>endometriebiopsi</w:t>
            </w:r>
          </w:p>
        </w:tc>
      </w:tr>
    </w:tbl>
    <w:p w14:paraId="5209D909" w14:textId="77777777" w:rsidR="00E82E05" w:rsidRPr="00492762" w:rsidRDefault="00E82E05" w:rsidP="00492762">
      <w:pPr>
        <w:tabs>
          <w:tab w:val="left" w:pos="5103"/>
        </w:tabs>
        <w:spacing w:after="0" w:line="240" w:lineRule="auto"/>
        <w:ind w:right="-1"/>
        <w:rPr>
          <w:rFonts w:ascii="Calibri" w:hAnsi="Calibri" w:cs="Calibri"/>
        </w:rPr>
      </w:pPr>
    </w:p>
    <w:p w14:paraId="5ED82075" w14:textId="77777777" w:rsidR="00E82E05" w:rsidRPr="00492762" w:rsidRDefault="00E82E05" w:rsidP="00492762">
      <w:pPr>
        <w:tabs>
          <w:tab w:val="left" w:pos="5103"/>
        </w:tabs>
        <w:spacing w:after="0" w:line="240" w:lineRule="auto"/>
        <w:ind w:right="-1"/>
        <w:rPr>
          <w:rFonts w:ascii="Calibri" w:hAnsi="Calibri" w:cs="Calibri"/>
        </w:rPr>
      </w:pPr>
      <w:r w:rsidRPr="00492762">
        <w:rPr>
          <w:rFonts w:ascii="Calibri" w:hAnsi="Calibri" w:cs="Calibri"/>
        </w:rPr>
        <w:t xml:space="preserve">Om fokalförändring vid hydrosonografi och benign endometriebiopsi </w:t>
      </w:r>
      <w:r w:rsidRPr="00492762">
        <w:rPr>
          <w:rFonts w:ascii="Calibri" w:hAnsi="Calibri" w:cs="Calibri"/>
          <w:lang w:val="en-GB"/>
        </w:rPr>
        <w:sym w:font="Wingdings" w:char="F0E0"/>
      </w:r>
      <w:r w:rsidRPr="00492762">
        <w:rPr>
          <w:rFonts w:ascii="Calibri" w:hAnsi="Calibri" w:cs="Calibri"/>
        </w:rPr>
        <w:t xml:space="preserve"> TCR-P + cervixcurettage.</w:t>
      </w:r>
    </w:p>
    <w:p w14:paraId="246221D1" w14:textId="77777777" w:rsidR="00E82E05" w:rsidRPr="00492762" w:rsidRDefault="00E82E05" w:rsidP="00492762">
      <w:pPr>
        <w:tabs>
          <w:tab w:val="left" w:pos="5103"/>
        </w:tabs>
        <w:spacing w:after="0" w:line="240" w:lineRule="auto"/>
        <w:ind w:right="-1"/>
        <w:rPr>
          <w:rFonts w:ascii="Calibri" w:hAnsi="Calibri" w:cs="Calibri"/>
          <w:b/>
          <w:bCs/>
        </w:rPr>
      </w:pPr>
    </w:p>
    <w:p w14:paraId="63B80552" w14:textId="77777777" w:rsidR="00E82E05" w:rsidRPr="00492762" w:rsidRDefault="00E82E05" w:rsidP="00492762">
      <w:pPr>
        <w:spacing w:after="0" w:line="240" w:lineRule="auto"/>
        <w:ind w:right="-1"/>
        <w:rPr>
          <w:rFonts w:ascii="Calibri" w:hAnsi="Calibri" w:cs="Calibri"/>
        </w:rPr>
      </w:pPr>
      <w:r w:rsidRPr="00492762">
        <w:rPr>
          <w:rFonts w:ascii="Calibri" w:hAnsi="Calibri" w:cs="Calibri"/>
          <w:b/>
          <w:bCs/>
        </w:rPr>
        <w:t>Endometriebiopsi/hydrosonografi inte genomförbar och ultraljud visar förtjockat endometrium</w:t>
      </w:r>
    </w:p>
    <w:p w14:paraId="25B1160C" w14:textId="77777777" w:rsidR="00E82E05" w:rsidRPr="00492762" w:rsidRDefault="00E82E05" w:rsidP="00492762">
      <w:pPr>
        <w:tabs>
          <w:tab w:val="left" w:pos="5103"/>
        </w:tabs>
        <w:spacing w:after="0" w:line="240" w:lineRule="auto"/>
        <w:ind w:left="6092" w:right="-1" w:hanging="5100"/>
        <w:rPr>
          <w:rFonts w:ascii="Calibri" w:hAnsi="Calibri" w:cs="Calibri"/>
        </w:rPr>
      </w:pPr>
    </w:p>
    <w:p w14:paraId="15A79C7C" w14:textId="77777777" w:rsidR="00E82E05" w:rsidRPr="00492762" w:rsidRDefault="00E82E05" w:rsidP="00492762">
      <w:pPr>
        <w:spacing w:after="0" w:line="240" w:lineRule="auto"/>
        <w:ind w:right="-1"/>
        <w:rPr>
          <w:rFonts w:ascii="Calibri" w:hAnsi="Calibri" w:cs="Calibri"/>
        </w:rPr>
      </w:pPr>
      <w:r w:rsidRPr="00492762">
        <w:rPr>
          <w:rFonts w:ascii="Calibri" w:hAnsi="Calibri" w:cs="Calibri"/>
        </w:rPr>
        <w:t>Anmäl för diagnostisk hysteroskopi + fraktionerat.curettage inom 2 veckor.</w:t>
      </w:r>
      <w:r w:rsidRPr="00492762">
        <w:rPr>
          <w:rFonts w:ascii="Calibri" w:hAnsi="Calibri" w:cs="Calibri"/>
        </w:rPr>
        <w:br/>
        <w:t xml:space="preserve">Vid östrogenstimulerade slemhinnor kan 2 tabletter Cytotec per os ges minst </w:t>
      </w:r>
    </w:p>
    <w:p w14:paraId="5A2AF785" w14:textId="77777777" w:rsidR="00E82E05" w:rsidRDefault="00E82E05" w:rsidP="00492762">
      <w:pPr>
        <w:spacing w:after="0" w:line="240" w:lineRule="auto"/>
        <w:ind w:right="-1"/>
        <w:rPr>
          <w:rFonts w:ascii="Calibri" w:hAnsi="Calibri" w:cs="Calibri"/>
          <w:color w:val="0000FF"/>
          <w:u w:val="single"/>
        </w:rPr>
      </w:pPr>
      <w:r w:rsidRPr="00492762">
        <w:rPr>
          <w:rFonts w:ascii="Calibri" w:hAnsi="Calibri" w:cs="Calibri"/>
        </w:rPr>
        <w:t xml:space="preserve">3 timmar före ingreppet. </w:t>
      </w:r>
      <w:hyperlink r:id="rId18" w:history="1">
        <w:r w:rsidRPr="00492762">
          <w:rPr>
            <w:rFonts w:ascii="Calibri" w:hAnsi="Calibri" w:cs="Calibri"/>
            <w:color w:val="0000FF"/>
            <w:u w:val="single"/>
          </w:rPr>
          <w:t>Se rutin Hysteroskopiska ingrepp</w:t>
        </w:r>
      </w:hyperlink>
    </w:p>
    <w:p w14:paraId="4FD09048" w14:textId="77777777" w:rsidR="003B39BE" w:rsidRPr="00492762" w:rsidRDefault="003B39BE" w:rsidP="00492762">
      <w:pPr>
        <w:spacing w:after="0" w:line="240" w:lineRule="auto"/>
        <w:ind w:right="-1"/>
        <w:rPr>
          <w:rFonts w:ascii="Calibri" w:hAnsi="Calibri" w:cs="Calibri"/>
        </w:rPr>
      </w:pPr>
    </w:p>
    <w:tbl>
      <w:tblPr>
        <w:tblW w:w="7939" w:type="dxa"/>
        <w:tblInd w:w="992" w:type="dxa"/>
        <w:tblLayout w:type="fixed"/>
        <w:tblLook w:val="04A0" w:firstRow="1" w:lastRow="0" w:firstColumn="1" w:lastColumn="0" w:noHBand="0" w:noVBand="1"/>
      </w:tblPr>
      <w:tblGrid>
        <w:gridCol w:w="4644"/>
        <w:gridCol w:w="3295"/>
      </w:tblGrid>
      <w:tr w:rsidR="003B39BE" w:rsidRPr="00492762" w14:paraId="58C7F3A4" w14:textId="77777777" w:rsidTr="000B36E1">
        <w:tc>
          <w:tcPr>
            <w:tcW w:w="4644" w:type="dxa"/>
            <w:shd w:val="clear" w:color="auto" w:fill="auto"/>
          </w:tcPr>
          <w:p w14:paraId="5F59FB83" w14:textId="5FB2640C" w:rsidR="003B39BE" w:rsidRPr="00492762" w:rsidRDefault="003B39BE" w:rsidP="002F2565">
            <w:pPr>
              <w:tabs>
                <w:tab w:val="left" w:pos="5103"/>
              </w:tabs>
              <w:spacing w:after="0" w:line="240" w:lineRule="auto"/>
              <w:ind w:left="0" w:right="0"/>
              <w:rPr>
                <w:rFonts w:ascii="Calibri" w:hAnsi="Calibri" w:cs="Calibri"/>
                <w:b/>
              </w:rPr>
            </w:pPr>
            <w:r>
              <w:rPr>
                <w:rFonts w:ascii="Calibri" w:hAnsi="Calibri" w:cs="Calibri"/>
                <w:b/>
              </w:rPr>
              <w:t>Återkommande blödning inom 1 år</w:t>
            </w:r>
          </w:p>
        </w:tc>
        <w:tc>
          <w:tcPr>
            <w:tcW w:w="3295" w:type="dxa"/>
            <w:shd w:val="clear" w:color="auto" w:fill="auto"/>
          </w:tcPr>
          <w:p w14:paraId="1A12A81C" w14:textId="589ECAD1" w:rsidR="003B39BE" w:rsidRPr="00492762" w:rsidRDefault="003B39BE" w:rsidP="002F2565">
            <w:pPr>
              <w:tabs>
                <w:tab w:val="left" w:pos="5103"/>
              </w:tabs>
              <w:spacing w:after="0" w:line="240" w:lineRule="auto"/>
              <w:ind w:left="0" w:right="0"/>
              <w:rPr>
                <w:rFonts w:ascii="Calibri" w:hAnsi="Calibri" w:cs="Calibri"/>
              </w:rPr>
            </w:pPr>
          </w:p>
        </w:tc>
      </w:tr>
      <w:tr w:rsidR="003B39BE" w:rsidRPr="00492762" w14:paraId="20D959C4" w14:textId="77777777" w:rsidTr="000B36E1">
        <w:tc>
          <w:tcPr>
            <w:tcW w:w="4644" w:type="dxa"/>
            <w:shd w:val="clear" w:color="auto" w:fill="auto"/>
          </w:tcPr>
          <w:p w14:paraId="362E6ABE" w14:textId="6868A55E" w:rsidR="003B39BE" w:rsidRPr="008148CD" w:rsidRDefault="008148CD" w:rsidP="002F2565">
            <w:pPr>
              <w:tabs>
                <w:tab w:val="left" w:pos="3686"/>
                <w:tab w:val="left" w:pos="5103"/>
                <w:tab w:val="left" w:pos="7088"/>
              </w:tabs>
              <w:spacing w:before="60" w:after="0" w:line="240" w:lineRule="auto"/>
              <w:ind w:left="0" w:right="0"/>
              <w:rPr>
                <w:rFonts w:ascii="Calibri" w:hAnsi="Calibri" w:cs="Calibri"/>
                <w:bCs/>
                <w:noProof/>
              </w:rPr>
            </w:pPr>
            <w:r>
              <w:rPr>
                <w:rFonts w:ascii="Calibri" w:hAnsi="Calibri" w:cs="Calibri"/>
                <w:bCs/>
                <w:noProof/>
              </w:rPr>
              <w:t>Endometrium &lt;5 mm</w:t>
            </w:r>
          </w:p>
        </w:tc>
        <w:tc>
          <w:tcPr>
            <w:tcW w:w="3295" w:type="dxa"/>
            <w:shd w:val="clear" w:color="auto" w:fill="auto"/>
          </w:tcPr>
          <w:p w14:paraId="75F38A72" w14:textId="77777777" w:rsidR="003B39BE" w:rsidRDefault="008148CD" w:rsidP="008148CD">
            <w:pPr>
              <w:pStyle w:val="Liststycke"/>
              <w:numPr>
                <w:ilvl w:val="0"/>
                <w:numId w:val="22"/>
              </w:numPr>
              <w:tabs>
                <w:tab w:val="left" w:pos="5103"/>
                <w:tab w:val="left" w:pos="7088"/>
              </w:tabs>
              <w:spacing w:before="60" w:after="0" w:line="240" w:lineRule="auto"/>
              <w:ind w:right="0"/>
              <w:rPr>
                <w:rFonts w:ascii="Calibri" w:hAnsi="Calibri" w:cs="Calibri"/>
                <w:noProof/>
              </w:rPr>
            </w:pPr>
            <w:r>
              <w:rPr>
                <w:rFonts w:ascii="Calibri" w:hAnsi="Calibri" w:cs="Calibri"/>
                <w:noProof/>
              </w:rPr>
              <w:t>Cytologprov</w:t>
            </w:r>
          </w:p>
          <w:p w14:paraId="7E2D09AE" w14:textId="07B2B13B" w:rsidR="00FA7F02" w:rsidRPr="008148CD" w:rsidRDefault="00FA7F02" w:rsidP="008148CD">
            <w:pPr>
              <w:pStyle w:val="Liststycke"/>
              <w:numPr>
                <w:ilvl w:val="0"/>
                <w:numId w:val="22"/>
              </w:numPr>
              <w:tabs>
                <w:tab w:val="left" w:pos="5103"/>
                <w:tab w:val="left" w:pos="7088"/>
              </w:tabs>
              <w:spacing w:before="60" w:after="0" w:line="240" w:lineRule="auto"/>
              <w:ind w:right="0"/>
              <w:rPr>
                <w:rFonts w:ascii="Calibri" w:hAnsi="Calibri" w:cs="Calibri"/>
                <w:noProof/>
              </w:rPr>
            </w:pPr>
            <w:r>
              <w:rPr>
                <w:rFonts w:ascii="Calibri" w:hAnsi="Calibri" w:cs="Calibri"/>
                <w:noProof/>
              </w:rPr>
              <w:t>Endometriebiopsi</w:t>
            </w:r>
            <w:r>
              <w:rPr>
                <w:rFonts w:ascii="Calibri" w:hAnsi="Calibri" w:cs="Calibri"/>
                <w:noProof/>
              </w:rPr>
              <w:br/>
            </w:r>
          </w:p>
        </w:tc>
      </w:tr>
      <w:tr w:rsidR="003B39BE" w:rsidRPr="00492762" w14:paraId="11339816" w14:textId="77777777" w:rsidTr="000B36E1">
        <w:tc>
          <w:tcPr>
            <w:tcW w:w="4644" w:type="dxa"/>
            <w:shd w:val="clear" w:color="auto" w:fill="auto"/>
          </w:tcPr>
          <w:p w14:paraId="4D5569ED" w14:textId="48651117" w:rsidR="003B39BE" w:rsidRPr="00492762" w:rsidRDefault="00FA7F02" w:rsidP="002F2565">
            <w:pPr>
              <w:tabs>
                <w:tab w:val="left" w:pos="5103"/>
              </w:tabs>
              <w:spacing w:after="0" w:line="240" w:lineRule="auto"/>
              <w:ind w:left="0" w:right="0"/>
              <w:rPr>
                <w:rFonts w:ascii="Calibri" w:hAnsi="Calibri" w:cs="Calibri"/>
              </w:rPr>
            </w:pPr>
            <w:r>
              <w:rPr>
                <w:rFonts w:ascii="Calibri" w:hAnsi="Calibri" w:cs="Calibri"/>
              </w:rPr>
              <w:t>Endometrium ≥5 mm</w:t>
            </w:r>
          </w:p>
        </w:tc>
        <w:tc>
          <w:tcPr>
            <w:tcW w:w="3295" w:type="dxa"/>
            <w:shd w:val="clear" w:color="auto" w:fill="auto"/>
          </w:tcPr>
          <w:p w14:paraId="4880D336" w14:textId="78F1AB6F" w:rsidR="003B39BE" w:rsidRPr="00492762" w:rsidRDefault="00AD26B7" w:rsidP="003B39BE">
            <w:pPr>
              <w:tabs>
                <w:tab w:val="left" w:pos="5103"/>
              </w:tabs>
              <w:spacing w:after="0" w:line="240" w:lineRule="auto"/>
              <w:ind w:left="0" w:right="0"/>
              <w:rPr>
                <w:rFonts w:ascii="Calibri" w:hAnsi="Calibri" w:cs="Calibri"/>
              </w:rPr>
            </w:pPr>
            <w:r>
              <w:rPr>
                <w:rFonts w:ascii="Calibri" w:hAnsi="Calibri" w:cs="Calibri"/>
              </w:rPr>
              <w:t>Handläggning som ovan inklusive hydrosonografi</w:t>
            </w:r>
          </w:p>
        </w:tc>
      </w:tr>
    </w:tbl>
    <w:p w14:paraId="06D61E6D" w14:textId="77777777" w:rsidR="003B39BE" w:rsidRDefault="003B39BE" w:rsidP="00492762">
      <w:pPr>
        <w:keepNext/>
        <w:spacing w:before="240" w:after="60" w:line="240" w:lineRule="auto"/>
        <w:ind w:right="-1"/>
        <w:outlineLvl w:val="1"/>
        <w:rPr>
          <w:rFonts w:ascii="Calibri" w:hAnsi="Calibri" w:cs="Calibri"/>
          <w:b/>
          <w:bCs/>
          <w:iCs/>
        </w:rPr>
      </w:pPr>
    </w:p>
    <w:p w14:paraId="5E0F1EA6" w14:textId="77777777" w:rsidR="00E82E05" w:rsidRPr="00492762" w:rsidRDefault="00E82E05" w:rsidP="00492762">
      <w:pPr>
        <w:tabs>
          <w:tab w:val="left" w:pos="5103"/>
        </w:tabs>
        <w:spacing w:after="0" w:line="240" w:lineRule="auto"/>
        <w:ind w:left="6092" w:right="-1" w:hanging="5100"/>
        <w:rPr>
          <w:rFonts w:ascii="Calibri" w:hAnsi="Calibri" w:cs="Calibri"/>
        </w:rPr>
      </w:pPr>
      <w:r w:rsidRPr="00492762">
        <w:rPr>
          <w:rFonts w:ascii="Calibri" w:hAnsi="Calibri" w:cs="Calibri"/>
          <w:b/>
        </w:rPr>
        <w:t xml:space="preserve">OBS! </w:t>
      </w:r>
      <w:r w:rsidRPr="00492762">
        <w:rPr>
          <w:rFonts w:ascii="Calibri" w:hAnsi="Calibri" w:cs="Calibri"/>
        </w:rPr>
        <w:t xml:space="preserve">Om patienten erhållit sekventiell östrogenbehandling – mät efter </w:t>
      </w:r>
    </w:p>
    <w:p w14:paraId="0517AE75" w14:textId="77777777" w:rsidR="00E82E05" w:rsidRPr="00492762" w:rsidRDefault="00E82E05" w:rsidP="00492762">
      <w:pPr>
        <w:tabs>
          <w:tab w:val="left" w:pos="5103"/>
        </w:tabs>
        <w:spacing w:after="0" w:line="240" w:lineRule="auto"/>
        <w:ind w:left="6092" w:right="-1" w:hanging="5100"/>
        <w:rPr>
          <w:rFonts w:ascii="Calibri" w:hAnsi="Calibri" w:cs="Calibri"/>
        </w:rPr>
      </w:pPr>
      <w:r w:rsidRPr="00492762">
        <w:rPr>
          <w:rFonts w:ascii="Calibri" w:hAnsi="Calibri" w:cs="Calibri"/>
        </w:rPr>
        <w:t>eventuell avstötningsblödning, cirka cykeldag 5 – 7.</w:t>
      </w:r>
    </w:p>
    <w:p w14:paraId="788C8469" w14:textId="3FD8C6F9" w:rsidR="00E82E05" w:rsidRPr="00492762" w:rsidRDefault="00E82E05" w:rsidP="001A2BC1">
      <w:pPr>
        <w:pStyle w:val="MellanrubrikVGR"/>
        <w:spacing w:before="0" w:after="0" w:line="240" w:lineRule="auto"/>
      </w:pPr>
      <w:r w:rsidRPr="00492762">
        <w:lastRenderedPageBreak/>
        <w:t xml:space="preserve">Handläggning vid förtjockat endometrium hos asymtomatiska postmenopausala </w:t>
      </w:r>
      <w:r w:rsidR="00900C52">
        <w:t>patienter</w:t>
      </w:r>
      <w:r w:rsidRPr="00492762">
        <w:t xml:space="preserve"> </w:t>
      </w:r>
    </w:p>
    <w:p w14:paraId="41C09C0B" w14:textId="77777777" w:rsidR="00E82E05" w:rsidRPr="00492762" w:rsidRDefault="00E82E05" w:rsidP="00492762">
      <w:pPr>
        <w:spacing w:after="0" w:line="240" w:lineRule="auto"/>
        <w:ind w:right="-1"/>
        <w:rPr>
          <w:rFonts w:ascii="Calibri" w:hAnsi="Calibri" w:cs="Calibri"/>
          <w:b/>
        </w:rPr>
      </w:pPr>
    </w:p>
    <w:p w14:paraId="152F1B0E" w14:textId="484444D8" w:rsidR="00E82E05" w:rsidRDefault="00E82E05" w:rsidP="00492762">
      <w:pPr>
        <w:spacing w:after="0" w:line="240" w:lineRule="auto"/>
        <w:ind w:right="-1"/>
        <w:rPr>
          <w:rFonts w:ascii="Calibri" w:hAnsi="Calibri" w:cs="Calibri"/>
        </w:rPr>
      </w:pPr>
      <w:r w:rsidRPr="00492762">
        <w:rPr>
          <w:rFonts w:ascii="Calibri" w:hAnsi="Calibri" w:cs="Calibri"/>
          <w:b/>
        </w:rPr>
        <w:t>OBS!</w:t>
      </w:r>
      <w:r w:rsidRPr="00492762">
        <w:rPr>
          <w:rFonts w:ascii="Calibri" w:hAnsi="Calibri" w:cs="Calibri"/>
        </w:rPr>
        <w:t xml:space="preserve"> Dessa fall bör vara få, då ultraljudsundersökning inte är indicerad hos asymtomatiska </w:t>
      </w:r>
      <w:r w:rsidR="0005452F">
        <w:rPr>
          <w:rFonts w:ascii="Calibri" w:hAnsi="Calibri" w:cs="Calibri"/>
        </w:rPr>
        <w:t>patienter</w:t>
      </w:r>
      <w:r w:rsidRPr="00492762">
        <w:rPr>
          <w:rFonts w:ascii="Calibri" w:hAnsi="Calibri" w:cs="Calibri"/>
        </w:rPr>
        <w:t>.</w:t>
      </w:r>
    </w:p>
    <w:p w14:paraId="2D931F22" w14:textId="77777777" w:rsidR="008A3DC6" w:rsidRDefault="008A3DC6" w:rsidP="00492762">
      <w:pPr>
        <w:spacing w:after="0" w:line="240" w:lineRule="auto"/>
        <w:ind w:right="-1"/>
        <w:rPr>
          <w:rFonts w:ascii="Calibri" w:hAnsi="Calibri" w:cs="Calibri"/>
        </w:rPr>
      </w:pPr>
    </w:p>
    <w:tbl>
      <w:tblPr>
        <w:tblW w:w="8217" w:type="dxa"/>
        <w:tblInd w:w="992" w:type="dxa"/>
        <w:tblLayout w:type="fixed"/>
        <w:tblLook w:val="04A0" w:firstRow="1" w:lastRow="0" w:firstColumn="1" w:lastColumn="0" w:noHBand="0" w:noVBand="1"/>
      </w:tblPr>
      <w:tblGrid>
        <w:gridCol w:w="4644"/>
        <w:gridCol w:w="3573"/>
      </w:tblGrid>
      <w:tr w:rsidR="008A3DC6" w:rsidRPr="00492762" w14:paraId="6C6FE737" w14:textId="77777777" w:rsidTr="00517975">
        <w:tc>
          <w:tcPr>
            <w:tcW w:w="4644" w:type="dxa"/>
            <w:shd w:val="clear" w:color="auto" w:fill="auto"/>
          </w:tcPr>
          <w:p w14:paraId="61C3D5D6" w14:textId="307DA0C8" w:rsidR="008A3DC6" w:rsidRPr="009401D5" w:rsidRDefault="009401D5" w:rsidP="002F2565">
            <w:pPr>
              <w:tabs>
                <w:tab w:val="left" w:pos="5103"/>
              </w:tabs>
              <w:spacing w:after="0" w:line="240" w:lineRule="auto"/>
              <w:ind w:left="0" w:right="0"/>
              <w:rPr>
                <w:rFonts w:ascii="Calibri" w:hAnsi="Calibri" w:cs="Calibri"/>
                <w:bCs/>
              </w:rPr>
            </w:pPr>
            <w:r>
              <w:rPr>
                <w:rFonts w:ascii="Calibri" w:hAnsi="Calibri" w:cs="Calibri"/>
                <w:bCs/>
              </w:rPr>
              <w:t>Definition</w:t>
            </w:r>
          </w:p>
        </w:tc>
        <w:tc>
          <w:tcPr>
            <w:tcW w:w="3573" w:type="dxa"/>
            <w:shd w:val="clear" w:color="auto" w:fill="auto"/>
          </w:tcPr>
          <w:p w14:paraId="30EF6E86" w14:textId="5EB0B031" w:rsidR="008A3DC6" w:rsidRPr="00492762" w:rsidRDefault="009401D5" w:rsidP="002F2565">
            <w:pPr>
              <w:tabs>
                <w:tab w:val="left" w:pos="5103"/>
              </w:tabs>
              <w:spacing w:after="0" w:line="240" w:lineRule="auto"/>
              <w:ind w:left="0" w:right="0"/>
              <w:rPr>
                <w:rFonts w:ascii="Calibri" w:hAnsi="Calibri" w:cs="Calibri"/>
              </w:rPr>
            </w:pPr>
            <w:r w:rsidRPr="00492762">
              <w:rPr>
                <w:rFonts w:ascii="Calibri" w:hAnsi="Calibri" w:cs="Calibri"/>
              </w:rPr>
              <w:t xml:space="preserve">Endometrium </w:t>
            </w:r>
            <w:r w:rsidRPr="00492762">
              <w:rPr>
                <w:rFonts w:ascii="Calibri" w:hAnsi="Calibri" w:cs="Calibri"/>
                <w:u w:val="single"/>
              </w:rPr>
              <w:t>&gt;</w:t>
            </w:r>
            <w:r w:rsidRPr="00492762">
              <w:rPr>
                <w:rFonts w:ascii="Calibri" w:hAnsi="Calibri" w:cs="Calibri"/>
              </w:rPr>
              <w:t>11 mm på det bredaste stället i sagittalplanet</w:t>
            </w:r>
          </w:p>
        </w:tc>
      </w:tr>
      <w:tr w:rsidR="008A3DC6" w:rsidRPr="00492762" w14:paraId="6B44A13D" w14:textId="77777777" w:rsidTr="00517975">
        <w:tc>
          <w:tcPr>
            <w:tcW w:w="4644" w:type="dxa"/>
            <w:shd w:val="clear" w:color="auto" w:fill="auto"/>
          </w:tcPr>
          <w:p w14:paraId="1C060F56" w14:textId="77777777" w:rsidR="008A3DC6" w:rsidRPr="00492762" w:rsidRDefault="008A3DC6" w:rsidP="002F2565">
            <w:pPr>
              <w:tabs>
                <w:tab w:val="left" w:pos="3686"/>
                <w:tab w:val="left" w:pos="5103"/>
                <w:tab w:val="left" w:pos="7088"/>
              </w:tabs>
              <w:spacing w:before="60" w:after="0" w:line="240" w:lineRule="auto"/>
              <w:ind w:left="0" w:right="0"/>
              <w:rPr>
                <w:rFonts w:ascii="Calibri" w:hAnsi="Calibri" w:cs="Calibri"/>
                <w:b/>
                <w:noProof/>
              </w:rPr>
            </w:pPr>
          </w:p>
        </w:tc>
        <w:tc>
          <w:tcPr>
            <w:tcW w:w="3573" w:type="dxa"/>
            <w:shd w:val="clear" w:color="auto" w:fill="auto"/>
          </w:tcPr>
          <w:p w14:paraId="2F870E84" w14:textId="77777777" w:rsidR="008A3DC6" w:rsidRPr="00492762" w:rsidRDefault="008A3DC6" w:rsidP="002F2565">
            <w:pPr>
              <w:tabs>
                <w:tab w:val="left" w:pos="3686"/>
                <w:tab w:val="left" w:pos="5103"/>
                <w:tab w:val="left" w:pos="7088"/>
              </w:tabs>
              <w:spacing w:before="60" w:after="0" w:line="240" w:lineRule="auto"/>
              <w:ind w:left="0" w:right="0"/>
              <w:rPr>
                <w:rFonts w:ascii="Calibri" w:hAnsi="Calibri" w:cs="Calibri"/>
                <w:b/>
                <w:noProof/>
              </w:rPr>
            </w:pPr>
          </w:p>
        </w:tc>
      </w:tr>
      <w:tr w:rsidR="008A3DC6" w:rsidRPr="00492762" w14:paraId="636A3840" w14:textId="77777777" w:rsidTr="00517975">
        <w:tc>
          <w:tcPr>
            <w:tcW w:w="4644" w:type="dxa"/>
            <w:shd w:val="clear" w:color="auto" w:fill="auto"/>
          </w:tcPr>
          <w:p w14:paraId="42EA7F58" w14:textId="479A0996" w:rsidR="008A3DC6" w:rsidRPr="009401D5" w:rsidRDefault="009401D5" w:rsidP="002F2565">
            <w:pPr>
              <w:tabs>
                <w:tab w:val="left" w:pos="3686"/>
                <w:tab w:val="left" w:pos="5103"/>
                <w:tab w:val="left" w:pos="7088"/>
              </w:tabs>
              <w:spacing w:before="60" w:after="0" w:line="240" w:lineRule="auto"/>
              <w:ind w:left="0" w:right="0"/>
              <w:rPr>
                <w:rFonts w:ascii="Calibri" w:hAnsi="Calibri" w:cs="Calibri"/>
                <w:bCs/>
                <w:noProof/>
              </w:rPr>
            </w:pPr>
            <w:r>
              <w:rPr>
                <w:rFonts w:ascii="Calibri" w:hAnsi="Calibri" w:cs="Calibri"/>
                <w:bCs/>
                <w:noProof/>
              </w:rPr>
              <w:t>Metod</w:t>
            </w:r>
          </w:p>
        </w:tc>
        <w:tc>
          <w:tcPr>
            <w:tcW w:w="3573" w:type="dxa"/>
            <w:shd w:val="clear" w:color="auto" w:fill="auto"/>
          </w:tcPr>
          <w:p w14:paraId="3DB4FD67" w14:textId="0330725A" w:rsidR="008A3DC6" w:rsidRPr="00492762" w:rsidRDefault="009401D5" w:rsidP="009401D5">
            <w:pPr>
              <w:tabs>
                <w:tab w:val="left" w:pos="5103"/>
                <w:tab w:val="left" w:pos="7088"/>
              </w:tabs>
              <w:spacing w:before="60" w:after="0" w:line="240" w:lineRule="auto"/>
              <w:ind w:left="0" w:right="0"/>
              <w:rPr>
                <w:rFonts w:ascii="Calibri" w:hAnsi="Calibri" w:cs="Calibri"/>
                <w:noProof/>
              </w:rPr>
            </w:pPr>
            <w:r w:rsidRPr="00492762">
              <w:rPr>
                <w:rFonts w:ascii="Calibri" w:hAnsi="Calibri" w:cs="Calibri"/>
              </w:rPr>
              <w:t>Hydrosonografi + Endometriebiopsi</w:t>
            </w:r>
            <w:r w:rsidR="008A3DC6" w:rsidRPr="00492762">
              <w:rPr>
                <w:rFonts w:ascii="Calibri" w:hAnsi="Calibri" w:cs="Calibri"/>
                <w:noProof/>
              </w:rPr>
              <w:t xml:space="preserve"> </w:t>
            </w:r>
          </w:p>
        </w:tc>
      </w:tr>
    </w:tbl>
    <w:p w14:paraId="1F678772" w14:textId="77777777" w:rsidR="008A3DC6" w:rsidRPr="00492762" w:rsidRDefault="008A3DC6" w:rsidP="00492762">
      <w:pPr>
        <w:spacing w:after="0" w:line="240" w:lineRule="auto"/>
        <w:ind w:right="-1"/>
        <w:rPr>
          <w:rFonts w:ascii="Calibri" w:hAnsi="Calibri" w:cs="Calibri"/>
        </w:rPr>
      </w:pPr>
    </w:p>
    <w:p w14:paraId="522DAD95" w14:textId="77777777" w:rsidR="007506F3" w:rsidRDefault="00E82E05" w:rsidP="007506F3">
      <w:pPr>
        <w:pStyle w:val="MellanrubrikVGR"/>
      </w:pPr>
      <w:r w:rsidRPr="00492762">
        <w:t>Vid benignt PAD</w:t>
      </w:r>
    </w:p>
    <w:p w14:paraId="22CFF392" w14:textId="77777777" w:rsidR="001F0CA5" w:rsidRDefault="00E82E05" w:rsidP="001F0CA5">
      <w:pPr>
        <w:spacing w:after="0" w:line="240" w:lineRule="auto"/>
        <w:rPr>
          <w:rFonts w:ascii="Calibri" w:hAnsi="Calibri" w:cs="Calibri"/>
        </w:rPr>
      </w:pPr>
      <w:r w:rsidRPr="007506F3">
        <w:rPr>
          <w:rFonts w:ascii="Calibri" w:hAnsi="Calibri" w:cs="Calibri"/>
        </w:rPr>
        <w:t xml:space="preserve">Om polyp/endometrieförtjockning 11 mm eller mer – följ den med kontroll 6 månader och om tillväxt TCR-P. Om tillkomst av blödning, görs ny utredning enligt ovan, uppmana patienten att ta kontakt vid blödning. </w:t>
      </w:r>
    </w:p>
    <w:p w14:paraId="63CED34B" w14:textId="193B4A9C" w:rsidR="00E82E05" w:rsidRPr="00492762" w:rsidRDefault="00E82E05" w:rsidP="001F0CA5">
      <w:pPr>
        <w:pStyle w:val="Rubrik2"/>
        <w:rPr>
          <w:lang w:val="en-US"/>
        </w:rPr>
      </w:pPr>
      <w:r w:rsidRPr="00492762">
        <w:rPr>
          <w:lang w:val="en-US"/>
        </w:rPr>
        <w:t>Referenser</w:t>
      </w:r>
    </w:p>
    <w:p w14:paraId="108CE1AE" w14:textId="77777777" w:rsidR="00E82E05" w:rsidRPr="00492762" w:rsidRDefault="00E82E05" w:rsidP="00492762">
      <w:pPr>
        <w:spacing w:after="0" w:line="240" w:lineRule="auto"/>
        <w:ind w:right="-1"/>
        <w:rPr>
          <w:rFonts w:ascii="Calibri" w:hAnsi="Calibri" w:cs="Calibri"/>
          <w:lang w:val="en-US"/>
        </w:rPr>
      </w:pPr>
    </w:p>
    <w:p w14:paraId="07BA863D" w14:textId="77777777" w:rsidR="00E82E05" w:rsidRPr="00492762" w:rsidRDefault="00E82E05" w:rsidP="00492762">
      <w:pPr>
        <w:spacing w:after="0" w:line="240" w:lineRule="auto"/>
        <w:ind w:right="-1"/>
        <w:rPr>
          <w:rFonts w:ascii="Calibri" w:hAnsi="Calibri" w:cs="Calibri"/>
          <w:sz w:val="20"/>
          <w:szCs w:val="20"/>
          <w:lang w:val="en-GB"/>
        </w:rPr>
      </w:pPr>
      <w:r w:rsidRPr="00492762">
        <w:rPr>
          <w:rFonts w:ascii="Calibri" w:hAnsi="Calibri" w:cs="Calibri"/>
          <w:sz w:val="20"/>
          <w:szCs w:val="20"/>
          <w:lang w:val="en-GB"/>
        </w:rPr>
        <w:t>1: Gull B, Karlsson B, Milsom I, Granberg S, Can ultrasound replace dilatation and curettage? A longitudinal evaluation of postmenopausal bleedin and transvaginal sonografic measurement of the endometrium as predictors of endometrial cancer. Am J Obstet Gynecol 2003;188(2):401-8. (</w:t>
      </w:r>
      <w:hyperlink r:id="rId19" w:history="1">
        <w:r w:rsidRPr="00492762">
          <w:rPr>
            <w:rFonts w:ascii="Calibri" w:hAnsi="Calibri" w:cs="Calibri"/>
            <w:color w:val="0000FF"/>
            <w:sz w:val="20"/>
            <w:szCs w:val="20"/>
            <w:u w:val="single"/>
            <w:lang w:val="en-GB"/>
          </w:rPr>
          <w:t>http://www.ncbi.nlm.nih.gov/pubmed/12592247</w:t>
        </w:r>
      </w:hyperlink>
    </w:p>
    <w:p w14:paraId="19BC8437" w14:textId="77777777" w:rsidR="00E82E05" w:rsidRPr="00492762" w:rsidRDefault="00E82E05" w:rsidP="00492762">
      <w:pPr>
        <w:spacing w:after="0" w:line="240" w:lineRule="auto"/>
        <w:ind w:right="-1"/>
        <w:rPr>
          <w:rFonts w:ascii="Calibri" w:hAnsi="Calibri" w:cs="Calibri"/>
          <w:sz w:val="20"/>
          <w:szCs w:val="20"/>
          <w:lang w:val="en-GB"/>
        </w:rPr>
      </w:pPr>
    </w:p>
    <w:p w14:paraId="7028F257" w14:textId="77777777" w:rsidR="00E82E05" w:rsidRPr="00492762" w:rsidRDefault="00E82E05" w:rsidP="00492762">
      <w:pPr>
        <w:spacing w:after="0" w:line="240" w:lineRule="auto"/>
        <w:ind w:right="-1"/>
        <w:rPr>
          <w:rFonts w:ascii="Calibri" w:hAnsi="Calibri" w:cs="Calibri"/>
          <w:sz w:val="20"/>
          <w:szCs w:val="20"/>
          <w:lang w:val="en-GB"/>
        </w:rPr>
      </w:pPr>
      <w:r w:rsidRPr="00492762">
        <w:rPr>
          <w:rFonts w:ascii="Calibri" w:hAnsi="Calibri" w:cs="Calibri"/>
          <w:sz w:val="20"/>
          <w:szCs w:val="20"/>
          <w:lang w:val="en-GB"/>
        </w:rPr>
        <w:t>2: Gull B, Karlsson B, Milsom I, Granberg S, Factors influencing the precense of uterine cavity fluid in a random sample  of postmenopausal women. Acta Obstet Gynecol Scand 1998;77(7):751-7. (</w:t>
      </w:r>
      <w:hyperlink r:id="rId20" w:history="1">
        <w:r w:rsidRPr="00492762">
          <w:rPr>
            <w:rFonts w:ascii="Calibri" w:hAnsi="Calibri" w:cs="Calibri"/>
            <w:color w:val="0000FF"/>
            <w:sz w:val="20"/>
            <w:szCs w:val="20"/>
            <w:u w:val="single"/>
            <w:lang w:val="en-GB"/>
          </w:rPr>
          <w:t>http://www.ncbi.nlm.nih.gov/pubmed?term=acta%20Obstet%20Gynecol%20Scand%201998%3B77(7)%3A751-7</w:t>
        </w:r>
      </w:hyperlink>
      <w:r w:rsidRPr="00492762">
        <w:rPr>
          <w:rFonts w:ascii="Calibri" w:hAnsi="Calibri" w:cs="Calibri"/>
          <w:sz w:val="20"/>
          <w:szCs w:val="20"/>
          <w:lang w:val="en-GB"/>
        </w:rPr>
        <w:t>)</w:t>
      </w:r>
    </w:p>
    <w:p w14:paraId="6DE5F4EE" w14:textId="77777777" w:rsidR="00E82E05" w:rsidRPr="00492762" w:rsidRDefault="00E82E05" w:rsidP="00492762">
      <w:pPr>
        <w:spacing w:after="0" w:line="240" w:lineRule="auto"/>
        <w:ind w:right="-1"/>
        <w:rPr>
          <w:rFonts w:ascii="Calibri" w:hAnsi="Calibri" w:cs="Calibri"/>
          <w:sz w:val="20"/>
          <w:szCs w:val="20"/>
          <w:lang w:val="en-GB"/>
        </w:rPr>
      </w:pPr>
    </w:p>
    <w:p w14:paraId="29F23C15" w14:textId="77777777" w:rsidR="00E82E05" w:rsidRPr="00492762" w:rsidRDefault="00E82E05" w:rsidP="00492762">
      <w:pPr>
        <w:spacing w:after="0" w:line="240" w:lineRule="auto"/>
        <w:ind w:right="-1"/>
        <w:rPr>
          <w:rFonts w:ascii="Calibri" w:hAnsi="Calibri" w:cs="Calibri"/>
          <w:sz w:val="20"/>
          <w:szCs w:val="20"/>
          <w:lang w:val="en-GB"/>
        </w:rPr>
      </w:pPr>
      <w:r w:rsidRPr="00492762">
        <w:rPr>
          <w:rFonts w:ascii="Calibri" w:hAnsi="Calibri" w:cs="Calibri"/>
          <w:sz w:val="20"/>
          <w:szCs w:val="20"/>
          <w:lang w:val="en-GB"/>
        </w:rPr>
        <w:t>3: Epstein E. Manegement of postmenopausal bleeding in Sweden: a need for increased use of hydrosonografy and hysteroscopi. Acta Obstet Gynecol Scand 2004;83(1):89-95. (</w:t>
      </w:r>
      <w:hyperlink r:id="rId21" w:history="1">
        <w:r w:rsidRPr="00492762">
          <w:rPr>
            <w:rFonts w:ascii="Calibri" w:hAnsi="Calibri" w:cs="Calibri"/>
            <w:color w:val="0000FF"/>
            <w:sz w:val="20"/>
            <w:szCs w:val="20"/>
            <w:u w:val="single"/>
            <w:lang w:val="en-GB"/>
          </w:rPr>
          <w:t>http://www.ncbi.nlm.nih.gov/pubmed/14678091</w:t>
        </w:r>
      </w:hyperlink>
      <w:r w:rsidRPr="00492762">
        <w:rPr>
          <w:rFonts w:ascii="Calibri" w:hAnsi="Calibri" w:cs="Calibri"/>
          <w:sz w:val="20"/>
          <w:szCs w:val="20"/>
          <w:lang w:val="en-GB"/>
        </w:rPr>
        <w:t>)</w:t>
      </w:r>
    </w:p>
    <w:p w14:paraId="4CF7C194" w14:textId="77777777" w:rsidR="00E82E05" w:rsidRPr="00492762" w:rsidRDefault="00E82E05" w:rsidP="00492762">
      <w:pPr>
        <w:spacing w:after="0" w:line="240" w:lineRule="auto"/>
        <w:ind w:right="-1"/>
        <w:rPr>
          <w:rFonts w:ascii="Calibri" w:hAnsi="Calibri" w:cs="Calibri"/>
          <w:sz w:val="20"/>
          <w:szCs w:val="20"/>
          <w:lang w:val="en-GB"/>
        </w:rPr>
      </w:pPr>
    </w:p>
    <w:p w14:paraId="57CA1D56" w14:textId="77777777" w:rsidR="00E82E05" w:rsidRPr="00492762" w:rsidRDefault="00E82E05" w:rsidP="00492762">
      <w:pPr>
        <w:spacing w:after="0" w:line="240" w:lineRule="auto"/>
        <w:ind w:right="-1"/>
        <w:rPr>
          <w:rFonts w:ascii="Calibri" w:hAnsi="Calibri" w:cs="Calibri"/>
          <w:sz w:val="20"/>
          <w:szCs w:val="20"/>
          <w:lang w:val="en-GB"/>
        </w:rPr>
      </w:pPr>
      <w:r w:rsidRPr="00492762">
        <w:rPr>
          <w:rFonts w:ascii="Calibri" w:hAnsi="Calibri" w:cs="Calibri"/>
          <w:sz w:val="20"/>
          <w:szCs w:val="20"/>
          <w:lang w:val="en-GB"/>
        </w:rPr>
        <w:t>4: Epstein E, Valentin L. Managing women with post-menopausal bleeding. Best Pract Res Clin Obstet Gynaecol 2004;18(1):125-43. (</w:t>
      </w:r>
      <w:hyperlink r:id="rId22" w:history="1">
        <w:r w:rsidRPr="00492762">
          <w:rPr>
            <w:rFonts w:ascii="Calibri" w:hAnsi="Calibri" w:cs="Calibri"/>
            <w:color w:val="0000FF"/>
            <w:sz w:val="20"/>
            <w:szCs w:val="20"/>
            <w:u w:val="single"/>
            <w:lang w:val="en-GB"/>
          </w:rPr>
          <w:t>http://www.ncbi.nlm.nih.gov/pubmed/15123062</w:t>
        </w:r>
      </w:hyperlink>
      <w:r w:rsidRPr="00492762">
        <w:rPr>
          <w:rFonts w:ascii="Calibri" w:hAnsi="Calibri" w:cs="Calibri"/>
          <w:sz w:val="20"/>
          <w:szCs w:val="20"/>
          <w:lang w:val="en-GB"/>
        </w:rPr>
        <w:t>)</w:t>
      </w:r>
    </w:p>
    <w:p w14:paraId="7FD44C85" w14:textId="77777777" w:rsidR="00E82E05" w:rsidRPr="00492762" w:rsidRDefault="00E82E05" w:rsidP="00492762">
      <w:pPr>
        <w:spacing w:after="0" w:line="240" w:lineRule="auto"/>
        <w:ind w:right="-1"/>
        <w:rPr>
          <w:rFonts w:ascii="Calibri" w:hAnsi="Calibri" w:cs="Calibri"/>
          <w:sz w:val="20"/>
          <w:szCs w:val="20"/>
          <w:lang w:val="en-GB"/>
        </w:rPr>
      </w:pPr>
    </w:p>
    <w:p w14:paraId="0E889A2F" w14:textId="77777777" w:rsidR="00E82E05" w:rsidRPr="00492762" w:rsidRDefault="00E82E05" w:rsidP="00492762">
      <w:pPr>
        <w:spacing w:after="0" w:line="240" w:lineRule="auto"/>
        <w:ind w:right="-1"/>
        <w:rPr>
          <w:rFonts w:ascii="Calibri" w:hAnsi="Calibri" w:cs="Calibri"/>
          <w:sz w:val="20"/>
          <w:szCs w:val="20"/>
          <w:lang w:val="en-US"/>
        </w:rPr>
      </w:pPr>
      <w:r w:rsidRPr="00492762">
        <w:rPr>
          <w:rFonts w:ascii="Calibri" w:hAnsi="Calibri" w:cs="Calibri"/>
          <w:sz w:val="20"/>
          <w:szCs w:val="20"/>
          <w:lang w:val="en-GB"/>
        </w:rPr>
        <w:t xml:space="preserve">5: AAGL practice report: practice guidelines for the diagnosis and manegement of endometrial polyps. American Association on Gynecologic Laparascopists. </w:t>
      </w:r>
      <w:r w:rsidRPr="00492762">
        <w:rPr>
          <w:rFonts w:ascii="Calibri" w:hAnsi="Calibri" w:cs="Calibri"/>
          <w:sz w:val="20"/>
          <w:szCs w:val="20"/>
          <w:lang w:val="en-US"/>
        </w:rPr>
        <w:t>J Minim Invasive Gynecol 2012;19(1):3-10. (</w:t>
      </w:r>
      <w:hyperlink r:id="rId23" w:history="1">
        <w:r w:rsidRPr="00492762">
          <w:rPr>
            <w:rFonts w:ascii="Calibri" w:hAnsi="Calibri" w:cs="Calibri"/>
            <w:color w:val="0000FF"/>
            <w:sz w:val="20"/>
            <w:szCs w:val="20"/>
            <w:u w:val="single"/>
            <w:lang w:val="en-US"/>
          </w:rPr>
          <w:t>http://www.ncbi.nlm.nih.gov/pubmed/22196255</w:t>
        </w:r>
      </w:hyperlink>
      <w:r w:rsidRPr="00492762">
        <w:rPr>
          <w:rFonts w:ascii="Calibri" w:hAnsi="Calibri" w:cs="Calibri"/>
          <w:sz w:val="20"/>
          <w:szCs w:val="20"/>
          <w:lang w:val="en-US"/>
        </w:rPr>
        <w:t>)</w:t>
      </w:r>
    </w:p>
    <w:p w14:paraId="298FA6F6" w14:textId="77777777" w:rsidR="00E82E05" w:rsidRPr="00492762" w:rsidRDefault="00E82E05" w:rsidP="00492762">
      <w:pPr>
        <w:spacing w:after="0" w:line="240" w:lineRule="auto"/>
        <w:ind w:right="-1"/>
        <w:rPr>
          <w:rFonts w:ascii="Calibri" w:hAnsi="Calibri" w:cs="Calibri"/>
          <w:sz w:val="20"/>
          <w:szCs w:val="20"/>
          <w:lang w:val="en-US"/>
        </w:rPr>
      </w:pPr>
    </w:p>
    <w:p w14:paraId="0704F374" w14:textId="77777777" w:rsidR="00E82E05" w:rsidRPr="00492762" w:rsidRDefault="00E82E05" w:rsidP="00492762">
      <w:pPr>
        <w:spacing w:after="0" w:line="240" w:lineRule="auto"/>
        <w:ind w:right="-1"/>
        <w:rPr>
          <w:rFonts w:ascii="Calibri" w:hAnsi="Calibri" w:cs="Calibri"/>
          <w:sz w:val="20"/>
          <w:szCs w:val="20"/>
          <w:lang w:val="en-US"/>
        </w:rPr>
      </w:pPr>
      <w:r w:rsidRPr="00492762">
        <w:rPr>
          <w:rFonts w:ascii="Calibri" w:hAnsi="Calibri" w:cs="Calibri"/>
          <w:sz w:val="20"/>
          <w:szCs w:val="20"/>
          <w:lang w:val="en-US"/>
        </w:rPr>
        <w:t>6: SOGL clinical practice guideline: Asymptomatic Endometrial Thickening. JOGC october 2010, No 249, 990-999. (</w:t>
      </w:r>
      <w:hyperlink r:id="rId24" w:history="1">
        <w:r w:rsidRPr="00492762">
          <w:rPr>
            <w:rFonts w:ascii="Calibri" w:hAnsi="Calibri" w:cs="Calibri"/>
            <w:color w:val="0000FF"/>
            <w:sz w:val="20"/>
            <w:szCs w:val="20"/>
            <w:u w:val="single"/>
            <w:lang w:val="en-US"/>
          </w:rPr>
          <w:t>http://www.jogc.com/article/S1701-2163(16)34690-4/pdf)</w:t>
        </w:r>
      </w:hyperlink>
      <w:r w:rsidRPr="00492762">
        <w:rPr>
          <w:rFonts w:ascii="Calibri" w:hAnsi="Calibri" w:cs="Calibri"/>
          <w:sz w:val="20"/>
          <w:szCs w:val="20"/>
          <w:lang w:val="en-US"/>
        </w:rPr>
        <w:t xml:space="preserve"> </w:t>
      </w:r>
    </w:p>
    <w:p w14:paraId="63FC5293" w14:textId="77777777" w:rsidR="00E82E05" w:rsidRPr="00492762" w:rsidRDefault="00E82E05" w:rsidP="00492762">
      <w:pPr>
        <w:spacing w:after="0" w:line="240" w:lineRule="auto"/>
        <w:ind w:right="-1"/>
        <w:rPr>
          <w:rFonts w:ascii="Calibri" w:hAnsi="Calibri" w:cs="Calibri"/>
          <w:sz w:val="20"/>
          <w:szCs w:val="20"/>
          <w:lang w:val="en-US"/>
        </w:rPr>
      </w:pPr>
    </w:p>
    <w:p w14:paraId="76B9F95B" w14:textId="39B683F0" w:rsidR="00536A5A" w:rsidRPr="00536A5A" w:rsidRDefault="00E82E05" w:rsidP="00901FE1">
      <w:pPr>
        <w:spacing w:after="0" w:line="240" w:lineRule="auto"/>
        <w:ind w:right="-1"/>
      </w:pPr>
      <w:r w:rsidRPr="00492762">
        <w:rPr>
          <w:rFonts w:ascii="Calibri" w:hAnsi="Calibri" w:cs="Calibri"/>
          <w:sz w:val="20"/>
          <w:szCs w:val="20"/>
          <w:lang w:val="en-US"/>
        </w:rPr>
        <w:t xml:space="preserve">7: Wang JH, Zhao J, Lin J. Opportunities and risk factors for premalignant and malignant transformation of endometrial polyps: management strategies. </w:t>
      </w:r>
      <w:r w:rsidRPr="00492762">
        <w:rPr>
          <w:rFonts w:ascii="Calibri" w:hAnsi="Calibri" w:cs="Calibri"/>
          <w:color w:val="000000"/>
          <w:szCs w:val="20"/>
        </w:rPr>
        <w:t>J Minim Invasive Gynecol. 2010 Jan-Feb;17(1):53-8. doi: 10.1016/j.jmig.2009.10.012. (</w:t>
      </w:r>
      <w:hyperlink r:id="rId25" w:history="1">
        <w:r w:rsidRPr="00492762">
          <w:rPr>
            <w:rFonts w:ascii="Calibri" w:hAnsi="Calibri" w:cs="Calibri"/>
            <w:color w:val="0000FF"/>
            <w:szCs w:val="20"/>
            <w:u w:val="single"/>
          </w:rPr>
          <w:t>https://www.ncbi.nlm.nih.gov/pubmed/20129333</w:t>
        </w:r>
      </w:hyperlink>
      <w:r w:rsidRPr="00492762">
        <w:rPr>
          <w:rFonts w:ascii="Calibri" w:hAnsi="Calibri" w:cs="Calibri"/>
          <w:color w:val="000000"/>
          <w:szCs w:val="20"/>
        </w:rPr>
        <w:t xml:space="preserve">) </w:t>
      </w:r>
      <w:bookmarkEnd w:id="0"/>
    </w:p>
    <w:sectPr w:rsidR="00536A5A" w:rsidRPr="00536A5A" w:rsidSect="00E82E05">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095636E" w14:textId="77777777" w:rsidR="00C03685" w:rsidRDefault="00C03685">
      <w:r>
        <w:separator/>
      </w:r>
    </w:p>
  </w:endnote>
  <w:endnote w:type="continuationSeparator" w:id="0">
    <w:p w14:paraId="5D37962E" w14:textId="77777777" w:rsidR="00C03685" w:rsidRDefault="00C03685">
      <w:r>
        <w:continuationSeparator/>
      </w:r>
    </w:p>
  </w:endnote>
  <w:endnote w:type="continuationNotice" w:id="1">
    <w:p w14:paraId="08C726A4" w14:textId="77777777" w:rsidR="00C03685" w:rsidRDefault="00C0368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27FEFC" w14:textId="77777777" w:rsidR="00C03685" w:rsidRDefault="00C03685"/>
  </w:footnote>
  <w:footnote w:type="continuationSeparator" w:id="0">
    <w:p w14:paraId="6451A34A" w14:textId="77777777" w:rsidR="00C03685" w:rsidRDefault="00C03685">
      <w:r>
        <w:continuationSeparator/>
      </w:r>
    </w:p>
  </w:footnote>
  <w:footnote w:type="continuationNotice" w:id="1">
    <w:p w14:paraId="2BDB7CFA" w14:textId="77777777" w:rsidR="00C03685" w:rsidRDefault="00C0368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3565D6C"/>
    <w:multiLevelType w:val="hybridMultilevel"/>
    <w:tmpl w:val="997494DC"/>
    <w:lvl w:ilvl="0" w:tplc="FFFFFFFF">
      <w:start w:val="1"/>
      <w:numFmt w:val="decimal"/>
      <w:suff w:val="nothing"/>
      <w:lvlText w:val="%1)"/>
      <w:lvlJc w:val="left"/>
      <w:pPr>
        <w:ind w:left="551" w:hanging="268"/>
      </w:pPr>
      <w:rPr>
        <w:rFonts w:hint="default"/>
      </w:rPr>
    </w:lvl>
    <w:lvl w:ilvl="1" w:tplc="FFFFFFFF" w:tentative="1">
      <w:start w:val="1"/>
      <w:numFmt w:val="lowerLetter"/>
      <w:lvlText w:val="%2."/>
      <w:lvlJc w:val="left"/>
      <w:pPr>
        <w:ind w:left="1696" w:hanging="360"/>
      </w:pPr>
    </w:lvl>
    <w:lvl w:ilvl="2" w:tplc="FFFFFFFF" w:tentative="1">
      <w:start w:val="1"/>
      <w:numFmt w:val="lowerRoman"/>
      <w:lvlText w:val="%3."/>
      <w:lvlJc w:val="right"/>
      <w:pPr>
        <w:ind w:left="2416" w:hanging="180"/>
      </w:pPr>
    </w:lvl>
    <w:lvl w:ilvl="3" w:tplc="FFFFFFFF" w:tentative="1">
      <w:start w:val="1"/>
      <w:numFmt w:val="decimal"/>
      <w:lvlText w:val="%4."/>
      <w:lvlJc w:val="left"/>
      <w:pPr>
        <w:ind w:left="3136" w:hanging="360"/>
      </w:pPr>
    </w:lvl>
    <w:lvl w:ilvl="4" w:tplc="FFFFFFFF" w:tentative="1">
      <w:start w:val="1"/>
      <w:numFmt w:val="lowerLetter"/>
      <w:lvlText w:val="%5."/>
      <w:lvlJc w:val="left"/>
      <w:pPr>
        <w:ind w:left="3856" w:hanging="360"/>
      </w:pPr>
    </w:lvl>
    <w:lvl w:ilvl="5" w:tplc="FFFFFFFF" w:tentative="1">
      <w:start w:val="1"/>
      <w:numFmt w:val="lowerRoman"/>
      <w:lvlText w:val="%6."/>
      <w:lvlJc w:val="right"/>
      <w:pPr>
        <w:ind w:left="4576" w:hanging="180"/>
      </w:pPr>
    </w:lvl>
    <w:lvl w:ilvl="6" w:tplc="FFFFFFFF" w:tentative="1">
      <w:start w:val="1"/>
      <w:numFmt w:val="decimal"/>
      <w:lvlText w:val="%7."/>
      <w:lvlJc w:val="left"/>
      <w:pPr>
        <w:ind w:left="5296" w:hanging="360"/>
      </w:pPr>
    </w:lvl>
    <w:lvl w:ilvl="7" w:tplc="FFFFFFFF" w:tentative="1">
      <w:start w:val="1"/>
      <w:numFmt w:val="lowerLetter"/>
      <w:lvlText w:val="%8."/>
      <w:lvlJc w:val="left"/>
      <w:pPr>
        <w:ind w:left="6016" w:hanging="360"/>
      </w:pPr>
    </w:lvl>
    <w:lvl w:ilvl="8" w:tplc="FFFFFFFF" w:tentative="1">
      <w:start w:val="1"/>
      <w:numFmt w:val="lowerRoman"/>
      <w:lvlText w:val="%9."/>
      <w:lvlJc w:val="right"/>
      <w:pPr>
        <w:ind w:left="6736" w:hanging="180"/>
      </w:p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D72ABC"/>
    <w:multiLevelType w:val="hybridMultilevel"/>
    <w:tmpl w:val="40EE404E"/>
    <w:lvl w:ilvl="0" w:tplc="041D0011">
      <w:start w:val="1"/>
      <w:numFmt w:val="decimal"/>
      <w:lvlText w:val="%1)"/>
      <w:lvlJc w:val="left"/>
      <w:pPr>
        <w:ind w:left="360" w:hanging="360"/>
      </w:p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18" w15:restartNumberingAfterBreak="0">
    <w:nsid w:val="77315CB4"/>
    <w:multiLevelType w:val="hybridMultilevel"/>
    <w:tmpl w:val="AB5C9B00"/>
    <w:lvl w:ilvl="0" w:tplc="FFFFFFFF">
      <w:start w:val="1"/>
      <w:numFmt w:val="decimal"/>
      <w:suff w:val="nothing"/>
      <w:lvlText w:val="%1)"/>
      <w:lvlJc w:val="left"/>
      <w:pPr>
        <w:ind w:left="0" w:firstLine="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13998951">
    <w:abstractNumId w:val="20"/>
  </w:num>
  <w:num w:numId="2" w16cid:durableId="2036538749">
    <w:abstractNumId w:val="15"/>
  </w:num>
  <w:num w:numId="3" w16cid:durableId="1870953208">
    <w:abstractNumId w:val="0"/>
  </w:num>
  <w:num w:numId="4" w16cid:durableId="1745562933">
    <w:abstractNumId w:val="6"/>
  </w:num>
  <w:num w:numId="5" w16cid:durableId="506020399">
    <w:abstractNumId w:val="16"/>
  </w:num>
  <w:num w:numId="6" w16cid:durableId="587495944">
    <w:abstractNumId w:val="2"/>
  </w:num>
  <w:num w:numId="7" w16cid:durableId="253587195">
    <w:abstractNumId w:val="11"/>
  </w:num>
  <w:num w:numId="8" w16cid:durableId="545409137">
    <w:abstractNumId w:val="8"/>
  </w:num>
  <w:num w:numId="9" w16cid:durableId="1155222205">
    <w:abstractNumId w:val="1"/>
  </w:num>
  <w:num w:numId="10" w16cid:durableId="1021006734">
    <w:abstractNumId w:val="1"/>
  </w:num>
  <w:num w:numId="11" w16cid:durableId="951865204">
    <w:abstractNumId w:val="3"/>
  </w:num>
  <w:num w:numId="12" w16cid:durableId="927813746">
    <w:abstractNumId w:val="4"/>
  </w:num>
  <w:num w:numId="13" w16cid:durableId="1360273348">
    <w:abstractNumId w:val="14"/>
  </w:num>
  <w:num w:numId="14" w16cid:durableId="1805151631">
    <w:abstractNumId w:val="9"/>
  </w:num>
  <w:num w:numId="15" w16cid:durableId="1950160290">
    <w:abstractNumId w:val="7"/>
  </w:num>
  <w:num w:numId="16" w16cid:durableId="100994300">
    <w:abstractNumId w:val="12"/>
  </w:num>
  <w:num w:numId="17" w16cid:durableId="750857506">
    <w:abstractNumId w:val="5"/>
  </w:num>
  <w:num w:numId="18" w16cid:durableId="1083260065">
    <w:abstractNumId w:val="10"/>
  </w:num>
  <w:num w:numId="19" w16cid:durableId="1579903080">
    <w:abstractNumId w:val="19"/>
  </w:num>
  <w:num w:numId="20" w16cid:durableId="724717736">
    <w:abstractNumId w:val="13"/>
  </w:num>
  <w:num w:numId="21" w16cid:durableId="363406373">
    <w:abstractNumId w:val="18"/>
  </w:num>
  <w:num w:numId="22" w16cid:durableId="1300844912">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452F"/>
    <w:rsid w:val="0005691C"/>
    <w:rsid w:val="00056ECB"/>
    <w:rsid w:val="00056ED5"/>
    <w:rsid w:val="000655CC"/>
    <w:rsid w:val="000700AE"/>
    <w:rsid w:val="00084024"/>
    <w:rsid w:val="0009062C"/>
    <w:rsid w:val="00095368"/>
    <w:rsid w:val="000954C4"/>
    <w:rsid w:val="000A4C35"/>
    <w:rsid w:val="000A611A"/>
    <w:rsid w:val="000B12D9"/>
    <w:rsid w:val="000B36E1"/>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66B3"/>
    <w:rsid w:val="00137B6D"/>
    <w:rsid w:val="0014070B"/>
    <w:rsid w:val="001422C1"/>
    <w:rsid w:val="001522AE"/>
    <w:rsid w:val="00157D5B"/>
    <w:rsid w:val="00161FE6"/>
    <w:rsid w:val="001647EA"/>
    <w:rsid w:val="00164C3D"/>
    <w:rsid w:val="00166D3A"/>
    <w:rsid w:val="0017265B"/>
    <w:rsid w:val="00181FDC"/>
    <w:rsid w:val="001860B9"/>
    <w:rsid w:val="00186F2B"/>
    <w:rsid w:val="001874D6"/>
    <w:rsid w:val="0019632A"/>
    <w:rsid w:val="001A2BC1"/>
    <w:rsid w:val="001A4E7C"/>
    <w:rsid w:val="001B762C"/>
    <w:rsid w:val="001C4D0A"/>
    <w:rsid w:val="001C5FEF"/>
    <w:rsid w:val="001F0CA5"/>
    <w:rsid w:val="00211487"/>
    <w:rsid w:val="00211D91"/>
    <w:rsid w:val="00217DEC"/>
    <w:rsid w:val="00235B57"/>
    <w:rsid w:val="00250F24"/>
    <w:rsid w:val="002523C5"/>
    <w:rsid w:val="0025380B"/>
    <w:rsid w:val="0025703A"/>
    <w:rsid w:val="00262F3D"/>
    <w:rsid w:val="00263281"/>
    <w:rsid w:val="002651D6"/>
    <w:rsid w:val="0026551F"/>
    <w:rsid w:val="00275A73"/>
    <w:rsid w:val="00280A85"/>
    <w:rsid w:val="002827D7"/>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B39BE"/>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92762"/>
    <w:rsid w:val="004A355D"/>
    <w:rsid w:val="004A4970"/>
    <w:rsid w:val="004B2183"/>
    <w:rsid w:val="004B2A01"/>
    <w:rsid w:val="004C2559"/>
    <w:rsid w:val="004D7BA3"/>
    <w:rsid w:val="004F4518"/>
    <w:rsid w:val="004F4C62"/>
    <w:rsid w:val="00501433"/>
    <w:rsid w:val="00511CC4"/>
    <w:rsid w:val="00517975"/>
    <w:rsid w:val="00525FE2"/>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4B4E"/>
    <w:rsid w:val="0060596B"/>
    <w:rsid w:val="00606D97"/>
    <w:rsid w:val="00614E64"/>
    <w:rsid w:val="00617710"/>
    <w:rsid w:val="00617EE6"/>
    <w:rsid w:val="0062184C"/>
    <w:rsid w:val="00623724"/>
    <w:rsid w:val="00627BEA"/>
    <w:rsid w:val="006319DB"/>
    <w:rsid w:val="00647769"/>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06F3"/>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148CD"/>
    <w:rsid w:val="00821A1B"/>
    <w:rsid w:val="008262E9"/>
    <w:rsid w:val="00827E69"/>
    <w:rsid w:val="00835C4D"/>
    <w:rsid w:val="00843F48"/>
    <w:rsid w:val="00851423"/>
    <w:rsid w:val="00857848"/>
    <w:rsid w:val="008654B6"/>
    <w:rsid w:val="0087139C"/>
    <w:rsid w:val="00880E83"/>
    <w:rsid w:val="00892F28"/>
    <w:rsid w:val="00892F4D"/>
    <w:rsid w:val="008A0C5F"/>
    <w:rsid w:val="008A3DC6"/>
    <w:rsid w:val="008A3DEA"/>
    <w:rsid w:val="008A44BD"/>
    <w:rsid w:val="008A4EB9"/>
    <w:rsid w:val="008A74C0"/>
    <w:rsid w:val="008B1694"/>
    <w:rsid w:val="008C4B27"/>
    <w:rsid w:val="008C7F2A"/>
    <w:rsid w:val="008E36F8"/>
    <w:rsid w:val="008E46B2"/>
    <w:rsid w:val="008E682C"/>
    <w:rsid w:val="008E78A1"/>
    <w:rsid w:val="008F589F"/>
    <w:rsid w:val="00900C52"/>
    <w:rsid w:val="00901FE1"/>
    <w:rsid w:val="00906238"/>
    <w:rsid w:val="00907EF9"/>
    <w:rsid w:val="0091295C"/>
    <w:rsid w:val="00914D58"/>
    <w:rsid w:val="00921F47"/>
    <w:rsid w:val="009228AB"/>
    <w:rsid w:val="0093085B"/>
    <w:rsid w:val="00931C57"/>
    <w:rsid w:val="009347A5"/>
    <w:rsid w:val="009401D5"/>
    <w:rsid w:val="00942257"/>
    <w:rsid w:val="009471BF"/>
    <w:rsid w:val="00950E4E"/>
    <w:rsid w:val="009529BD"/>
    <w:rsid w:val="009533B4"/>
    <w:rsid w:val="00971D93"/>
    <w:rsid w:val="009A7AE1"/>
    <w:rsid w:val="009B1F6B"/>
    <w:rsid w:val="009C0D12"/>
    <w:rsid w:val="009C192E"/>
    <w:rsid w:val="009C28BA"/>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26B7"/>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3685"/>
    <w:rsid w:val="00C052A5"/>
    <w:rsid w:val="00C07DDB"/>
    <w:rsid w:val="00C4115D"/>
    <w:rsid w:val="00C43BDD"/>
    <w:rsid w:val="00C47778"/>
    <w:rsid w:val="00C5011E"/>
    <w:rsid w:val="00C50EE5"/>
    <w:rsid w:val="00C5240A"/>
    <w:rsid w:val="00C5398F"/>
    <w:rsid w:val="00C556F5"/>
    <w:rsid w:val="00C649E6"/>
    <w:rsid w:val="00C70E19"/>
    <w:rsid w:val="00C72574"/>
    <w:rsid w:val="00C7430C"/>
    <w:rsid w:val="00C85DA1"/>
    <w:rsid w:val="00C9071C"/>
    <w:rsid w:val="00C908FF"/>
    <w:rsid w:val="00C957C9"/>
    <w:rsid w:val="00C97BD3"/>
    <w:rsid w:val="00CA39EF"/>
    <w:rsid w:val="00CA521F"/>
    <w:rsid w:val="00CB0493"/>
    <w:rsid w:val="00CB17FF"/>
    <w:rsid w:val="00CB1ED7"/>
    <w:rsid w:val="00CC167C"/>
    <w:rsid w:val="00CC52D9"/>
    <w:rsid w:val="00CD6647"/>
    <w:rsid w:val="00CE4B73"/>
    <w:rsid w:val="00CF70BB"/>
    <w:rsid w:val="00D074DB"/>
    <w:rsid w:val="00D11497"/>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22B58"/>
    <w:rsid w:val="00E52A86"/>
    <w:rsid w:val="00E54B47"/>
    <w:rsid w:val="00E553BF"/>
    <w:rsid w:val="00E55D93"/>
    <w:rsid w:val="00E61294"/>
    <w:rsid w:val="00E7237C"/>
    <w:rsid w:val="00E77C46"/>
    <w:rsid w:val="00E82E05"/>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A15FD"/>
    <w:rsid w:val="00FA7F02"/>
    <w:rsid w:val="00FB2F0F"/>
    <w:rsid w:val="00FB5086"/>
    <w:rsid w:val="00FB5411"/>
    <w:rsid w:val="00FB6392"/>
    <w:rsid w:val="00FC50AB"/>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alfresco.vgregion.se/alfresco/service/vgr/storage/node/content/38292?a=false&amp;guest=true" TargetMode="External" Id="rId18" /><Relationship Type="http://schemas.openxmlformats.org/officeDocument/2006/relationships/fontTable" Target="fontTable.xml" Id="rId26" /><Relationship Type="http://schemas.openxmlformats.org/officeDocument/2006/relationships/hyperlink" Target="http://www.ncbi.nlm.nih.gov/pubmed/14678091"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alfresco-offentlig.vgregion.se/alfresco/service/vgr/storage/node/content/workspace/SpacesStore/46ba2fcf-f74e-4bb7-80d7-d705a0dfab4e?a=false&amp;guest=true" TargetMode="External" Id="rId17" /><Relationship Type="http://schemas.openxmlformats.org/officeDocument/2006/relationships/hyperlink" Target="https://www.ncbi.nlm.nih.gov/pubmed/20129333" TargetMode="External" Id="rId25" /><Relationship Type="http://schemas.openxmlformats.org/officeDocument/2006/relationships/footer" Target="footer3.xml" Id="rId16" /><Relationship Type="http://schemas.openxmlformats.org/officeDocument/2006/relationships/hyperlink" Target="http://www.ncbi.nlm.nih.gov/pubmed?term=acta%20Obstet%20Gynecol%20Scand%201998%3B77(7)%3A751-7"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www.jogc.com/article/S1701-2163(16)34690-4/pdf)" TargetMode="External" Id="rId24" /><Relationship Type="http://schemas.openxmlformats.org/officeDocument/2006/relationships/header" Target="header2.xml" Id="rId15" /><Relationship Type="http://schemas.openxmlformats.org/officeDocument/2006/relationships/hyperlink" Target="http://www.ncbi.nlm.nih.gov/pubmed/22196255" TargetMode="External" Id="rId23" /><Relationship Type="http://schemas.openxmlformats.org/officeDocument/2006/relationships/footnotes" Target="footnotes.xml" Id="rId10" /><Relationship Type="http://schemas.openxmlformats.org/officeDocument/2006/relationships/hyperlink" Target="http://www.ncbi.nlm.nih.gov/pubmed/12592247"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www.ncbi.nlm.nih.gov/pubmed/15123062" TargetMode="External" Id="rId22" /><Relationship Type="http://schemas.openxmlformats.org/officeDocument/2006/relationships/theme" Target="theme/theme1.xml" Id="rId27"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29</TotalTime>
  <Pages>3</Pages>
  <Words>603</Words>
  <Characters>5164</Characters>
  <Application>Microsoft Office Word</Application>
  <DocSecurity>0</DocSecurity>
  <Lines>43</Lines>
  <Paragraphs>11</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5756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Postmenopausal blödning</dc:title>
  <dc:subject/>
  <dc:creator>patrik.jens.johansson@vgregion.se</dc:creator>
  <keywords/>
  <lastModifiedBy>Ewelyn Persson</lastModifiedBy>
  <revision>33</revision>
  <lastPrinted>2016-03-31T10:56:00.0000000Z</lastPrinted>
  <dcterms:created xsi:type="dcterms:W3CDTF">2022-05-13T03:53:00.0000000Z</dcterms:created>
  <dcterms:modified xsi:type="dcterms:W3CDTF">2025-04-01T08:00:00.0000000Z</dcterms:modified>
</coreProperties>
</file>