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3085F" w14:textId="77777777" w:rsidR="00E432D0" w:rsidRDefault="00E432D0" w:rsidP="00F35B05">
      <w:pPr>
        <w:pStyle w:val="Rubrik2"/>
        <w:sectPr w:rsidR="00E432D0" w:rsidSect="00E432D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0152265" w14:textId="77777777" w:rsidR="00E432D0" w:rsidRPr="00E432D0" w:rsidRDefault="00E432D0" w:rsidP="00E432D0">
      <w:pPr>
        <w:spacing w:after="0" w:line="240" w:lineRule="auto"/>
        <w:ind w:left="0" w:right="0"/>
        <w:rPr>
          <w:szCs w:val="20"/>
        </w:rPr>
      </w:pPr>
    </w:p>
    <w:p w14:paraId="421A7FA9" w14:textId="77777777" w:rsidR="00DF091B" w:rsidRDefault="00DF091B" w:rsidP="00DF091B">
      <w:pPr>
        <w:pStyle w:val="Rubrik1"/>
      </w:pPr>
    </w:p>
    <w:p w14:paraId="3EE53C53" w14:textId="2F18AB03" w:rsidR="00E432D0" w:rsidRPr="00E432D0" w:rsidRDefault="00DF091B" w:rsidP="00DF091B">
      <w:pPr>
        <w:pStyle w:val="Rubrik1"/>
        <w:rPr>
          <w:rFonts w:cs="Calibri"/>
          <w:bCs w:val="0"/>
          <w:szCs w:val="26"/>
        </w:rPr>
      </w:pPr>
      <w:r>
        <w:t>Kort tungband hos spädbarn</w:t>
      </w:r>
      <w:bookmarkStart w:id="1" w:name="_Toc501440349"/>
    </w:p>
    <w:p w14:paraId="7B480953" w14:textId="77777777" w:rsidR="00E432D0" w:rsidRPr="00E432D0" w:rsidRDefault="00E432D0" w:rsidP="00DF091B">
      <w:pPr>
        <w:pStyle w:val="Rubrik3"/>
      </w:pPr>
      <w:r w:rsidRPr="00E432D0">
        <w:t xml:space="preserve">Revidering i denna version </w:t>
      </w:r>
      <w:bookmarkEnd w:id="1"/>
    </w:p>
    <w:p w14:paraId="151752A3" w14:textId="6EA323D1" w:rsidR="00454960" w:rsidRPr="00E432D0" w:rsidRDefault="001F51B0" w:rsidP="00DF091B">
      <w:pPr>
        <w:spacing w:after="0" w:line="240" w:lineRule="auto"/>
        <w:ind w:right="0"/>
        <w:rPr>
          <w:rFonts w:ascii="Calibri" w:hAnsi="Calibri" w:cs="Calibri"/>
          <w:szCs w:val="20"/>
        </w:rPr>
      </w:pPr>
      <w:r>
        <w:rPr>
          <w:rFonts w:ascii="Calibri" w:hAnsi="Calibri" w:cs="Calibri"/>
          <w:szCs w:val="20"/>
        </w:rPr>
        <w:t>Inga ändringar i denna version.</w:t>
      </w:r>
    </w:p>
    <w:p w14:paraId="6BB06FDB" w14:textId="77777777" w:rsidR="00E432D0" w:rsidRPr="00E432D0" w:rsidRDefault="00E432D0" w:rsidP="00DF091B">
      <w:pPr>
        <w:pStyle w:val="Rubrik2"/>
      </w:pPr>
      <w:bookmarkStart w:id="2" w:name="_Toc501440348"/>
      <w:r w:rsidRPr="00E432D0">
        <w:t xml:space="preserve">Bakgrund </w:t>
      </w:r>
      <w:bookmarkEnd w:id="2"/>
    </w:p>
    <w:p w14:paraId="6AC00729" w14:textId="638F9170"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Kort tungband är en medfödd variant av tungans anatomi, som kan orsaka amningsproblem. Amningen kan vara smärtsam vilket i sin tur kan föranleda ökad risk för såriga bröstvårtor och medföljande bröstkomplikationer. För barnets del kan ett kort</w:t>
      </w:r>
      <w:r w:rsidR="00454960">
        <w:rPr>
          <w:rFonts w:ascii="Calibri" w:hAnsi="Calibri" w:cs="Calibri"/>
          <w:szCs w:val="20"/>
        </w:rPr>
        <w:t xml:space="preserve"> </w:t>
      </w:r>
      <w:r w:rsidRPr="00E432D0">
        <w:rPr>
          <w:rFonts w:ascii="Calibri" w:hAnsi="Calibri" w:cs="Calibri"/>
          <w:szCs w:val="20"/>
        </w:rPr>
        <w:t xml:space="preserve">tungband leda till vakuumsläpp och problem med nedsatt matintag. Problem med matintag kan även uppstå med flaskmatning. </w:t>
      </w:r>
    </w:p>
    <w:p w14:paraId="63DFB198" w14:textId="77777777" w:rsidR="00E432D0" w:rsidRPr="00E432D0" w:rsidRDefault="00E432D0" w:rsidP="00DF091B">
      <w:pPr>
        <w:spacing w:after="0" w:line="240" w:lineRule="auto"/>
        <w:ind w:right="0"/>
        <w:rPr>
          <w:rFonts w:ascii="Calibri" w:hAnsi="Calibri" w:cs="Calibri"/>
          <w:szCs w:val="20"/>
        </w:rPr>
      </w:pPr>
    </w:p>
    <w:p w14:paraId="17ACFE2C"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b/>
          <w:szCs w:val="20"/>
        </w:rPr>
        <w:t>Ett kort tungband</w:t>
      </w:r>
      <w:r w:rsidRPr="00E432D0">
        <w:rPr>
          <w:rFonts w:ascii="Calibri" w:hAnsi="Calibri" w:cs="Calibri"/>
          <w:szCs w:val="20"/>
        </w:rPr>
        <w:t xml:space="preserve"> ger oftast inga symtom. I vissa fall föranleder kort tungband en nedsättning i tungans rörlighet vilket gör att barnet kan ha svårare för att sträcka fram sin tunga över nedre tandraden för att ta emot bröstet, skapa vakuum och bibehålla ett bra tag om bröstet. </w:t>
      </w:r>
    </w:p>
    <w:p w14:paraId="629F8B50"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 xml:space="preserve">Kort tungband förekommer hos 4 – 11 % av nyfödda barn. Det kan vara ärftligt och förekommer oftare hos pojkar. </w:t>
      </w:r>
      <w:proofErr w:type="spellStart"/>
      <w:r w:rsidRPr="00E432D0">
        <w:rPr>
          <w:rFonts w:ascii="Calibri" w:hAnsi="Calibri" w:cs="Calibri"/>
          <w:szCs w:val="20"/>
        </w:rPr>
        <w:t>Frenotomi</w:t>
      </w:r>
      <w:proofErr w:type="spellEnd"/>
      <w:r w:rsidRPr="00E432D0">
        <w:rPr>
          <w:rFonts w:ascii="Calibri" w:hAnsi="Calibri" w:cs="Calibri"/>
          <w:szCs w:val="20"/>
        </w:rPr>
        <w:t xml:space="preserve"> (klippning av tungbandet) kan på kort sikt resultera i minskad smärta vid amning och en subjektiv upplevelse av en </w:t>
      </w:r>
      <w:proofErr w:type="gramStart"/>
      <w:r w:rsidRPr="00E432D0">
        <w:rPr>
          <w:rFonts w:ascii="Calibri" w:hAnsi="Calibri" w:cs="Calibri"/>
          <w:szCs w:val="20"/>
        </w:rPr>
        <w:t>överlag</w:t>
      </w:r>
      <w:proofErr w:type="gramEnd"/>
      <w:r w:rsidRPr="00E432D0">
        <w:rPr>
          <w:rFonts w:ascii="Calibri" w:hAnsi="Calibri" w:cs="Calibri"/>
          <w:szCs w:val="20"/>
        </w:rPr>
        <w:t xml:space="preserve"> förbättrad amningssituation. Det har dock inte kunnat bevisas någon signifikant positiv effekt på amning på längre sikt då det saknas objektiva och randomiserade studier. Det är viktigt att undvika överdiagnostik och behandling då det setts att enbart cirka 20 % av barn med kort tungband har amningssvårigheter. Efterfrågan på klippning av tungband har ökat i de flesta västerländska länder och många av de symtom som uppges kan vara resultat av för lite kunskap om barnets läge vid bröstet och vikten av ett optimalt bra tag. Amningstekniska orsaker till smärta och besvär vid amning eller nedsatt mjölkintag hos barnet ska alltid uteslutas innan tungbandet klipps. Ett konsekvent och beprövat bedömningsunderlag ska användas för att skatta tungans utseende och funktion. Om kort tungband inte är åtgärdat i spädbarnsåldern brukar dessa tungband delvis sträckas och förlängas av sig själva.</w:t>
      </w:r>
    </w:p>
    <w:p w14:paraId="1DB07825" w14:textId="77777777" w:rsidR="00E432D0" w:rsidRPr="00E432D0" w:rsidRDefault="00E432D0" w:rsidP="00DF091B">
      <w:pPr>
        <w:spacing w:after="0" w:line="240" w:lineRule="auto"/>
        <w:ind w:right="0"/>
        <w:rPr>
          <w:rFonts w:ascii="Calibri" w:hAnsi="Calibri" w:cs="Calibri"/>
          <w:szCs w:val="20"/>
        </w:rPr>
      </w:pPr>
    </w:p>
    <w:p w14:paraId="15FDF57E"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lastRenderedPageBreak/>
        <w:t xml:space="preserve">Inga bevis finns för att kort tungband ger problem vid barnets språkutveckling och begränsad information finns om de problem som eventuellt kan vara vid artikulation senare i livet. Mycket kort tungband kan möjligtvis orsaka viss bettanomali, problem med oral hygien, sväljningssvårigheter eller nedsatt salivkontroll. </w:t>
      </w:r>
    </w:p>
    <w:p w14:paraId="7D5AD8EA" w14:textId="77777777" w:rsidR="00E432D0" w:rsidRPr="00E432D0" w:rsidRDefault="00E432D0" w:rsidP="00DF091B">
      <w:pPr>
        <w:pStyle w:val="Rubrik2"/>
      </w:pPr>
      <w:bookmarkStart w:id="3" w:name="_Toc501440350"/>
      <w:r w:rsidRPr="00E432D0">
        <w:t xml:space="preserve">Sammanfattning/syfte </w:t>
      </w:r>
      <w:bookmarkEnd w:id="3"/>
    </w:p>
    <w:p w14:paraId="2140901B" w14:textId="12ADDB81"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 xml:space="preserve">Ett konsekvent tillvägagångssätt kan vara till hjälp för att båda minimera onödiga åtgärder samt upptäcka och åtgärda problem som kan leda till långvariga amnings-/matningsproblemen inom rimlig tid. Samverkan sker mellan Kvinno-/Barnkliniker, Öron-näsa-hals (ÖNH) och </w:t>
      </w:r>
      <w:proofErr w:type="spellStart"/>
      <w:r w:rsidRPr="00E432D0">
        <w:rPr>
          <w:rFonts w:ascii="Calibri" w:hAnsi="Calibri" w:cs="Calibri"/>
          <w:szCs w:val="20"/>
        </w:rPr>
        <w:t>Pedodonti</w:t>
      </w:r>
      <w:proofErr w:type="spellEnd"/>
      <w:r w:rsidRPr="00E432D0">
        <w:rPr>
          <w:rFonts w:ascii="Calibri" w:hAnsi="Calibri" w:cs="Calibri"/>
          <w:szCs w:val="20"/>
        </w:rPr>
        <w:t xml:space="preserve">. Målet är att ge bästa förutsättningar för amningsstart, förebygga bröstkomplikationer samt förekomma problem med matintaget och tillväxt hos barnet. </w:t>
      </w:r>
    </w:p>
    <w:p w14:paraId="44E52277" w14:textId="77777777" w:rsidR="00E432D0" w:rsidRPr="00E432D0" w:rsidRDefault="00E432D0" w:rsidP="00DF091B">
      <w:pPr>
        <w:pStyle w:val="Rubrik2"/>
      </w:pPr>
      <w:bookmarkStart w:id="4" w:name="_Toc501440351"/>
      <w:r w:rsidRPr="00E432D0">
        <w:t>Åtgärder</w:t>
      </w:r>
      <w:bookmarkEnd w:id="4"/>
    </w:p>
    <w:p w14:paraId="25681416" w14:textId="10075D8D"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Ställningstagande till eventuellt kort tungband ska alltid föregås av noggrann amningsobservation, med fördel av en barnmorska eller sjuksköterska som har utökad erfarenhet av att utföra amningsobservation.</w:t>
      </w:r>
    </w:p>
    <w:p w14:paraId="24D75634" w14:textId="77777777" w:rsidR="00E432D0" w:rsidRPr="00E432D0" w:rsidRDefault="00E432D0" w:rsidP="00DF091B">
      <w:pPr>
        <w:pStyle w:val="MellanrubrikVGR"/>
      </w:pPr>
      <w:r w:rsidRPr="00E432D0">
        <w:t xml:space="preserve">Amningstecken på kort tungband </w:t>
      </w:r>
    </w:p>
    <w:p w14:paraId="7412C3EE"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Mamman</w:t>
      </w:r>
    </w:p>
    <w:p w14:paraId="0EF386C3" w14:textId="77777777" w:rsidR="00E432D0" w:rsidRPr="00E432D0" w:rsidRDefault="00E432D0" w:rsidP="00DF091B">
      <w:pPr>
        <w:numPr>
          <w:ilvl w:val="0"/>
          <w:numId w:val="20"/>
        </w:numPr>
        <w:spacing w:after="0" w:line="240" w:lineRule="auto"/>
        <w:ind w:left="1352" w:right="0"/>
        <w:rPr>
          <w:rFonts w:ascii="Calibri" w:hAnsi="Calibri" w:cs="Calibri"/>
          <w:b/>
          <w:bCs/>
          <w:szCs w:val="20"/>
        </w:rPr>
      </w:pPr>
      <w:r w:rsidRPr="00E432D0">
        <w:rPr>
          <w:rFonts w:ascii="Calibri" w:hAnsi="Calibri" w:cs="Calibri"/>
          <w:szCs w:val="20"/>
        </w:rPr>
        <w:t xml:space="preserve">Smärtsam amning </w:t>
      </w:r>
    </w:p>
    <w:p w14:paraId="2F859FB6" w14:textId="77777777" w:rsidR="00E432D0" w:rsidRPr="00E432D0" w:rsidRDefault="00E432D0" w:rsidP="00DF091B">
      <w:pPr>
        <w:numPr>
          <w:ilvl w:val="0"/>
          <w:numId w:val="20"/>
        </w:numPr>
        <w:spacing w:after="0" w:line="240" w:lineRule="auto"/>
        <w:ind w:left="1352" w:right="0"/>
        <w:rPr>
          <w:rFonts w:ascii="Calibri" w:hAnsi="Calibri" w:cs="Calibri"/>
          <w:b/>
          <w:bCs/>
          <w:szCs w:val="20"/>
        </w:rPr>
      </w:pPr>
      <w:r w:rsidRPr="00E432D0">
        <w:rPr>
          <w:rFonts w:ascii="Calibri" w:hAnsi="Calibri" w:cs="Calibri"/>
          <w:szCs w:val="20"/>
        </w:rPr>
        <w:t xml:space="preserve">Bröstvårtan </w:t>
      </w:r>
      <w:proofErr w:type="spellStart"/>
      <w:r w:rsidRPr="00E432D0">
        <w:rPr>
          <w:rFonts w:ascii="Calibri" w:hAnsi="Calibri" w:cs="Calibri"/>
          <w:szCs w:val="20"/>
        </w:rPr>
        <w:t>ihopklämd</w:t>
      </w:r>
      <w:proofErr w:type="spellEnd"/>
      <w:r w:rsidRPr="00E432D0">
        <w:rPr>
          <w:rFonts w:ascii="Calibri" w:hAnsi="Calibri" w:cs="Calibri"/>
          <w:szCs w:val="20"/>
        </w:rPr>
        <w:t>, tillplattad eller vitnar efter amning och sårbildning</w:t>
      </w:r>
    </w:p>
    <w:p w14:paraId="344CDDCA" w14:textId="77777777" w:rsidR="00E432D0" w:rsidRPr="00E432D0" w:rsidRDefault="00E432D0" w:rsidP="00DF091B">
      <w:pPr>
        <w:numPr>
          <w:ilvl w:val="0"/>
          <w:numId w:val="20"/>
        </w:numPr>
        <w:spacing w:after="0" w:line="240" w:lineRule="auto"/>
        <w:ind w:left="1352" w:right="0"/>
        <w:rPr>
          <w:rFonts w:ascii="Calibri" w:hAnsi="Calibri" w:cs="Calibri"/>
          <w:bCs/>
          <w:szCs w:val="20"/>
        </w:rPr>
      </w:pPr>
      <w:r w:rsidRPr="00E432D0">
        <w:rPr>
          <w:rFonts w:ascii="Calibri" w:hAnsi="Calibri" w:cs="Calibri"/>
          <w:bCs/>
          <w:szCs w:val="20"/>
        </w:rPr>
        <w:t>Ineffektiv brösttömning och ökad risk för tilltäppta mjölkgångar/mjölkstockning</w:t>
      </w:r>
    </w:p>
    <w:p w14:paraId="03E54B9A" w14:textId="77777777" w:rsidR="00E432D0" w:rsidRPr="00E432D0" w:rsidRDefault="00E432D0" w:rsidP="00DF091B">
      <w:pPr>
        <w:numPr>
          <w:ilvl w:val="0"/>
          <w:numId w:val="20"/>
        </w:numPr>
        <w:spacing w:after="0" w:line="240" w:lineRule="auto"/>
        <w:ind w:left="1352" w:right="0"/>
        <w:rPr>
          <w:rFonts w:ascii="Calibri" w:hAnsi="Calibri" w:cs="Calibri"/>
          <w:bCs/>
          <w:szCs w:val="20"/>
        </w:rPr>
      </w:pPr>
      <w:r w:rsidRPr="00E432D0">
        <w:rPr>
          <w:rFonts w:ascii="Calibri" w:hAnsi="Calibri" w:cs="Calibri"/>
          <w:bCs/>
          <w:szCs w:val="20"/>
        </w:rPr>
        <w:t>Nedsatt mjölkproduktion</w:t>
      </w:r>
    </w:p>
    <w:p w14:paraId="0E9215C9" w14:textId="77777777" w:rsidR="00E432D0" w:rsidRPr="00E432D0" w:rsidRDefault="00E432D0" w:rsidP="00DF091B">
      <w:pPr>
        <w:spacing w:after="0" w:line="240" w:lineRule="auto"/>
        <w:ind w:right="0"/>
        <w:rPr>
          <w:rFonts w:ascii="Calibri" w:hAnsi="Calibri" w:cs="Calibri"/>
          <w:bCs/>
          <w:szCs w:val="20"/>
        </w:rPr>
      </w:pPr>
      <w:r w:rsidRPr="00E432D0">
        <w:rPr>
          <w:rFonts w:ascii="Calibri" w:hAnsi="Calibri" w:cs="Calibri"/>
          <w:bCs/>
          <w:szCs w:val="20"/>
        </w:rPr>
        <w:br/>
        <w:t>Barnet</w:t>
      </w:r>
    </w:p>
    <w:p w14:paraId="155A7466" w14:textId="77777777" w:rsidR="00E432D0" w:rsidRPr="00E432D0" w:rsidRDefault="00E432D0" w:rsidP="00DF091B">
      <w:pPr>
        <w:numPr>
          <w:ilvl w:val="0"/>
          <w:numId w:val="20"/>
        </w:numPr>
        <w:spacing w:after="0" w:line="240" w:lineRule="auto"/>
        <w:ind w:left="1352" w:right="0"/>
        <w:rPr>
          <w:rFonts w:ascii="Calibri" w:hAnsi="Calibri" w:cs="Calibri"/>
          <w:b/>
          <w:bCs/>
          <w:szCs w:val="20"/>
        </w:rPr>
      </w:pPr>
      <w:r w:rsidRPr="00E432D0">
        <w:rPr>
          <w:rFonts w:ascii="Calibri" w:hAnsi="Calibri" w:cs="Calibri"/>
          <w:szCs w:val="20"/>
        </w:rPr>
        <w:t>Barnet får inte tag om bröstet/oroligt vid bröstet/somnar lätt ifrån under amning</w:t>
      </w:r>
    </w:p>
    <w:p w14:paraId="4A301F42" w14:textId="77777777" w:rsidR="00E432D0" w:rsidRPr="00E432D0" w:rsidRDefault="00E432D0" w:rsidP="00DF091B">
      <w:pPr>
        <w:numPr>
          <w:ilvl w:val="0"/>
          <w:numId w:val="20"/>
        </w:numPr>
        <w:spacing w:after="0" w:line="240" w:lineRule="auto"/>
        <w:ind w:left="1352" w:right="0"/>
        <w:rPr>
          <w:rFonts w:ascii="Calibri" w:hAnsi="Calibri" w:cs="Calibri"/>
          <w:b/>
          <w:bCs/>
          <w:szCs w:val="20"/>
        </w:rPr>
      </w:pPr>
      <w:r w:rsidRPr="00E432D0">
        <w:rPr>
          <w:rFonts w:ascii="Calibri" w:hAnsi="Calibri" w:cs="Calibri"/>
          <w:szCs w:val="20"/>
        </w:rPr>
        <w:t>Vakuumsläpp och smackande ljud under amning/sugblåsor på överläppen</w:t>
      </w:r>
    </w:p>
    <w:p w14:paraId="332BF547" w14:textId="77777777" w:rsidR="00E432D0" w:rsidRPr="00E432D0" w:rsidRDefault="00E432D0" w:rsidP="00DF091B">
      <w:pPr>
        <w:numPr>
          <w:ilvl w:val="0"/>
          <w:numId w:val="20"/>
        </w:numPr>
        <w:spacing w:after="0" w:line="240" w:lineRule="auto"/>
        <w:ind w:left="1352" w:right="0"/>
        <w:rPr>
          <w:rFonts w:ascii="Calibri" w:hAnsi="Calibri" w:cs="Calibri"/>
          <w:bCs/>
          <w:szCs w:val="20"/>
        </w:rPr>
      </w:pPr>
      <w:r w:rsidRPr="00E432D0">
        <w:rPr>
          <w:rFonts w:ascii="Calibri" w:hAnsi="Calibri" w:cs="Calibri"/>
          <w:bCs/>
          <w:szCs w:val="20"/>
        </w:rPr>
        <w:t>Frekventa amningar, missnöjt barn, otillfredsställande viktutveckling</w:t>
      </w:r>
    </w:p>
    <w:p w14:paraId="5A8ECACF" w14:textId="708E0FFF" w:rsidR="00E432D0" w:rsidRPr="00DF091B" w:rsidRDefault="00E432D0" w:rsidP="00126D17">
      <w:pPr>
        <w:numPr>
          <w:ilvl w:val="0"/>
          <w:numId w:val="20"/>
        </w:numPr>
        <w:spacing w:after="0" w:line="240" w:lineRule="auto"/>
        <w:ind w:left="1352" w:right="0"/>
        <w:rPr>
          <w:rFonts w:ascii="Calibri" w:hAnsi="Calibri" w:cs="Calibri"/>
          <w:szCs w:val="20"/>
        </w:rPr>
      </w:pPr>
      <w:r w:rsidRPr="00DF091B">
        <w:rPr>
          <w:rFonts w:ascii="Calibri" w:hAnsi="Calibri" w:cs="Calibri"/>
          <w:bCs/>
          <w:szCs w:val="20"/>
        </w:rPr>
        <w:t>Stort luftintag vid bröstet, reflux-/kolikliknade symtom</w:t>
      </w:r>
    </w:p>
    <w:p w14:paraId="33074875" w14:textId="77777777" w:rsidR="00E432D0" w:rsidRPr="00E432D0" w:rsidRDefault="00E432D0" w:rsidP="00DF091B">
      <w:pPr>
        <w:pStyle w:val="MellanrubrikVGR"/>
      </w:pPr>
      <w:r w:rsidRPr="00E432D0">
        <w:t xml:space="preserve">Amningsstöd </w:t>
      </w:r>
    </w:p>
    <w:p w14:paraId="39738181" w14:textId="77777777" w:rsidR="00E432D0" w:rsidRPr="00E432D0" w:rsidRDefault="00E432D0" w:rsidP="00DF091B">
      <w:pPr>
        <w:numPr>
          <w:ilvl w:val="0"/>
          <w:numId w:val="21"/>
        </w:numPr>
        <w:spacing w:after="0" w:line="240" w:lineRule="auto"/>
        <w:ind w:left="1352" w:right="0"/>
        <w:rPr>
          <w:rFonts w:ascii="Calibri" w:hAnsi="Calibri" w:cs="Calibri"/>
          <w:szCs w:val="20"/>
        </w:rPr>
      </w:pPr>
      <w:r w:rsidRPr="00E432D0">
        <w:rPr>
          <w:rFonts w:ascii="Calibri" w:hAnsi="Calibri" w:cs="Calibri"/>
          <w:szCs w:val="20"/>
        </w:rPr>
        <w:t>Justering av amningsposition för att få till så optimalt bra tag som möjligt</w:t>
      </w:r>
    </w:p>
    <w:p w14:paraId="1F3BF2E7" w14:textId="77777777" w:rsidR="00E432D0" w:rsidRPr="00E432D0" w:rsidRDefault="00E432D0" w:rsidP="00DF091B">
      <w:pPr>
        <w:numPr>
          <w:ilvl w:val="0"/>
          <w:numId w:val="21"/>
        </w:numPr>
        <w:spacing w:after="0" w:line="240" w:lineRule="auto"/>
        <w:ind w:left="1352" w:right="0"/>
        <w:rPr>
          <w:rFonts w:ascii="Calibri" w:hAnsi="Calibri" w:cs="Calibri"/>
          <w:szCs w:val="20"/>
        </w:rPr>
      </w:pPr>
      <w:r w:rsidRPr="00E432D0">
        <w:rPr>
          <w:rFonts w:ascii="Calibri" w:hAnsi="Calibri" w:cs="Calibri"/>
          <w:szCs w:val="20"/>
        </w:rPr>
        <w:t>Vid behov av avlastning på grund av amningssmärta: handmjölkning/pumpning och matning av bröstmjölk</w:t>
      </w:r>
    </w:p>
    <w:p w14:paraId="59E254DE" w14:textId="77777777" w:rsidR="00E432D0" w:rsidRPr="00E432D0" w:rsidRDefault="00E432D0" w:rsidP="00DF091B">
      <w:pPr>
        <w:numPr>
          <w:ilvl w:val="0"/>
          <w:numId w:val="21"/>
        </w:numPr>
        <w:spacing w:after="0" w:line="240" w:lineRule="auto"/>
        <w:ind w:left="1352" w:right="0"/>
        <w:rPr>
          <w:rFonts w:ascii="Calibri" w:hAnsi="Calibri" w:cs="Calibri"/>
          <w:szCs w:val="20"/>
        </w:rPr>
      </w:pPr>
      <w:r w:rsidRPr="00E432D0">
        <w:rPr>
          <w:rFonts w:ascii="Calibri" w:hAnsi="Calibri" w:cs="Calibri"/>
          <w:szCs w:val="20"/>
        </w:rPr>
        <w:t>Undvik amningsnapp - dessa kan minska smärta under amning men är ingen hållbar lösning och kan komplicera symtombilden</w:t>
      </w:r>
    </w:p>
    <w:p w14:paraId="5ADEB764" w14:textId="77777777" w:rsidR="00E432D0" w:rsidRPr="00E432D0" w:rsidRDefault="00E432D0" w:rsidP="00DF091B">
      <w:pPr>
        <w:pStyle w:val="MellanrubrikVGR"/>
      </w:pPr>
      <w:r w:rsidRPr="00E432D0">
        <w:t>Bedömning av tungans utseende och funktion</w:t>
      </w:r>
    </w:p>
    <w:p w14:paraId="2D2E6300"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 xml:space="preserve">Om fortsatt problem med amning trots ovanstående insatser ska tungbandets utseende och funktion bedömas. Ett bedömningsunderlag - Bristol </w:t>
      </w:r>
      <w:proofErr w:type="spellStart"/>
      <w:r w:rsidRPr="00E432D0">
        <w:rPr>
          <w:rFonts w:ascii="Calibri" w:hAnsi="Calibri" w:cs="Calibri"/>
          <w:szCs w:val="20"/>
        </w:rPr>
        <w:t>Tongue-tie</w:t>
      </w:r>
      <w:proofErr w:type="spellEnd"/>
      <w:r w:rsidRPr="00E432D0">
        <w:rPr>
          <w:rFonts w:ascii="Calibri" w:hAnsi="Calibri" w:cs="Calibri"/>
          <w:szCs w:val="20"/>
        </w:rPr>
        <w:t xml:space="preserve"> </w:t>
      </w:r>
      <w:proofErr w:type="spellStart"/>
      <w:r w:rsidRPr="00E432D0">
        <w:rPr>
          <w:rFonts w:ascii="Calibri" w:hAnsi="Calibri" w:cs="Calibri"/>
          <w:szCs w:val="20"/>
        </w:rPr>
        <w:lastRenderedPageBreak/>
        <w:t>Assessment</w:t>
      </w:r>
      <w:proofErr w:type="spellEnd"/>
      <w:r w:rsidRPr="00E432D0">
        <w:rPr>
          <w:rFonts w:ascii="Calibri" w:hAnsi="Calibri" w:cs="Calibri"/>
          <w:szCs w:val="20"/>
        </w:rPr>
        <w:t xml:space="preserve"> </w:t>
      </w:r>
      <w:proofErr w:type="spellStart"/>
      <w:r w:rsidRPr="00E432D0">
        <w:rPr>
          <w:rFonts w:ascii="Calibri" w:hAnsi="Calibri" w:cs="Calibri"/>
          <w:szCs w:val="20"/>
        </w:rPr>
        <w:t>Tool</w:t>
      </w:r>
      <w:proofErr w:type="spellEnd"/>
      <w:r w:rsidRPr="00E432D0">
        <w:rPr>
          <w:rFonts w:ascii="Calibri" w:hAnsi="Calibri" w:cs="Calibri"/>
          <w:szCs w:val="20"/>
        </w:rPr>
        <w:t xml:space="preserve"> (BTAT) används för att skatta funktion och utseende och identifiera barn som behöver </w:t>
      </w:r>
      <w:proofErr w:type="spellStart"/>
      <w:r w:rsidRPr="00E432D0">
        <w:rPr>
          <w:rFonts w:ascii="Calibri" w:hAnsi="Calibri" w:cs="Calibri"/>
          <w:szCs w:val="20"/>
        </w:rPr>
        <w:t>frenotomi</w:t>
      </w:r>
      <w:proofErr w:type="spellEnd"/>
      <w:r w:rsidRPr="00E432D0">
        <w:rPr>
          <w:rFonts w:ascii="Calibri" w:hAnsi="Calibri" w:cs="Calibri"/>
          <w:szCs w:val="20"/>
        </w:rPr>
        <w:t xml:space="preserve"> (se figur 1). </w:t>
      </w:r>
    </w:p>
    <w:p w14:paraId="6798D183" w14:textId="77777777" w:rsidR="00E432D0" w:rsidRPr="00E432D0" w:rsidRDefault="00E432D0" w:rsidP="00DF091B">
      <w:pPr>
        <w:spacing w:after="0" w:line="240" w:lineRule="auto"/>
        <w:ind w:right="0"/>
        <w:rPr>
          <w:rFonts w:ascii="Calibri" w:hAnsi="Calibri" w:cs="Calibri"/>
          <w:szCs w:val="20"/>
        </w:rPr>
      </w:pPr>
    </w:p>
    <w:p w14:paraId="6CAA789C" w14:textId="77777777" w:rsidR="00E432D0" w:rsidRPr="00E432D0" w:rsidRDefault="00E432D0" w:rsidP="00DF091B">
      <w:pPr>
        <w:spacing w:after="0" w:line="240" w:lineRule="auto"/>
        <w:ind w:right="0"/>
        <w:rPr>
          <w:rFonts w:ascii="Calibri" w:hAnsi="Calibri" w:cs="Calibri"/>
          <w:color w:val="FF0000"/>
          <w:szCs w:val="20"/>
        </w:rPr>
      </w:pPr>
      <w:r w:rsidRPr="00E432D0">
        <w:rPr>
          <w:rFonts w:ascii="Calibri" w:hAnsi="Calibri" w:cs="Calibri"/>
          <w:szCs w:val="20"/>
        </w:rPr>
        <w:t xml:space="preserve">Viktigt att notera att tunglyft är av betydelse för </w:t>
      </w:r>
      <w:proofErr w:type="spellStart"/>
      <w:r w:rsidRPr="00E432D0">
        <w:rPr>
          <w:rFonts w:ascii="Calibri" w:hAnsi="Calibri" w:cs="Calibri"/>
          <w:szCs w:val="20"/>
        </w:rPr>
        <w:t>amningsförmågan</w:t>
      </w:r>
      <w:proofErr w:type="spellEnd"/>
      <w:r w:rsidRPr="00E432D0">
        <w:rPr>
          <w:rFonts w:ascii="Calibri" w:hAnsi="Calibri" w:cs="Calibri"/>
          <w:szCs w:val="20"/>
        </w:rPr>
        <w:t>. Bedömning ska inte vila enbart på förmåga att sträcka fram tungan.</w:t>
      </w:r>
    </w:p>
    <w:p w14:paraId="201CFF54" w14:textId="77777777" w:rsidR="007A5AC1" w:rsidRPr="005561D8" w:rsidRDefault="007A5AC1" w:rsidP="00DF091B">
      <w:pPr>
        <w:spacing w:after="0" w:line="240" w:lineRule="auto"/>
        <w:ind w:right="0"/>
        <w:rPr>
          <w:rFonts w:ascii="Calibri" w:hAnsi="Calibri" w:cs="Calibri"/>
          <w:b/>
          <w:szCs w:val="20"/>
        </w:rPr>
      </w:pPr>
    </w:p>
    <w:p w14:paraId="123519C7" w14:textId="715334C9" w:rsidR="00E432D0" w:rsidRPr="00E432D0" w:rsidRDefault="00E432D0" w:rsidP="00DF091B">
      <w:pPr>
        <w:spacing w:after="0" w:line="240" w:lineRule="auto"/>
        <w:ind w:right="0"/>
        <w:rPr>
          <w:rFonts w:ascii="Calibri" w:hAnsi="Calibri" w:cs="Calibri"/>
          <w:b/>
          <w:szCs w:val="20"/>
          <w:lang w:val="en-US"/>
        </w:rPr>
      </w:pPr>
      <w:r w:rsidRPr="00E432D0">
        <w:rPr>
          <w:rFonts w:ascii="Calibri" w:hAnsi="Calibri" w:cs="Calibri"/>
          <w:b/>
          <w:szCs w:val="20"/>
          <w:lang w:val="en-US"/>
        </w:rPr>
        <w:t xml:space="preserve">Bristol Tongue Assessment Tool (BTAT) </w:t>
      </w:r>
      <w:r w:rsidRPr="00E432D0">
        <w:rPr>
          <w:rFonts w:ascii="Calibri" w:hAnsi="Calibri" w:cs="Calibri"/>
          <w:szCs w:val="20"/>
          <w:lang w:val="en-US"/>
        </w:rPr>
        <w:t>Ingram et al, 2015</w:t>
      </w:r>
    </w:p>
    <w:p w14:paraId="1A2AA14A" w14:textId="77777777" w:rsidR="00E432D0" w:rsidRPr="00E432D0" w:rsidRDefault="00E432D0" w:rsidP="00DF091B">
      <w:pPr>
        <w:spacing w:after="0" w:line="240" w:lineRule="auto"/>
        <w:ind w:right="0"/>
        <w:rPr>
          <w:rFonts w:ascii="Calibri" w:hAnsi="Calibri" w:cs="Calibri"/>
          <w:b/>
          <w:color w:val="FF0000"/>
          <w:szCs w:val="26"/>
          <w:lang w:val="en-US"/>
        </w:rPr>
      </w:pPr>
    </w:p>
    <w:tbl>
      <w:tblPr>
        <w:tblW w:w="9097"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127"/>
        <w:gridCol w:w="2409"/>
        <w:gridCol w:w="2014"/>
      </w:tblGrid>
      <w:tr w:rsidR="00E432D0" w:rsidRPr="00E432D0" w14:paraId="321CA63F" w14:textId="77777777" w:rsidTr="007A5AC1">
        <w:tc>
          <w:tcPr>
            <w:tcW w:w="2547" w:type="dxa"/>
            <w:shd w:val="clear" w:color="auto" w:fill="auto"/>
          </w:tcPr>
          <w:p w14:paraId="707A5DFC" w14:textId="77777777" w:rsidR="00E432D0" w:rsidRPr="00E432D0" w:rsidRDefault="00E432D0" w:rsidP="00E432D0">
            <w:pPr>
              <w:spacing w:after="0" w:line="240" w:lineRule="auto"/>
              <w:ind w:left="0" w:right="0"/>
              <w:rPr>
                <w:rFonts w:ascii="Calibri" w:hAnsi="Calibri" w:cs="Calibri"/>
                <w:szCs w:val="26"/>
                <w:lang w:val="en-US"/>
              </w:rPr>
            </w:pPr>
          </w:p>
        </w:tc>
        <w:tc>
          <w:tcPr>
            <w:tcW w:w="2127" w:type="dxa"/>
            <w:shd w:val="clear" w:color="auto" w:fill="auto"/>
          </w:tcPr>
          <w:p w14:paraId="21747F0A" w14:textId="77777777" w:rsidR="00E432D0" w:rsidRPr="00E432D0" w:rsidRDefault="00E432D0" w:rsidP="00E432D0">
            <w:pPr>
              <w:spacing w:after="0" w:line="240" w:lineRule="auto"/>
              <w:ind w:left="0" w:right="0"/>
              <w:rPr>
                <w:rFonts w:ascii="Calibri" w:hAnsi="Calibri" w:cs="Calibri"/>
                <w:b/>
                <w:szCs w:val="26"/>
              </w:rPr>
            </w:pPr>
            <w:r w:rsidRPr="00E432D0">
              <w:rPr>
                <w:rFonts w:ascii="Calibri" w:hAnsi="Calibri" w:cs="Calibri"/>
                <w:b/>
                <w:szCs w:val="26"/>
              </w:rPr>
              <w:t>0</w:t>
            </w:r>
          </w:p>
        </w:tc>
        <w:tc>
          <w:tcPr>
            <w:tcW w:w="2409" w:type="dxa"/>
            <w:shd w:val="clear" w:color="auto" w:fill="auto"/>
          </w:tcPr>
          <w:p w14:paraId="0D3A6B18" w14:textId="77777777" w:rsidR="00E432D0" w:rsidRPr="00E432D0" w:rsidRDefault="00E432D0" w:rsidP="00E432D0">
            <w:pPr>
              <w:spacing w:after="0" w:line="240" w:lineRule="auto"/>
              <w:ind w:left="0" w:right="0"/>
              <w:rPr>
                <w:rFonts w:ascii="Calibri" w:hAnsi="Calibri" w:cs="Calibri"/>
                <w:b/>
                <w:szCs w:val="26"/>
              </w:rPr>
            </w:pPr>
            <w:r w:rsidRPr="00E432D0">
              <w:rPr>
                <w:rFonts w:ascii="Calibri" w:hAnsi="Calibri" w:cs="Calibri"/>
                <w:b/>
                <w:szCs w:val="26"/>
              </w:rPr>
              <w:t>1</w:t>
            </w:r>
          </w:p>
        </w:tc>
        <w:tc>
          <w:tcPr>
            <w:tcW w:w="2014" w:type="dxa"/>
            <w:shd w:val="clear" w:color="auto" w:fill="auto"/>
          </w:tcPr>
          <w:p w14:paraId="152B1DA3" w14:textId="77777777" w:rsidR="00E432D0" w:rsidRPr="00E432D0" w:rsidRDefault="00E432D0" w:rsidP="00E432D0">
            <w:pPr>
              <w:spacing w:after="0" w:line="240" w:lineRule="auto"/>
              <w:ind w:left="0" w:right="0"/>
              <w:rPr>
                <w:rFonts w:ascii="Calibri" w:hAnsi="Calibri" w:cs="Calibri"/>
                <w:b/>
                <w:szCs w:val="26"/>
              </w:rPr>
            </w:pPr>
            <w:r w:rsidRPr="00E432D0">
              <w:rPr>
                <w:rFonts w:ascii="Calibri" w:hAnsi="Calibri" w:cs="Calibri"/>
                <w:b/>
                <w:szCs w:val="26"/>
              </w:rPr>
              <w:t>2</w:t>
            </w:r>
          </w:p>
        </w:tc>
      </w:tr>
      <w:tr w:rsidR="00E432D0" w:rsidRPr="00E432D0" w14:paraId="1371042D" w14:textId="77777777" w:rsidTr="007A5AC1">
        <w:tc>
          <w:tcPr>
            <w:tcW w:w="2547" w:type="dxa"/>
            <w:shd w:val="clear" w:color="auto" w:fill="auto"/>
          </w:tcPr>
          <w:p w14:paraId="102282ED"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Tungspets utseende</w:t>
            </w:r>
          </w:p>
        </w:tc>
        <w:tc>
          <w:tcPr>
            <w:tcW w:w="2127" w:type="dxa"/>
            <w:shd w:val="clear" w:color="auto" w:fill="auto"/>
          </w:tcPr>
          <w:p w14:paraId="17056EE1"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Hjärtformad</w:t>
            </w:r>
          </w:p>
        </w:tc>
        <w:tc>
          <w:tcPr>
            <w:tcW w:w="2409" w:type="dxa"/>
            <w:shd w:val="clear" w:color="auto" w:fill="auto"/>
          </w:tcPr>
          <w:p w14:paraId="467B6ABB"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Lätt klyfta/skåra eller fyrkantig</w:t>
            </w:r>
          </w:p>
        </w:tc>
        <w:tc>
          <w:tcPr>
            <w:tcW w:w="2014" w:type="dxa"/>
            <w:shd w:val="clear" w:color="auto" w:fill="auto"/>
          </w:tcPr>
          <w:p w14:paraId="07BA5C3B"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Rund</w:t>
            </w:r>
          </w:p>
        </w:tc>
      </w:tr>
      <w:tr w:rsidR="00E432D0" w:rsidRPr="00E432D0" w14:paraId="38E2BCEF" w14:textId="77777777" w:rsidTr="007A5AC1">
        <w:tc>
          <w:tcPr>
            <w:tcW w:w="2547" w:type="dxa"/>
            <w:shd w:val="clear" w:color="auto" w:fill="auto"/>
          </w:tcPr>
          <w:p w14:paraId="71B9E36C" w14:textId="77777777" w:rsidR="00E432D0" w:rsidRPr="00E432D0" w:rsidRDefault="00E432D0" w:rsidP="00E432D0">
            <w:pPr>
              <w:spacing w:after="0" w:line="240" w:lineRule="auto"/>
              <w:ind w:left="0" w:right="0"/>
              <w:rPr>
                <w:rFonts w:ascii="Calibri" w:hAnsi="Calibri" w:cs="Calibri"/>
                <w:szCs w:val="26"/>
              </w:rPr>
            </w:pPr>
            <w:proofErr w:type="spellStart"/>
            <w:r w:rsidRPr="00E432D0">
              <w:rPr>
                <w:rFonts w:ascii="Calibri" w:hAnsi="Calibri" w:cs="Calibri"/>
                <w:szCs w:val="26"/>
              </w:rPr>
              <w:t>Frenulums</w:t>
            </w:r>
            <w:proofErr w:type="spellEnd"/>
            <w:r w:rsidRPr="00E432D0">
              <w:rPr>
                <w:rFonts w:ascii="Calibri" w:hAnsi="Calibri" w:cs="Calibri"/>
                <w:szCs w:val="26"/>
              </w:rPr>
              <w:t xml:space="preserve"> fäste vid tandrad</w:t>
            </w:r>
          </w:p>
        </w:tc>
        <w:tc>
          <w:tcPr>
            <w:tcW w:w="2127" w:type="dxa"/>
            <w:shd w:val="clear" w:color="auto" w:fill="auto"/>
          </w:tcPr>
          <w:p w14:paraId="0356A577"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Fäste i toppen av tandraden</w:t>
            </w:r>
          </w:p>
        </w:tc>
        <w:tc>
          <w:tcPr>
            <w:tcW w:w="2409" w:type="dxa"/>
            <w:shd w:val="clear" w:color="auto" w:fill="auto"/>
          </w:tcPr>
          <w:p w14:paraId="2E168A31"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Fäste vid inre del av tandraden</w:t>
            </w:r>
          </w:p>
        </w:tc>
        <w:tc>
          <w:tcPr>
            <w:tcW w:w="2014" w:type="dxa"/>
            <w:shd w:val="clear" w:color="auto" w:fill="auto"/>
          </w:tcPr>
          <w:p w14:paraId="31C049FA"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Fäste i munbotten</w:t>
            </w:r>
          </w:p>
        </w:tc>
      </w:tr>
      <w:tr w:rsidR="00E432D0" w:rsidRPr="00E432D0" w14:paraId="58960960" w14:textId="77777777" w:rsidTr="007A5AC1">
        <w:tc>
          <w:tcPr>
            <w:tcW w:w="2547" w:type="dxa"/>
            <w:shd w:val="clear" w:color="auto" w:fill="auto"/>
          </w:tcPr>
          <w:p w14:paraId="6D76F0BE"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Tunglyft vid öppen mun (vid gråt)</w:t>
            </w:r>
          </w:p>
        </w:tc>
        <w:tc>
          <w:tcPr>
            <w:tcW w:w="2127" w:type="dxa"/>
            <w:shd w:val="clear" w:color="auto" w:fill="auto"/>
          </w:tcPr>
          <w:p w14:paraId="06FE93A6"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Minimal tunglyft</w:t>
            </w:r>
          </w:p>
        </w:tc>
        <w:tc>
          <w:tcPr>
            <w:tcW w:w="2409" w:type="dxa"/>
            <w:shd w:val="clear" w:color="auto" w:fill="auto"/>
          </w:tcPr>
          <w:p w14:paraId="6F730D0F"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Enbart kanter till mitten av munnen</w:t>
            </w:r>
          </w:p>
        </w:tc>
        <w:tc>
          <w:tcPr>
            <w:tcW w:w="2014" w:type="dxa"/>
            <w:shd w:val="clear" w:color="auto" w:fill="auto"/>
          </w:tcPr>
          <w:p w14:paraId="2BC8FCC6"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Komplett tunglyft till mitten av munnen</w:t>
            </w:r>
          </w:p>
        </w:tc>
      </w:tr>
      <w:tr w:rsidR="00E432D0" w:rsidRPr="00E432D0" w14:paraId="1F2FC330" w14:textId="77777777" w:rsidTr="007A5AC1">
        <w:tc>
          <w:tcPr>
            <w:tcW w:w="2547" w:type="dxa"/>
            <w:shd w:val="clear" w:color="auto" w:fill="auto"/>
          </w:tcPr>
          <w:p w14:paraId="0EF292BA"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Tungans utsträckning</w:t>
            </w:r>
          </w:p>
          <w:p w14:paraId="0AF39DCD" w14:textId="77777777" w:rsidR="00E432D0" w:rsidRPr="00E432D0" w:rsidRDefault="00E432D0" w:rsidP="00E432D0">
            <w:pPr>
              <w:spacing w:after="0" w:line="240" w:lineRule="auto"/>
              <w:ind w:left="0" w:right="0"/>
              <w:rPr>
                <w:rFonts w:ascii="Calibri" w:hAnsi="Calibri" w:cs="Calibri"/>
                <w:szCs w:val="26"/>
              </w:rPr>
            </w:pPr>
          </w:p>
        </w:tc>
        <w:tc>
          <w:tcPr>
            <w:tcW w:w="2127" w:type="dxa"/>
            <w:shd w:val="clear" w:color="auto" w:fill="auto"/>
          </w:tcPr>
          <w:p w14:paraId="3EF965BD"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Spetsen stannar bakom tandraden</w:t>
            </w:r>
          </w:p>
        </w:tc>
        <w:tc>
          <w:tcPr>
            <w:tcW w:w="2409" w:type="dxa"/>
            <w:shd w:val="clear" w:color="auto" w:fill="auto"/>
          </w:tcPr>
          <w:p w14:paraId="00C0DA35"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Spetsen över tandraden</w:t>
            </w:r>
          </w:p>
        </w:tc>
        <w:tc>
          <w:tcPr>
            <w:tcW w:w="2014" w:type="dxa"/>
            <w:shd w:val="clear" w:color="auto" w:fill="auto"/>
          </w:tcPr>
          <w:p w14:paraId="017FCEDE" w14:textId="77777777" w:rsidR="00E432D0" w:rsidRPr="00E432D0" w:rsidRDefault="00E432D0" w:rsidP="00E432D0">
            <w:pPr>
              <w:spacing w:after="0" w:line="240" w:lineRule="auto"/>
              <w:ind w:left="0" w:right="0"/>
              <w:rPr>
                <w:rFonts w:ascii="Calibri" w:hAnsi="Calibri" w:cs="Calibri"/>
                <w:szCs w:val="26"/>
              </w:rPr>
            </w:pPr>
            <w:r w:rsidRPr="00E432D0">
              <w:rPr>
                <w:rFonts w:ascii="Calibri" w:hAnsi="Calibri" w:cs="Calibri"/>
                <w:szCs w:val="26"/>
              </w:rPr>
              <w:t>Spetsen över underläppen</w:t>
            </w:r>
          </w:p>
        </w:tc>
      </w:tr>
    </w:tbl>
    <w:p w14:paraId="2DE0641E" w14:textId="77777777" w:rsidR="00BC1CE8" w:rsidRDefault="00E432D0" w:rsidP="00BC1CE8">
      <w:pPr>
        <w:spacing w:after="0" w:line="240" w:lineRule="auto"/>
        <w:ind w:right="0"/>
        <w:rPr>
          <w:rFonts w:ascii="Calibri" w:hAnsi="Calibri" w:cs="Calibri"/>
          <w:szCs w:val="26"/>
        </w:rPr>
      </w:pPr>
      <w:r w:rsidRPr="00E432D0">
        <w:rPr>
          <w:rFonts w:ascii="Calibri" w:hAnsi="Calibri" w:cs="Calibri"/>
          <w:szCs w:val="26"/>
        </w:rPr>
        <w:tab/>
        <w:t>5 - 8 = normal funktion</w:t>
      </w:r>
    </w:p>
    <w:p w14:paraId="6E16665A" w14:textId="77777777" w:rsidR="00BC1CE8" w:rsidRDefault="00BC1CE8" w:rsidP="00BC1CE8">
      <w:pPr>
        <w:spacing w:after="0" w:line="240" w:lineRule="auto"/>
        <w:ind w:right="0"/>
        <w:rPr>
          <w:rFonts w:ascii="Calibri" w:hAnsi="Calibri" w:cs="Calibri"/>
          <w:szCs w:val="26"/>
        </w:rPr>
      </w:pPr>
      <w:r>
        <w:rPr>
          <w:rFonts w:ascii="Calibri" w:hAnsi="Calibri" w:cs="Calibri"/>
          <w:szCs w:val="26"/>
        </w:rPr>
        <w:tab/>
      </w:r>
      <w:r w:rsidR="00E432D0" w:rsidRPr="00E432D0">
        <w:rPr>
          <w:rFonts w:ascii="Calibri" w:hAnsi="Calibri" w:cs="Calibri"/>
          <w:szCs w:val="26"/>
        </w:rPr>
        <w:t>≤4 = nedsatt funktion</w:t>
      </w:r>
    </w:p>
    <w:p w14:paraId="69C58A8A" w14:textId="6C618D98" w:rsidR="00E432D0" w:rsidRPr="00BC1CE8" w:rsidRDefault="00BC1CE8" w:rsidP="00BC1CE8">
      <w:pPr>
        <w:spacing w:after="0" w:line="240" w:lineRule="auto"/>
        <w:ind w:right="0"/>
        <w:rPr>
          <w:rFonts w:ascii="Calibri" w:hAnsi="Calibri" w:cs="Calibri"/>
          <w:szCs w:val="26"/>
        </w:rPr>
      </w:pPr>
      <w:r>
        <w:rPr>
          <w:rFonts w:ascii="Calibri" w:hAnsi="Calibri" w:cs="Calibri"/>
          <w:szCs w:val="26"/>
        </w:rPr>
        <w:tab/>
      </w:r>
      <w:r w:rsidR="00E432D0" w:rsidRPr="00E432D0">
        <w:rPr>
          <w:rFonts w:ascii="Calibri" w:hAnsi="Calibri" w:cs="Calibri"/>
          <w:szCs w:val="26"/>
        </w:rPr>
        <w:t>&lt;3 = kraftigt nedsatt funktion</w:t>
      </w:r>
    </w:p>
    <w:p w14:paraId="5A60BDA4" w14:textId="77777777" w:rsidR="00E432D0" w:rsidRPr="00E432D0" w:rsidRDefault="00E432D0" w:rsidP="00BC1CE8">
      <w:pPr>
        <w:pStyle w:val="MellanrubrikVGR"/>
      </w:pPr>
      <w:r w:rsidRPr="00E432D0">
        <w:t xml:space="preserve">Klinisk åtgärd </w:t>
      </w:r>
    </w:p>
    <w:p w14:paraId="4C581525" w14:textId="77777777" w:rsidR="00E432D0" w:rsidRPr="00E432D0" w:rsidRDefault="00E432D0" w:rsidP="00DF091B">
      <w:pPr>
        <w:spacing w:after="0" w:line="240" w:lineRule="auto"/>
        <w:ind w:right="0"/>
        <w:rPr>
          <w:rFonts w:ascii="Calibri" w:hAnsi="Calibri" w:cs="Calibri"/>
          <w:szCs w:val="20"/>
        </w:rPr>
      </w:pPr>
      <w:bookmarkStart w:id="5" w:name="_Hlk95812561"/>
      <w:r w:rsidRPr="00E432D0">
        <w:rPr>
          <w:rFonts w:ascii="Calibri" w:hAnsi="Calibri" w:cs="Calibri"/>
          <w:szCs w:val="20"/>
        </w:rPr>
        <w:t xml:space="preserve">Vidare bedömning och eventuell </w:t>
      </w:r>
      <w:proofErr w:type="spellStart"/>
      <w:r w:rsidRPr="00E432D0">
        <w:rPr>
          <w:rFonts w:ascii="Calibri" w:hAnsi="Calibri" w:cs="Calibri"/>
          <w:szCs w:val="20"/>
        </w:rPr>
        <w:t>frenotomi</w:t>
      </w:r>
      <w:proofErr w:type="spellEnd"/>
      <w:r w:rsidRPr="00E432D0">
        <w:rPr>
          <w:rFonts w:ascii="Calibri" w:hAnsi="Calibri" w:cs="Calibri"/>
          <w:szCs w:val="20"/>
        </w:rPr>
        <w:t xml:space="preserve"> utförs av ÖNH läkare.</w:t>
      </w:r>
    </w:p>
    <w:bookmarkEnd w:id="5"/>
    <w:p w14:paraId="6A2FFABD"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b/>
          <w:szCs w:val="20"/>
        </w:rPr>
        <w:t>BTAT ≤4</w:t>
      </w:r>
      <w:r w:rsidRPr="00E432D0">
        <w:rPr>
          <w:rFonts w:ascii="Calibri" w:hAnsi="Calibri" w:cs="Calibri"/>
          <w:szCs w:val="20"/>
        </w:rPr>
        <w:t xml:space="preserve"> är en indikation för remiss till ÖNH.</w:t>
      </w:r>
    </w:p>
    <w:p w14:paraId="4DB31DBE" w14:textId="77777777" w:rsidR="00E432D0" w:rsidRPr="00E432D0" w:rsidRDefault="00E432D0" w:rsidP="00DF091B">
      <w:pPr>
        <w:spacing w:after="0" w:line="240" w:lineRule="auto"/>
        <w:ind w:right="0"/>
        <w:rPr>
          <w:rFonts w:ascii="Calibri" w:hAnsi="Calibri" w:cs="Calibri"/>
          <w:szCs w:val="20"/>
        </w:rPr>
      </w:pPr>
    </w:p>
    <w:p w14:paraId="6B88F03E"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 xml:space="preserve">Standardremiss, finns i barnets journal i </w:t>
      </w:r>
      <w:proofErr w:type="spellStart"/>
      <w:r w:rsidRPr="00E432D0">
        <w:rPr>
          <w:rFonts w:ascii="Calibri" w:hAnsi="Calibri" w:cs="Calibri"/>
          <w:szCs w:val="20"/>
        </w:rPr>
        <w:t>Melior</w:t>
      </w:r>
      <w:proofErr w:type="spellEnd"/>
      <w:r w:rsidRPr="00E432D0">
        <w:rPr>
          <w:rFonts w:ascii="Calibri" w:hAnsi="Calibri" w:cs="Calibri"/>
          <w:szCs w:val="20"/>
        </w:rPr>
        <w:t xml:space="preserve"> och fylls i av bedömande barnläkare eller barnmorska på BB-/Amningsmottagning, faxas. </w:t>
      </w:r>
    </w:p>
    <w:p w14:paraId="7F755BC7" w14:textId="77777777" w:rsidR="00E432D0" w:rsidRPr="00E432D0" w:rsidRDefault="00E432D0" w:rsidP="00DF091B">
      <w:pPr>
        <w:spacing w:after="0" w:line="240" w:lineRule="auto"/>
        <w:ind w:right="0"/>
        <w:rPr>
          <w:rFonts w:ascii="Calibri" w:hAnsi="Calibri" w:cs="Calibri"/>
          <w:szCs w:val="20"/>
        </w:rPr>
      </w:pPr>
    </w:p>
    <w:p w14:paraId="544ED8CD"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b/>
          <w:szCs w:val="20"/>
        </w:rPr>
        <w:t>Barn mindre än 48 timmar</w:t>
      </w:r>
      <w:r w:rsidRPr="00E432D0">
        <w:rPr>
          <w:rFonts w:ascii="Calibri" w:hAnsi="Calibri" w:cs="Calibri"/>
          <w:b/>
          <w:szCs w:val="20"/>
        </w:rPr>
        <w:br/>
      </w:r>
      <w:r w:rsidRPr="00E432D0">
        <w:rPr>
          <w:rFonts w:ascii="Calibri" w:hAnsi="Calibri" w:cs="Calibri"/>
          <w:szCs w:val="20"/>
        </w:rPr>
        <w:t>Vid denna tidpunkt har amningstecken på kort tungband inte alltid hunnit visa sig. Viktigt att ha en generös inställning till klippning utifrån bedömning enligt BTAT.</w:t>
      </w:r>
    </w:p>
    <w:p w14:paraId="6FE025E2"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 xml:space="preserve">Vid osäkerhet eller gränsfall vid hemgång från BB ska familjen få en tid på BB/-Amningsmottagningen för en ny bedömning inom 1 – 3 dagar. </w:t>
      </w:r>
    </w:p>
    <w:p w14:paraId="051A4125" w14:textId="77777777" w:rsidR="00E432D0" w:rsidRPr="00E432D0" w:rsidRDefault="00E432D0" w:rsidP="00DF091B">
      <w:pPr>
        <w:spacing w:after="0" w:line="240" w:lineRule="auto"/>
        <w:ind w:right="0"/>
        <w:rPr>
          <w:rFonts w:ascii="Calibri" w:hAnsi="Calibri" w:cs="Calibri"/>
          <w:szCs w:val="20"/>
        </w:rPr>
      </w:pPr>
    </w:p>
    <w:p w14:paraId="5B41ED99"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b/>
          <w:szCs w:val="20"/>
        </w:rPr>
        <w:t>Barn ≥ 48 timmar</w:t>
      </w:r>
      <w:r w:rsidRPr="00E432D0">
        <w:rPr>
          <w:rFonts w:ascii="Calibri" w:hAnsi="Calibri" w:cs="Calibri"/>
          <w:b/>
          <w:szCs w:val="20"/>
        </w:rPr>
        <w:br/>
      </w:r>
      <w:r w:rsidRPr="00E432D0">
        <w:rPr>
          <w:rFonts w:ascii="Calibri" w:hAnsi="Calibri" w:cs="Calibri"/>
          <w:bCs/>
          <w:szCs w:val="20"/>
        </w:rPr>
        <w:t>Amningstecken på kort tungband har oftast blivit märkbara</w:t>
      </w:r>
      <w:r w:rsidRPr="00E432D0">
        <w:rPr>
          <w:rFonts w:ascii="Calibri" w:hAnsi="Calibri" w:cs="Calibri"/>
          <w:szCs w:val="20"/>
        </w:rPr>
        <w:t xml:space="preserve">. </w:t>
      </w:r>
    </w:p>
    <w:p w14:paraId="0B44F987"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Amningsobservation ska utföras för att utesluta amningstekniska orsaker samt stödja mamman att hitta en hållbar amnings-/matningssituation i väntan på vidare bedömning på ÖNH.</w:t>
      </w:r>
    </w:p>
    <w:p w14:paraId="70255594" w14:textId="77777777" w:rsidR="00E432D0" w:rsidRPr="00E432D0" w:rsidRDefault="00E432D0" w:rsidP="00DF091B">
      <w:pPr>
        <w:spacing w:after="0" w:line="240" w:lineRule="auto"/>
        <w:ind w:right="0"/>
        <w:rPr>
          <w:rFonts w:ascii="Calibri" w:hAnsi="Calibri" w:cs="Calibri"/>
          <w:strike/>
          <w:color w:val="FF0000"/>
          <w:szCs w:val="20"/>
        </w:rPr>
      </w:pPr>
    </w:p>
    <w:p w14:paraId="63510F0B"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 xml:space="preserve">Så kallat kort bakre tungband är idag ett mycket omtvistat begrepp, de flesta ÖNH-läkare menar att det inte finns någon uppdelning i främre och bakre tungband. Om tecken på kort tungband finns och tungbandet ligger gömt under slemhinnan i munbotten, ska barnet remitteras till ÖNH för bedömning. Detta är inte möjligt på jourtid. </w:t>
      </w:r>
      <w:proofErr w:type="spellStart"/>
      <w:r w:rsidRPr="00E432D0">
        <w:rPr>
          <w:rFonts w:ascii="Calibri" w:hAnsi="Calibri" w:cs="Calibri"/>
          <w:szCs w:val="20"/>
        </w:rPr>
        <w:t>Pedodonti</w:t>
      </w:r>
      <w:proofErr w:type="spellEnd"/>
      <w:r w:rsidRPr="00E432D0">
        <w:rPr>
          <w:rFonts w:ascii="Calibri" w:hAnsi="Calibri" w:cs="Calibri"/>
          <w:szCs w:val="20"/>
        </w:rPr>
        <w:t xml:space="preserve"> remitterar också bakre tungband till ÖNH.</w:t>
      </w:r>
    </w:p>
    <w:p w14:paraId="37BAF1A3" w14:textId="77777777" w:rsidR="00E432D0" w:rsidRPr="00E432D0" w:rsidRDefault="00E432D0" w:rsidP="00DF091B">
      <w:pPr>
        <w:spacing w:after="0" w:line="240" w:lineRule="auto"/>
        <w:ind w:right="0"/>
        <w:rPr>
          <w:rFonts w:ascii="Calibri" w:hAnsi="Calibri" w:cs="Calibri"/>
          <w:szCs w:val="20"/>
        </w:rPr>
      </w:pPr>
    </w:p>
    <w:p w14:paraId="19D4CF7C" w14:textId="77777777" w:rsidR="00E432D0" w:rsidRPr="00E432D0" w:rsidRDefault="00E432D0" w:rsidP="00DF091B">
      <w:pPr>
        <w:spacing w:after="0" w:line="240" w:lineRule="auto"/>
        <w:ind w:right="0"/>
        <w:rPr>
          <w:rFonts w:ascii="Calibri" w:hAnsi="Calibri" w:cs="Calibri"/>
          <w:szCs w:val="20"/>
        </w:rPr>
      </w:pPr>
      <w:r w:rsidRPr="00E432D0">
        <w:rPr>
          <w:rFonts w:ascii="Calibri" w:hAnsi="Calibri" w:cs="Calibri"/>
          <w:szCs w:val="20"/>
        </w:rPr>
        <w:t xml:space="preserve">På jourtid, undvik att tillkalla bakjour </w:t>
      </w:r>
      <w:proofErr w:type="spellStart"/>
      <w:r w:rsidRPr="00E432D0">
        <w:rPr>
          <w:rFonts w:ascii="Calibri" w:hAnsi="Calibri" w:cs="Calibri"/>
          <w:szCs w:val="20"/>
        </w:rPr>
        <w:t>neonatolog</w:t>
      </w:r>
      <w:proofErr w:type="spellEnd"/>
      <w:r w:rsidRPr="00E432D0">
        <w:rPr>
          <w:rFonts w:ascii="Calibri" w:hAnsi="Calibri" w:cs="Calibri"/>
          <w:szCs w:val="20"/>
        </w:rPr>
        <w:t>. Om ÖNH-jour är i huset dagtid helger (beredskapsjour i hemmet) kan de tillfrågas om hjälp i mån av tid, framför allt om mamma/barn har lång resväg. Annars remisshantering i samband med uppföljning via BB-/Amningsmottagningen</w:t>
      </w:r>
    </w:p>
    <w:p w14:paraId="113F91E8" w14:textId="77777777" w:rsidR="00E432D0" w:rsidRPr="00E432D0" w:rsidRDefault="00E432D0" w:rsidP="00BC1CE8">
      <w:pPr>
        <w:pStyle w:val="MellanrubrikVGR"/>
      </w:pPr>
      <w:r w:rsidRPr="00E432D0">
        <w:rPr>
          <w:iCs/>
          <w:szCs w:val="26"/>
        </w:rPr>
        <w:t>Uppf</w:t>
      </w:r>
      <w:r w:rsidRPr="00E432D0">
        <w:t xml:space="preserve">öljning </w:t>
      </w:r>
    </w:p>
    <w:p w14:paraId="4ECD1B9D" w14:textId="4E47EFCD" w:rsidR="00E432D0" w:rsidRPr="00E432D0" w:rsidRDefault="00E432D0" w:rsidP="00DF091B">
      <w:pPr>
        <w:spacing w:after="0" w:line="240" w:lineRule="auto"/>
        <w:ind w:right="0"/>
        <w:rPr>
          <w:rFonts w:ascii="Calibri" w:hAnsi="Calibri" w:cs="Calibri"/>
        </w:rPr>
      </w:pPr>
      <w:r w:rsidRPr="00E432D0">
        <w:rPr>
          <w:rFonts w:ascii="Calibri" w:hAnsi="Calibri" w:cs="Calibri"/>
        </w:rPr>
        <w:t xml:space="preserve">Många rapporterar en snabb och markant förbättring i barnets amning efter klippning av tungbandet. Amningen kan upplevas mindre smärtsam och barnet nöjdare. Däremot sker inte alltid en förbättring omedelbart. Vissa barn måste lära sig att suga ordentligt och såriga bröstvårtor behöver tid att läka. Täta besök på Barnavårdscentral (BVC) för amningsstöd och viktkontroll är att rekommendera tills amningsproblemen har löst sig. </w:t>
      </w:r>
    </w:p>
    <w:p w14:paraId="2DA947ED" w14:textId="77777777" w:rsidR="00E432D0" w:rsidRPr="00E432D0" w:rsidRDefault="00E432D0" w:rsidP="00DF091B">
      <w:pPr>
        <w:spacing w:after="0" w:line="240" w:lineRule="auto"/>
        <w:ind w:right="0"/>
        <w:rPr>
          <w:rFonts w:ascii="Calibri" w:hAnsi="Calibri" w:cs="Calibri"/>
          <w:b/>
        </w:rPr>
      </w:pPr>
      <w:r w:rsidRPr="00E432D0">
        <w:rPr>
          <w:rFonts w:ascii="Calibri" w:hAnsi="Calibri" w:cs="Calibri"/>
          <w:b/>
        </w:rPr>
        <w:t>Vid utebliven effekt och fortsatta problem relaterade till nutrition ska logoped kopplas in för en bedömning bland annat för att utesluta andra oralmotoriska svårigheter och för att följa upp barnet på lång sikt.</w:t>
      </w:r>
    </w:p>
    <w:p w14:paraId="0032BC11" w14:textId="77777777" w:rsidR="00E432D0" w:rsidRPr="00E432D0" w:rsidRDefault="00E432D0" w:rsidP="00DF091B">
      <w:pPr>
        <w:shd w:val="clear" w:color="auto" w:fill="FFFFFF"/>
        <w:spacing w:after="360" w:line="240" w:lineRule="auto"/>
        <w:ind w:right="0"/>
        <w:rPr>
          <w:rFonts w:ascii="Calibri" w:hAnsi="Calibri" w:cs="Calibri"/>
          <w:b/>
        </w:rPr>
      </w:pPr>
    </w:p>
    <w:p w14:paraId="35659219" w14:textId="49B275A3" w:rsidR="00E432D0" w:rsidRPr="00E432D0" w:rsidRDefault="00E432D0" w:rsidP="00BC1CE8">
      <w:pPr>
        <w:pStyle w:val="Rubrik3"/>
        <w:rPr>
          <w:rFonts w:ascii="Calibri" w:hAnsi="Calibri" w:cs="Calibri"/>
          <w:sz w:val="22"/>
          <w:szCs w:val="22"/>
          <w:lang w:val="en-US"/>
        </w:rPr>
      </w:pPr>
      <w:proofErr w:type="spellStart"/>
      <w:r w:rsidRPr="002C1948">
        <w:rPr>
          <w:lang w:val="en-GB"/>
        </w:rPr>
        <w:t>Referenser</w:t>
      </w:r>
      <w:proofErr w:type="spellEnd"/>
      <w:r w:rsidRPr="00E432D0">
        <w:rPr>
          <w:rFonts w:ascii="Calibri" w:hAnsi="Calibri" w:cs="Calibri"/>
          <w:b/>
          <w:lang w:val="en-US"/>
        </w:rPr>
        <w:br/>
      </w:r>
      <w:r w:rsidRPr="00E432D0">
        <w:rPr>
          <w:rFonts w:ascii="Calibri" w:hAnsi="Calibri" w:cs="Calibri"/>
          <w:sz w:val="22"/>
          <w:szCs w:val="22"/>
          <w:lang w:val="en-US"/>
        </w:rPr>
        <w:t xml:space="preserve">Bronwyn Dixon, Juliet Gray, Nikki Elliot, Brett Shand, Adrienne Lynn, A multifaceted </w:t>
      </w:r>
      <w:proofErr w:type="spellStart"/>
      <w:r w:rsidRPr="00E432D0">
        <w:rPr>
          <w:rFonts w:ascii="Calibri" w:hAnsi="Calibri" w:cs="Calibri"/>
          <w:sz w:val="22"/>
          <w:szCs w:val="22"/>
          <w:lang w:val="en-US"/>
        </w:rPr>
        <w:t>programme</w:t>
      </w:r>
      <w:proofErr w:type="spellEnd"/>
      <w:r w:rsidRPr="00E432D0">
        <w:rPr>
          <w:rFonts w:ascii="Calibri" w:hAnsi="Calibri" w:cs="Calibri"/>
          <w:sz w:val="22"/>
          <w:szCs w:val="22"/>
          <w:lang w:val="en-US"/>
        </w:rPr>
        <w:t xml:space="preserve"> to reduce the rate of tongue-tie release surgery in newborn infants: Observational study, International Journal of Pediatric Otorhinolaryngology, Volume 113 (2018): 156-163. </w:t>
      </w:r>
      <w:hyperlink r:id="rId17" w:history="1">
        <w:r w:rsidRPr="00E432D0">
          <w:rPr>
            <w:rFonts w:ascii="Calibri" w:hAnsi="Calibri" w:cs="Calibri"/>
            <w:color w:val="0000FF"/>
            <w:sz w:val="22"/>
            <w:szCs w:val="22"/>
            <w:u w:val="single"/>
            <w:lang w:val="en-US"/>
          </w:rPr>
          <w:t>https://doi.org/10.1016/j.ijporl.2018.07.045</w:t>
        </w:r>
      </w:hyperlink>
      <w:r w:rsidRPr="00E432D0">
        <w:rPr>
          <w:rFonts w:ascii="Calibri" w:hAnsi="Calibri" w:cs="Calibri"/>
          <w:sz w:val="22"/>
          <w:szCs w:val="22"/>
          <w:lang w:val="en-US"/>
        </w:rPr>
        <w:t>.</w:t>
      </w:r>
    </w:p>
    <w:p w14:paraId="14A28C39" w14:textId="77777777" w:rsidR="00E432D0" w:rsidRPr="00E432D0" w:rsidRDefault="00E432D0" w:rsidP="00DF091B">
      <w:pPr>
        <w:spacing w:after="0" w:line="240" w:lineRule="auto"/>
        <w:ind w:right="0"/>
        <w:rPr>
          <w:rFonts w:ascii="Calibri" w:hAnsi="Calibri" w:cs="Calibri"/>
          <w:sz w:val="22"/>
          <w:szCs w:val="22"/>
          <w:lang w:val="en-GB"/>
        </w:rPr>
      </w:pPr>
      <w:r w:rsidRPr="00E432D0">
        <w:rPr>
          <w:rFonts w:ascii="Calibri" w:hAnsi="Calibri" w:cs="Calibri"/>
          <w:sz w:val="22"/>
          <w:szCs w:val="22"/>
          <w:lang w:val="en-GB"/>
        </w:rPr>
        <w:t xml:space="preserve">CADTH 2016, Canadian Agency for Drugs and Technologies in Health. </w:t>
      </w:r>
      <w:r w:rsidRPr="00E432D0">
        <w:rPr>
          <w:rFonts w:ascii="Calibri" w:hAnsi="Calibri" w:cs="Calibri"/>
          <w:i/>
          <w:sz w:val="22"/>
          <w:szCs w:val="22"/>
          <w:lang w:val="en-GB"/>
        </w:rPr>
        <w:t>Frenectomy for the correction of ankyloglossia: a review of clinical effectiveness and guidelines</w:t>
      </w:r>
      <w:r w:rsidRPr="00E432D0">
        <w:rPr>
          <w:rFonts w:ascii="Calibri" w:hAnsi="Calibri" w:cs="Calibri"/>
          <w:sz w:val="22"/>
          <w:szCs w:val="22"/>
          <w:lang w:val="en-GB"/>
        </w:rPr>
        <w:t xml:space="preserve">. </w:t>
      </w:r>
      <w:hyperlink r:id="rId18" w:history="1">
        <w:r w:rsidRPr="002C1948">
          <w:rPr>
            <w:rFonts w:ascii="Calibri" w:hAnsi="Calibri" w:cs="Calibri"/>
            <w:color w:val="0000FF"/>
            <w:sz w:val="22"/>
            <w:szCs w:val="22"/>
            <w:u w:val="single"/>
          </w:rPr>
          <w:t>http://www.cadth.ca/frenectomy-correction-ankyloglossia-review-clinical-effectiveness-and-guidelines</w:t>
        </w:r>
      </w:hyperlink>
      <w:r w:rsidRPr="002C1948">
        <w:rPr>
          <w:rFonts w:ascii="Calibri" w:hAnsi="Calibri" w:cs="Calibri"/>
          <w:sz w:val="22"/>
          <w:szCs w:val="22"/>
        </w:rPr>
        <w:t xml:space="preserve">. </w:t>
      </w:r>
      <w:r w:rsidRPr="00E432D0">
        <w:rPr>
          <w:rFonts w:ascii="Calibri" w:hAnsi="Calibri" w:cs="Calibri"/>
          <w:sz w:val="22"/>
          <w:szCs w:val="22"/>
          <w:lang w:val="en-GB"/>
        </w:rPr>
        <w:t>(accessed 5</w:t>
      </w:r>
      <w:r w:rsidRPr="00E432D0">
        <w:rPr>
          <w:rFonts w:ascii="Calibri" w:hAnsi="Calibri" w:cs="Calibri"/>
          <w:sz w:val="22"/>
          <w:szCs w:val="22"/>
          <w:vertAlign w:val="superscript"/>
          <w:lang w:val="en-GB"/>
        </w:rPr>
        <w:t>th</w:t>
      </w:r>
      <w:r w:rsidRPr="00E432D0">
        <w:rPr>
          <w:rFonts w:ascii="Calibri" w:hAnsi="Calibri" w:cs="Calibri"/>
          <w:sz w:val="22"/>
          <w:szCs w:val="22"/>
          <w:lang w:val="en-GB"/>
        </w:rPr>
        <w:t xml:space="preserve"> November 2018): RC0785-000.</w:t>
      </w:r>
    </w:p>
    <w:p w14:paraId="3AEA1EFB" w14:textId="77777777" w:rsidR="00E432D0" w:rsidRPr="00E432D0" w:rsidRDefault="00E432D0" w:rsidP="00DF091B">
      <w:pPr>
        <w:spacing w:after="0" w:line="240" w:lineRule="auto"/>
        <w:ind w:right="0"/>
        <w:rPr>
          <w:rFonts w:ascii="Calibri" w:hAnsi="Calibri" w:cs="Calibri"/>
          <w:b/>
          <w:sz w:val="22"/>
          <w:szCs w:val="22"/>
          <w:lang w:val="en-GB"/>
        </w:rPr>
      </w:pPr>
    </w:p>
    <w:p w14:paraId="42B34678"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r w:rsidRPr="00E432D0">
        <w:rPr>
          <w:rFonts w:ascii="Calibri" w:hAnsi="Calibri" w:cs="Calibri"/>
          <w:sz w:val="22"/>
          <w:szCs w:val="22"/>
          <w:lang w:val="en-US"/>
        </w:rPr>
        <w:t xml:space="preserve">Edmunds, Janet, Sandra Miles, and Paul Fulbrook. </w:t>
      </w:r>
      <w:proofErr w:type="gramStart"/>
      <w:r w:rsidRPr="00E432D0">
        <w:rPr>
          <w:rFonts w:ascii="Calibri" w:hAnsi="Calibri" w:cs="Calibri"/>
          <w:sz w:val="22"/>
          <w:szCs w:val="22"/>
          <w:lang w:val="en-US"/>
        </w:rPr>
        <w:t>”Tongue</w:t>
      </w:r>
      <w:proofErr w:type="gramEnd"/>
      <w:r w:rsidRPr="00E432D0">
        <w:rPr>
          <w:rFonts w:ascii="Calibri" w:hAnsi="Calibri" w:cs="Calibri"/>
          <w:sz w:val="22"/>
          <w:szCs w:val="22"/>
          <w:lang w:val="en-US"/>
        </w:rPr>
        <w:t>-tie and breastfeeding: a review of the literature.” Breastfeeding review 19, no. 1 (2011): 19. </w:t>
      </w:r>
      <w:hyperlink r:id="rId19" w:history="1">
        <w:r w:rsidRPr="00E432D0">
          <w:rPr>
            <w:rFonts w:ascii="Calibri" w:hAnsi="Calibri" w:cs="Calibri"/>
            <w:color w:val="0000FF"/>
            <w:sz w:val="22"/>
            <w:szCs w:val="22"/>
            <w:u w:val="single"/>
            <w:lang w:val="en-US"/>
          </w:rPr>
          <w:t>https://www.ncbi.nlm.nih.gov/pubmed/21608523</w:t>
        </w:r>
      </w:hyperlink>
    </w:p>
    <w:p w14:paraId="72A347C7"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r w:rsidRPr="00E432D0">
        <w:rPr>
          <w:rFonts w:ascii="Calibri" w:hAnsi="Calibri" w:cs="Calibri"/>
          <w:sz w:val="22"/>
          <w:szCs w:val="22"/>
          <w:lang w:val="en-US"/>
        </w:rPr>
        <w:t xml:space="preserve">Geddes, Donna T., Diana B. Langton, Ian </w:t>
      </w:r>
      <w:proofErr w:type="spellStart"/>
      <w:r w:rsidRPr="00E432D0">
        <w:rPr>
          <w:rFonts w:ascii="Calibri" w:hAnsi="Calibri" w:cs="Calibri"/>
          <w:sz w:val="22"/>
          <w:szCs w:val="22"/>
          <w:lang w:val="en-US"/>
        </w:rPr>
        <w:t>Gollow</w:t>
      </w:r>
      <w:proofErr w:type="spellEnd"/>
      <w:r w:rsidRPr="00E432D0">
        <w:rPr>
          <w:rFonts w:ascii="Calibri" w:hAnsi="Calibri" w:cs="Calibri"/>
          <w:sz w:val="22"/>
          <w:szCs w:val="22"/>
          <w:lang w:val="en-US"/>
        </w:rPr>
        <w:t xml:space="preserve">, </w:t>
      </w:r>
      <w:proofErr w:type="spellStart"/>
      <w:r w:rsidRPr="00E432D0">
        <w:rPr>
          <w:rFonts w:ascii="Calibri" w:hAnsi="Calibri" w:cs="Calibri"/>
          <w:sz w:val="22"/>
          <w:szCs w:val="22"/>
          <w:lang w:val="en-US"/>
        </w:rPr>
        <w:t>Lorili</w:t>
      </w:r>
      <w:proofErr w:type="spellEnd"/>
      <w:r w:rsidRPr="00E432D0">
        <w:rPr>
          <w:rFonts w:ascii="Calibri" w:hAnsi="Calibri" w:cs="Calibri"/>
          <w:sz w:val="22"/>
          <w:szCs w:val="22"/>
          <w:lang w:val="en-US"/>
        </w:rPr>
        <w:t xml:space="preserve"> A. Jacobs, Peter E. Hartmann, and Karen Simmer. </w:t>
      </w:r>
      <w:proofErr w:type="gramStart"/>
      <w:r w:rsidRPr="00E432D0">
        <w:rPr>
          <w:rFonts w:ascii="Calibri" w:hAnsi="Calibri" w:cs="Calibri"/>
          <w:sz w:val="22"/>
          <w:szCs w:val="22"/>
          <w:lang w:val="en-US"/>
        </w:rPr>
        <w:t>”</w:t>
      </w:r>
      <w:proofErr w:type="spellStart"/>
      <w:r w:rsidRPr="00E432D0">
        <w:rPr>
          <w:rFonts w:ascii="Calibri" w:hAnsi="Calibri" w:cs="Calibri"/>
          <w:sz w:val="22"/>
          <w:szCs w:val="22"/>
          <w:lang w:val="en-US"/>
        </w:rPr>
        <w:t>Frenulotomy</w:t>
      </w:r>
      <w:proofErr w:type="spellEnd"/>
      <w:proofErr w:type="gramEnd"/>
      <w:r w:rsidRPr="00E432D0">
        <w:rPr>
          <w:rFonts w:ascii="Calibri" w:hAnsi="Calibri" w:cs="Calibri"/>
          <w:sz w:val="22"/>
          <w:szCs w:val="22"/>
          <w:lang w:val="en-US"/>
        </w:rPr>
        <w:t xml:space="preserve"> for breastfeeding infants with ankyloglossia: effect on milk removal and sucking mechanism as imaged by ultrasound.” Pediatrics 122, no. 1 (2008): e188-e194.</w:t>
      </w:r>
      <w:r w:rsidRPr="00E432D0">
        <w:rPr>
          <w:rFonts w:ascii="Calibri" w:hAnsi="Calibri" w:cs="Calibri"/>
          <w:sz w:val="22"/>
          <w:szCs w:val="22"/>
          <w:lang w:val="en-US"/>
        </w:rPr>
        <w:br/>
      </w:r>
      <w:hyperlink r:id="rId20" w:history="1">
        <w:r w:rsidRPr="00E432D0">
          <w:rPr>
            <w:rFonts w:ascii="Calibri" w:hAnsi="Calibri" w:cs="Calibri"/>
            <w:color w:val="0000FF"/>
            <w:sz w:val="22"/>
            <w:szCs w:val="22"/>
            <w:u w:val="single"/>
            <w:lang w:val="en-US"/>
          </w:rPr>
          <w:t>http://pediatrics.aappublications.org/content/122/1/e188</w:t>
        </w:r>
      </w:hyperlink>
    </w:p>
    <w:p w14:paraId="7D05837E"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proofErr w:type="spellStart"/>
      <w:r w:rsidRPr="00E432D0">
        <w:rPr>
          <w:rFonts w:ascii="Calibri" w:hAnsi="Calibri" w:cs="Calibri"/>
          <w:sz w:val="22"/>
          <w:szCs w:val="22"/>
          <w:lang w:val="en-US"/>
        </w:rPr>
        <w:t>Ghaheri</w:t>
      </w:r>
      <w:proofErr w:type="spellEnd"/>
      <w:r w:rsidRPr="00E432D0">
        <w:rPr>
          <w:rFonts w:ascii="Calibri" w:hAnsi="Calibri" w:cs="Calibri"/>
          <w:sz w:val="22"/>
          <w:szCs w:val="22"/>
          <w:lang w:val="en-US"/>
        </w:rPr>
        <w:t xml:space="preserve">, Bobak A., Melissa Cole, Sarah C. Fausel, Maria Chuop, and Jess C. Mace. </w:t>
      </w:r>
      <w:proofErr w:type="gramStart"/>
      <w:r w:rsidRPr="00E432D0">
        <w:rPr>
          <w:rFonts w:ascii="Calibri" w:hAnsi="Calibri" w:cs="Calibri"/>
          <w:sz w:val="22"/>
          <w:szCs w:val="22"/>
          <w:lang w:val="en-US"/>
        </w:rPr>
        <w:t>”Breastfeeding</w:t>
      </w:r>
      <w:proofErr w:type="gramEnd"/>
      <w:r w:rsidRPr="00E432D0">
        <w:rPr>
          <w:rFonts w:ascii="Calibri" w:hAnsi="Calibri" w:cs="Calibri"/>
          <w:sz w:val="22"/>
          <w:szCs w:val="22"/>
          <w:lang w:val="en-US"/>
        </w:rPr>
        <w:t xml:space="preserve"> improvement following tongue‐tie and lip‐tie release: A prospective cohort study.” The Laryngoscope (2016).</w:t>
      </w:r>
      <w:r w:rsidRPr="00E432D0">
        <w:rPr>
          <w:rFonts w:ascii="Calibri" w:hAnsi="Calibri" w:cs="Calibri"/>
          <w:sz w:val="22"/>
          <w:szCs w:val="22"/>
          <w:lang w:val="en-US"/>
        </w:rPr>
        <w:br/>
      </w:r>
      <w:hyperlink r:id="rId21" w:history="1">
        <w:r w:rsidRPr="00E432D0">
          <w:rPr>
            <w:rFonts w:ascii="Calibri" w:hAnsi="Calibri" w:cs="Calibri"/>
            <w:color w:val="0000FF"/>
            <w:sz w:val="22"/>
            <w:szCs w:val="22"/>
            <w:u w:val="single"/>
            <w:lang w:val="en-US"/>
          </w:rPr>
          <w:t>https://www.ncbi.nlm.nih.gov/labs/articles/27641715/</w:t>
        </w:r>
      </w:hyperlink>
    </w:p>
    <w:p w14:paraId="57926FAF"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r w:rsidRPr="00E432D0">
        <w:rPr>
          <w:rFonts w:ascii="Calibri" w:hAnsi="Calibri" w:cs="Calibri"/>
          <w:sz w:val="22"/>
          <w:szCs w:val="22"/>
          <w:lang w:val="en-US"/>
        </w:rPr>
        <w:t xml:space="preserve">Huang, Y. S., S. Quo, J. A. </w:t>
      </w:r>
      <w:proofErr w:type="spellStart"/>
      <w:r w:rsidRPr="00E432D0">
        <w:rPr>
          <w:rFonts w:ascii="Calibri" w:hAnsi="Calibri" w:cs="Calibri"/>
          <w:sz w:val="22"/>
          <w:szCs w:val="22"/>
          <w:lang w:val="en-US"/>
        </w:rPr>
        <w:t>Berkowski</w:t>
      </w:r>
      <w:proofErr w:type="spellEnd"/>
      <w:r w:rsidRPr="00E432D0">
        <w:rPr>
          <w:rFonts w:ascii="Calibri" w:hAnsi="Calibri" w:cs="Calibri"/>
          <w:sz w:val="22"/>
          <w:szCs w:val="22"/>
          <w:lang w:val="en-US"/>
        </w:rPr>
        <w:t xml:space="preserve">, and C. </w:t>
      </w:r>
      <w:proofErr w:type="spellStart"/>
      <w:r w:rsidRPr="00E432D0">
        <w:rPr>
          <w:rFonts w:ascii="Calibri" w:hAnsi="Calibri" w:cs="Calibri"/>
          <w:sz w:val="22"/>
          <w:szCs w:val="22"/>
          <w:lang w:val="en-US"/>
        </w:rPr>
        <w:t>Guilleminault</w:t>
      </w:r>
      <w:proofErr w:type="spellEnd"/>
      <w:r w:rsidRPr="00E432D0">
        <w:rPr>
          <w:rFonts w:ascii="Calibri" w:hAnsi="Calibri" w:cs="Calibri"/>
          <w:sz w:val="22"/>
          <w:szCs w:val="22"/>
          <w:lang w:val="en-US"/>
        </w:rPr>
        <w:t xml:space="preserve">. </w:t>
      </w:r>
      <w:proofErr w:type="gramStart"/>
      <w:r w:rsidRPr="00E432D0">
        <w:rPr>
          <w:rFonts w:ascii="Calibri" w:hAnsi="Calibri" w:cs="Calibri"/>
          <w:sz w:val="22"/>
          <w:szCs w:val="22"/>
          <w:lang w:val="en-US"/>
        </w:rPr>
        <w:t>”Short</w:t>
      </w:r>
      <w:proofErr w:type="gramEnd"/>
      <w:r w:rsidRPr="00E432D0">
        <w:rPr>
          <w:rFonts w:ascii="Calibri" w:hAnsi="Calibri" w:cs="Calibri"/>
          <w:sz w:val="22"/>
          <w:szCs w:val="22"/>
          <w:lang w:val="en-US"/>
        </w:rPr>
        <w:t xml:space="preserve"> lingual frenulum and obstructive sleep apnea in children.” Int J </w:t>
      </w:r>
      <w:proofErr w:type="spellStart"/>
      <w:r w:rsidRPr="00E432D0">
        <w:rPr>
          <w:rFonts w:ascii="Calibri" w:hAnsi="Calibri" w:cs="Calibri"/>
          <w:sz w:val="22"/>
          <w:szCs w:val="22"/>
          <w:lang w:val="en-US"/>
        </w:rPr>
        <w:t>Pediatr</w:t>
      </w:r>
      <w:proofErr w:type="spellEnd"/>
      <w:r w:rsidRPr="00E432D0">
        <w:rPr>
          <w:rFonts w:ascii="Calibri" w:hAnsi="Calibri" w:cs="Calibri"/>
          <w:sz w:val="22"/>
          <w:szCs w:val="22"/>
          <w:lang w:val="en-US"/>
        </w:rPr>
        <w:t xml:space="preserve"> Res 1, no. 003 (2015).</w:t>
      </w:r>
      <w:r w:rsidRPr="00E432D0">
        <w:rPr>
          <w:rFonts w:ascii="Calibri" w:hAnsi="Calibri" w:cs="Calibri"/>
          <w:sz w:val="22"/>
          <w:szCs w:val="22"/>
          <w:lang w:val="en-US"/>
        </w:rPr>
        <w:br/>
      </w:r>
      <w:hyperlink r:id="rId22" w:history="1">
        <w:r w:rsidRPr="00E432D0">
          <w:rPr>
            <w:rFonts w:ascii="Calibri" w:hAnsi="Calibri" w:cs="Calibri"/>
            <w:color w:val="0000FF"/>
            <w:sz w:val="22"/>
            <w:szCs w:val="22"/>
            <w:u w:val="single"/>
            <w:lang w:val="en-US"/>
          </w:rPr>
          <w:t>https://clinmedjournals.org/articles/ijpr/ijpr-1-003.pdf</w:t>
        </w:r>
      </w:hyperlink>
    </w:p>
    <w:p w14:paraId="27D3709B" w14:textId="77777777" w:rsidR="00E432D0" w:rsidRPr="00E432D0" w:rsidRDefault="00E432D0" w:rsidP="00DF091B">
      <w:pPr>
        <w:shd w:val="clear" w:color="auto" w:fill="FFFFFF"/>
        <w:spacing w:after="360" w:line="240" w:lineRule="auto"/>
        <w:ind w:right="0"/>
        <w:rPr>
          <w:rFonts w:ascii="Calibri" w:hAnsi="Calibri" w:cs="Calibri"/>
          <w:color w:val="333333"/>
          <w:sz w:val="22"/>
          <w:szCs w:val="22"/>
          <w:lang w:val="en"/>
        </w:rPr>
      </w:pPr>
      <w:hyperlink r:id="rId23" w:history="1">
        <w:r w:rsidRPr="00E432D0">
          <w:rPr>
            <w:rFonts w:ascii="Calibri" w:hAnsi="Calibri" w:cs="Calibri"/>
            <w:sz w:val="22"/>
            <w:szCs w:val="22"/>
            <w:lang w:val="en"/>
          </w:rPr>
          <w:t>Ingram, Jenny</w:t>
        </w:r>
      </w:hyperlink>
      <w:hyperlink r:id="rId24" w:history="1">
        <w:r w:rsidRPr="00E432D0">
          <w:rPr>
            <w:rFonts w:ascii="Calibri" w:hAnsi="Calibri" w:cs="Calibri"/>
            <w:sz w:val="22"/>
            <w:szCs w:val="22"/>
            <w:lang w:val="en"/>
          </w:rPr>
          <w:t>; Johnson, Debbie</w:t>
        </w:r>
      </w:hyperlink>
      <w:r w:rsidRPr="00E432D0">
        <w:rPr>
          <w:rFonts w:ascii="Calibri" w:hAnsi="Calibri" w:cs="Calibri"/>
          <w:color w:val="333333"/>
          <w:sz w:val="22"/>
          <w:szCs w:val="22"/>
          <w:lang w:val="en"/>
        </w:rPr>
        <w:t xml:space="preserve"> ; Copeland, Marion; Churchill, Cathy ; Taylor, Hazel</w:t>
      </w:r>
      <w:hyperlink r:id="rId25" w:history="1">
        <w:r w:rsidRPr="00E432D0">
          <w:rPr>
            <w:rFonts w:ascii="Calibri" w:hAnsi="Calibri" w:cs="Calibri"/>
            <w:sz w:val="22"/>
            <w:szCs w:val="22"/>
            <w:lang w:val="en"/>
          </w:rPr>
          <w:t>; Emond, Alan</w:t>
        </w:r>
      </w:hyperlink>
      <w:r w:rsidRPr="00E432D0">
        <w:rPr>
          <w:rFonts w:ascii="Calibri" w:hAnsi="Calibri" w:cs="Calibri"/>
          <w:sz w:val="22"/>
          <w:szCs w:val="22"/>
          <w:lang w:val="en"/>
        </w:rPr>
        <w:t>. “</w:t>
      </w:r>
      <w:hyperlink r:id="rId26" w:history="1">
        <w:r w:rsidRPr="00E432D0">
          <w:rPr>
            <w:rFonts w:ascii="Calibri" w:hAnsi="Calibri" w:cs="Calibri"/>
            <w:bCs/>
            <w:sz w:val="22"/>
            <w:szCs w:val="22"/>
            <w:lang w:val="en"/>
          </w:rPr>
          <w:t>The development of a tongue assessment tool to assist with tongue-tie identification</w:t>
        </w:r>
      </w:hyperlink>
      <w:r w:rsidRPr="00E432D0">
        <w:rPr>
          <w:rFonts w:ascii="Calibri" w:hAnsi="Calibri" w:cs="Calibri"/>
          <w:b/>
          <w:sz w:val="22"/>
          <w:szCs w:val="22"/>
          <w:lang w:val="en"/>
        </w:rPr>
        <w:t>”</w:t>
      </w:r>
      <w:r w:rsidRPr="00E432D0">
        <w:rPr>
          <w:rFonts w:ascii="Calibri" w:hAnsi="Calibri" w:cs="Calibri"/>
          <w:sz w:val="22"/>
          <w:szCs w:val="22"/>
          <w:lang w:val="en"/>
        </w:rPr>
        <w:t>. Archives of Disease in Childhood: Fetal and Neonatal Edition</w:t>
      </w:r>
      <w:r w:rsidRPr="00E432D0">
        <w:rPr>
          <w:rFonts w:ascii="Calibri" w:hAnsi="Calibri" w:cs="Calibri"/>
          <w:color w:val="333333"/>
          <w:sz w:val="22"/>
          <w:szCs w:val="22"/>
          <w:lang w:val="en"/>
        </w:rPr>
        <w:t xml:space="preserve"> Vol. 100, No. 4. (2015):  F344-F349.</w:t>
      </w:r>
    </w:p>
    <w:p w14:paraId="7593B097" w14:textId="77777777" w:rsidR="00E432D0" w:rsidRPr="00E432D0" w:rsidRDefault="00E432D0" w:rsidP="00DF091B">
      <w:pPr>
        <w:shd w:val="clear" w:color="auto" w:fill="FFFFFF"/>
        <w:spacing w:after="360" w:line="240" w:lineRule="auto"/>
        <w:ind w:right="0"/>
        <w:rPr>
          <w:rFonts w:ascii="Calibri" w:hAnsi="Calibri" w:cs="Calibri"/>
          <w:sz w:val="22"/>
          <w:szCs w:val="22"/>
          <w:lang w:val="en-GB"/>
        </w:rPr>
      </w:pPr>
      <w:proofErr w:type="spellStart"/>
      <w:r w:rsidRPr="00E432D0">
        <w:rPr>
          <w:rFonts w:ascii="Calibri" w:hAnsi="Calibri" w:cs="Calibri"/>
          <w:sz w:val="22"/>
          <w:szCs w:val="22"/>
          <w:lang w:val="en-US"/>
        </w:rPr>
        <w:t>Kotlow</w:t>
      </w:r>
      <w:proofErr w:type="spellEnd"/>
      <w:r w:rsidRPr="00E432D0">
        <w:rPr>
          <w:rFonts w:ascii="Calibri" w:hAnsi="Calibri" w:cs="Calibri"/>
          <w:sz w:val="22"/>
          <w:szCs w:val="22"/>
          <w:lang w:val="en-US"/>
        </w:rPr>
        <w:t xml:space="preserve">, Lawrence. Diagnosing and Understanding the Maxillary Lip-tie (Superior Labial, the Maxillary Labial Frenum) as it Relates to Breastfeeding. </w:t>
      </w:r>
      <w:r w:rsidRPr="00E432D0">
        <w:rPr>
          <w:rFonts w:ascii="Calibri" w:hAnsi="Calibri" w:cs="Calibri"/>
          <w:iCs/>
          <w:sz w:val="22"/>
          <w:szCs w:val="22"/>
          <w:lang w:val="en-US"/>
        </w:rPr>
        <w:t>Journal of Human Lactation</w:t>
      </w:r>
      <w:r w:rsidRPr="00E432D0">
        <w:rPr>
          <w:rFonts w:ascii="Calibri" w:hAnsi="Calibri" w:cs="Calibri"/>
          <w:sz w:val="22"/>
          <w:szCs w:val="22"/>
          <w:lang w:val="en-US"/>
        </w:rPr>
        <w:t xml:space="preserve">, </w:t>
      </w:r>
      <w:r w:rsidRPr="00E432D0">
        <w:rPr>
          <w:rFonts w:ascii="Calibri" w:hAnsi="Calibri" w:cs="Calibri"/>
          <w:iCs/>
          <w:sz w:val="22"/>
          <w:szCs w:val="22"/>
          <w:lang w:val="en-US"/>
        </w:rPr>
        <w:t>29</w:t>
      </w:r>
      <w:r w:rsidRPr="00E432D0">
        <w:rPr>
          <w:rFonts w:ascii="Calibri" w:hAnsi="Calibri" w:cs="Calibri"/>
          <w:sz w:val="22"/>
          <w:szCs w:val="22"/>
          <w:lang w:val="en-US"/>
        </w:rPr>
        <w:t xml:space="preserve"> no 4 (2013): 458–464. </w:t>
      </w:r>
      <w:hyperlink r:id="rId27" w:history="1">
        <w:r w:rsidRPr="00E432D0">
          <w:rPr>
            <w:rFonts w:ascii="Calibri" w:hAnsi="Calibri" w:cs="Calibri"/>
            <w:color w:val="006ACC"/>
            <w:sz w:val="22"/>
            <w:szCs w:val="22"/>
            <w:lang w:val="en-US"/>
          </w:rPr>
          <w:t>https://doi.org/10.1177/0890334413491325</w:t>
        </w:r>
      </w:hyperlink>
    </w:p>
    <w:p w14:paraId="3DEA793B"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proofErr w:type="spellStart"/>
      <w:r w:rsidRPr="00E432D0">
        <w:rPr>
          <w:rFonts w:ascii="Calibri" w:hAnsi="Calibri" w:cs="Calibri"/>
          <w:sz w:val="22"/>
          <w:szCs w:val="22"/>
          <w:lang w:val="en-US"/>
        </w:rPr>
        <w:t>Kotlow</w:t>
      </w:r>
      <w:proofErr w:type="spellEnd"/>
      <w:r w:rsidRPr="00E432D0">
        <w:rPr>
          <w:rFonts w:ascii="Calibri" w:hAnsi="Calibri" w:cs="Calibri"/>
          <w:sz w:val="22"/>
          <w:szCs w:val="22"/>
          <w:lang w:val="en-US"/>
        </w:rPr>
        <w:t xml:space="preserve">, Lawrence. </w:t>
      </w:r>
      <w:proofErr w:type="gramStart"/>
      <w:r w:rsidRPr="00E432D0">
        <w:rPr>
          <w:rFonts w:ascii="Calibri" w:hAnsi="Calibri" w:cs="Calibri"/>
          <w:sz w:val="22"/>
          <w:szCs w:val="22"/>
          <w:lang w:val="en-US"/>
        </w:rPr>
        <w:t>”Infant</w:t>
      </w:r>
      <w:proofErr w:type="gramEnd"/>
      <w:r w:rsidRPr="00E432D0">
        <w:rPr>
          <w:rFonts w:ascii="Calibri" w:hAnsi="Calibri" w:cs="Calibri"/>
          <w:sz w:val="22"/>
          <w:szCs w:val="22"/>
          <w:lang w:val="en-US"/>
        </w:rPr>
        <w:t xml:space="preserve"> Gastroesophageal Reflux (GER): Benign Infant Acid Reflux or just Plain Aerophagia?.” International Journal of Child Health and Nutrition 5, no. 1 (2016): 10-16.</w:t>
      </w:r>
      <w:r w:rsidRPr="00E432D0">
        <w:rPr>
          <w:rFonts w:ascii="Calibri" w:hAnsi="Calibri" w:cs="Calibri"/>
          <w:sz w:val="22"/>
          <w:szCs w:val="22"/>
          <w:lang w:val="en-US"/>
        </w:rPr>
        <w:br/>
      </w:r>
      <w:hyperlink r:id="rId28" w:history="1">
        <w:r w:rsidRPr="00E432D0">
          <w:rPr>
            <w:rFonts w:ascii="Calibri" w:hAnsi="Calibri" w:cs="Calibri"/>
            <w:color w:val="0000FF"/>
            <w:sz w:val="22"/>
            <w:szCs w:val="22"/>
            <w:u w:val="single"/>
            <w:lang w:val="en-US"/>
          </w:rPr>
          <w:t>http://www.lifescienceglobal.com/pms/index.php/ijchn/article/view/3690</w:t>
        </w:r>
      </w:hyperlink>
    </w:p>
    <w:p w14:paraId="6739A752"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r w:rsidRPr="00E432D0">
        <w:rPr>
          <w:rFonts w:ascii="Calibri" w:hAnsi="Calibri" w:cs="Calibri"/>
          <w:sz w:val="22"/>
          <w:szCs w:val="22"/>
          <w:lang w:val="en-US"/>
        </w:rPr>
        <w:t xml:space="preserve">Messner, Anna H., and M. Lauren </w:t>
      </w:r>
      <w:proofErr w:type="spellStart"/>
      <w:r w:rsidRPr="00E432D0">
        <w:rPr>
          <w:rFonts w:ascii="Calibri" w:hAnsi="Calibri" w:cs="Calibri"/>
          <w:sz w:val="22"/>
          <w:szCs w:val="22"/>
          <w:lang w:val="en-US"/>
        </w:rPr>
        <w:t>Lalakea</w:t>
      </w:r>
      <w:proofErr w:type="spellEnd"/>
      <w:r w:rsidRPr="00E432D0">
        <w:rPr>
          <w:rFonts w:ascii="Calibri" w:hAnsi="Calibri" w:cs="Calibri"/>
          <w:sz w:val="22"/>
          <w:szCs w:val="22"/>
          <w:lang w:val="en-US"/>
        </w:rPr>
        <w:t xml:space="preserve">. </w:t>
      </w:r>
      <w:proofErr w:type="gramStart"/>
      <w:r w:rsidRPr="00E432D0">
        <w:rPr>
          <w:rFonts w:ascii="Calibri" w:hAnsi="Calibri" w:cs="Calibri"/>
          <w:sz w:val="22"/>
          <w:szCs w:val="22"/>
          <w:lang w:val="en-US"/>
        </w:rPr>
        <w:t>”The</w:t>
      </w:r>
      <w:proofErr w:type="gramEnd"/>
      <w:r w:rsidRPr="00E432D0">
        <w:rPr>
          <w:rFonts w:ascii="Calibri" w:hAnsi="Calibri" w:cs="Calibri"/>
          <w:sz w:val="22"/>
          <w:szCs w:val="22"/>
          <w:lang w:val="en-US"/>
        </w:rPr>
        <w:t xml:space="preserve"> effect of ankyloglossia on speech in children.” Otolaryngology—Head and Neck Surgery 127, no. 6 (2002): 539-545.</w:t>
      </w:r>
      <w:r w:rsidRPr="00E432D0">
        <w:rPr>
          <w:rFonts w:ascii="Calibri" w:hAnsi="Calibri" w:cs="Calibri"/>
          <w:sz w:val="22"/>
          <w:szCs w:val="22"/>
          <w:lang w:val="en-US"/>
        </w:rPr>
        <w:br/>
      </w:r>
      <w:hyperlink r:id="rId29" w:history="1">
        <w:r w:rsidRPr="00E432D0">
          <w:rPr>
            <w:rFonts w:ascii="Calibri" w:hAnsi="Calibri" w:cs="Calibri"/>
            <w:color w:val="0000FF"/>
            <w:sz w:val="22"/>
            <w:szCs w:val="22"/>
            <w:u w:val="single"/>
            <w:lang w:val="en-US"/>
          </w:rPr>
          <w:t>https://www.ncbi.nlm.nih.gov/pubmed/12501105</w:t>
        </w:r>
      </w:hyperlink>
    </w:p>
    <w:p w14:paraId="29D4DB4B"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r w:rsidRPr="00E432D0">
        <w:rPr>
          <w:rFonts w:ascii="Calibri" w:hAnsi="Calibri" w:cs="Calibri"/>
          <w:sz w:val="22"/>
          <w:szCs w:val="22"/>
          <w:lang w:val="en-US"/>
        </w:rPr>
        <w:t xml:space="preserve">O’Callahan, Cliff, Susan Macary, and Stephanie Clemente. </w:t>
      </w:r>
      <w:proofErr w:type="gramStart"/>
      <w:r w:rsidRPr="00E432D0">
        <w:rPr>
          <w:rFonts w:ascii="Calibri" w:hAnsi="Calibri" w:cs="Calibri"/>
          <w:sz w:val="22"/>
          <w:szCs w:val="22"/>
          <w:lang w:val="en-US"/>
        </w:rPr>
        <w:t>”The</w:t>
      </w:r>
      <w:proofErr w:type="gramEnd"/>
      <w:r w:rsidRPr="00E432D0">
        <w:rPr>
          <w:rFonts w:ascii="Calibri" w:hAnsi="Calibri" w:cs="Calibri"/>
          <w:sz w:val="22"/>
          <w:szCs w:val="22"/>
          <w:lang w:val="en-US"/>
        </w:rPr>
        <w:t xml:space="preserve"> effects of office-based frenotomy for anterior and posterior ankyloglossia on breastfeeding.” International journal of pediatric otorhinolaryngology 77, no. 5 (2013): 827-832.</w:t>
      </w:r>
      <w:r w:rsidRPr="00E432D0">
        <w:rPr>
          <w:rFonts w:ascii="Calibri" w:hAnsi="Calibri" w:cs="Calibri"/>
          <w:sz w:val="22"/>
          <w:szCs w:val="22"/>
          <w:lang w:val="en-US"/>
        </w:rPr>
        <w:br/>
      </w:r>
      <w:hyperlink r:id="rId30" w:history="1">
        <w:r w:rsidRPr="00E432D0">
          <w:rPr>
            <w:rFonts w:ascii="Calibri" w:hAnsi="Calibri" w:cs="Calibri"/>
            <w:color w:val="0000FF"/>
            <w:sz w:val="22"/>
            <w:szCs w:val="22"/>
            <w:u w:val="single"/>
            <w:lang w:val="en-US"/>
          </w:rPr>
          <w:t>https://www.ncbi.nlm.nih.gov/pubmed/23523198</w:t>
        </w:r>
      </w:hyperlink>
    </w:p>
    <w:p w14:paraId="65ED924D"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r w:rsidRPr="00E432D0">
        <w:rPr>
          <w:rFonts w:ascii="Calibri" w:hAnsi="Calibri" w:cs="Calibri"/>
          <w:sz w:val="22"/>
          <w:szCs w:val="22"/>
          <w:lang w:val="en-US"/>
        </w:rPr>
        <w:t xml:space="preserve">O’Shea, Joyce E., Jann P. Foster, Colm PF O’Donnell, Deirdre Breathnach, Susan E. Jacobs, David A. Todd, and Peter G. Davis. </w:t>
      </w:r>
      <w:proofErr w:type="gramStart"/>
      <w:r w:rsidRPr="00E432D0">
        <w:rPr>
          <w:rFonts w:ascii="Calibri" w:hAnsi="Calibri" w:cs="Calibri"/>
          <w:sz w:val="22"/>
          <w:szCs w:val="22"/>
          <w:lang w:val="en-US"/>
        </w:rPr>
        <w:t>”Frenotomy</w:t>
      </w:r>
      <w:proofErr w:type="gramEnd"/>
      <w:r w:rsidRPr="00E432D0">
        <w:rPr>
          <w:rFonts w:ascii="Calibri" w:hAnsi="Calibri" w:cs="Calibri"/>
          <w:sz w:val="22"/>
          <w:szCs w:val="22"/>
          <w:lang w:val="en-US"/>
        </w:rPr>
        <w:t xml:space="preserve"> for tongue‐tie in newborn infants.” The Cochrane Library (2017).</w:t>
      </w:r>
      <w:r w:rsidRPr="00E432D0">
        <w:rPr>
          <w:rFonts w:ascii="Calibri" w:hAnsi="Calibri" w:cs="Calibri"/>
          <w:sz w:val="22"/>
          <w:szCs w:val="22"/>
          <w:lang w:val="en-US"/>
        </w:rPr>
        <w:br/>
      </w:r>
      <w:hyperlink r:id="rId31" w:history="1">
        <w:r w:rsidRPr="00E432D0">
          <w:rPr>
            <w:rFonts w:ascii="Calibri" w:hAnsi="Calibri" w:cs="Calibri"/>
            <w:color w:val="0000FF"/>
            <w:sz w:val="22"/>
            <w:szCs w:val="22"/>
            <w:u w:val="single"/>
            <w:lang w:val="en-US"/>
          </w:rPr>
          <w:t>https://www.ncbi.nlm.nih.gov/m/pubmed/28284020/?i=5&amp;from=/25258296/related</w:t>
        </w:r>
      </w:hyperlink>
    </w:p>
    <w:p w14:paraId="66128DCE"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r w:rsidRPr="00E432D0">
        <w:rPr>
          <w:rFonts w:ascii="Calibri" w:hAnsi="Calibri" w:cs="Calibri"/>
          <w:sz w:val="22"/>
          <w:szCs w:val="22"/>
          <w:lang w:val="en-US"/>
        </w:rPr>
        <w:t xml:space="preserve">Power, R. F., and J. F. Murphy. </w:t>
      </w:r>
      <w:proofErr w:type="gramStart"/>
      <w:r w:rsidRPr="00E432D0">
        <w:rPr>
          <w:rFonts w:ascii="Calibri" w:hAnsi="Calibri" w:cs="Calibri"/>
          <w:sz w:val="22"/>
          <w:szCs w:val="22"/>
          <w:lang w:val="en-US"/>
        </w:rPr>
        <w:t>”Tongue</w:t>
      </w:r>
      <w:proofErr w:type="gramEnd"/>
      <w:r w:rsidRPr="00E432D0">
        <w:rPr>
          <w:rFonts w:ascii="Calibri" w:hAnsi="Calibri" w:cs="Calibri"/>
          <w:sz w:val="22"/>
          <w:szCs w:val="22"/>
          <w:lang w:val="en-US"/>
        </w:rPr>
        <w:t>-tie and frenotomy in infants with breastfeeding difficulties: achieving a balance.” Archives of disease in childhood 100, no. 5 (2015): 489-494.</w:t>
      </w:r>
      <w:r w:rsidRPr="00E432D0">
        <w:rPr>
          <w:rFonts w:ascii="Calibri" w:hAnsi="Calibri" w:cs="Calibri"/>
          <w:sz w:val="22"/>
          <w:szCs w:val="22"/>
          <w:lang w:val="en-US"/>
        </w:rPr>
        <w:br/>
      </w:r>
      <w:hyperlink r:id="rId32" w:history="1">
        <w:r w:rsidRPr="00E432D0">
          <w:rPr>
            <w:rFonts w:ascii="Calibri" w:hAnsi="Calibri" w:cs="Calibri"/>
            <w:color w:val="0000FF"/>
            <w:sz w:val="22"/>
            <w:szCs w:val="22"/>
            <w:u w:val="single"/>
            <w:lang w:val="en-US"/>
          </w:rPr>
          <w:t>https://www.ncbi.nlm.nih.gov/m/pubmed/25381293/?i=2&amp;from=%2F26314750%2Frelated</w:t>
        </w:r>
      </w:hyperlink>
    </w:p>
    <w:p w14:paraId="70D6FF02" w14:textId="77777777" w:rsidR="00E432D0" w:rsidRPr="00E432D0" w:rsidRDefault="00E432D0" w:rsidP="00DF091B">
      <w:pPr>
        <w:shd w:val="clear" w:color="auto" w:fill="FFFFFF"/>
        <w:spacing w:after="360" w:line="240" w:lineRule="auto"/>
        <w:ind w:right="0"/>
        <w:rPr>
          <w:rFonts w:ascii="Calibri" w:hAnsi="Calibri" w:cs="Calibri"/>
          <w:sz w:val="22"/>
          <w:szCs w:val="22"/>
          <w:lang w:val="en-US"/>
        </w:rPr>
      </w:pPr>
      <w:r w:rsidRPr="00E432D0">
        <w:rPr>
          <w:rFonts w:ascii="Calibri" w:hAnsi="Calibri" w:cs="Calibri"/>
          <w:sz w:val="22"/>
          <w:szCs w:val="22"/>
          <w:lang w:val="en-US"/>
        </w:rPr>
        <w:t xml:space="preserve">Siegel, Scott </w:t>
      </w:r>
      <w:proofErr w:type="gramStart"/>
      <w:r w:rsidRPr="00E432D0">
        <w:rPr>
          <w:rFonts w:ascii="Calibri" w:hAnsi="Calibri" w:cs="Calibri"/>
          <w:sz w:val="22"/>
          <w:szCs w:val="22"/>
          <w:lang w:val="en-US"/>
        </w:rPr>
        <w:t>A. ”Aerophagia</w:t>
      </w:r>
      <w:proofErr w:type="gramEnd"/>
      <w:r w:rsidRPr="00E432D0">
        <w:rPr>
          <w:rFonts w:ascii="Calibri" w:hAnsi="Calibri" w:cs="Calibri"/>
          <w:sz w:val="22"/>
          <w:szCs w:val="22"/>
          <w:lang w:val="en-US"/>
        </w:rPr>
        <w:t xml:space="preserve"> induced reflux in breastfeeding infants with ankyloglossia and shortened maxillary labial frenula (tongue and lip tie).” International Journal of Clinical Pediatrics 5, no. 1 (2016): 6-8.</w:t>
      </w:r>
      <w:r w:rsidRPr="00E432D0">
        <w:rPr>
          <w:rFonts w:ascii="Calibri" w:hAnsi="Calibri" w:cs="Calibri"/>
          <w:sz w:val="22"/>
          <w:szCs w:val="22"/>
          <w:lang w:val="en-US"/>
        </w:rPr>
        <w:br/>
      </w:r>
      <w:hyperlink r:id="rId33" w:history="1">
        <w:r w:rsidRPr="00E432D0">
          <w:rPr>
            <w:rFonts w:ascii="Calibri" w:hAnsi="Calibri" w:cs="Calibri"/>
            <w:color w:val="0000FF"/>
            <w:sz w:val="22"/>
            <w:szCs w:val="22"/>
            <w:u w:val="single"/>
            <w:lang w:val="en-US"/>
          </w:rPr>
          <w:t>http://www.theijcp.org/index.php/ijcp/article/view/246</w:t>
        </w:r>
      </w:hyperlink>
    </w:p>
    <w:bookmarkEnd w:id="0"/>
    <w:p w14:paraId="76B9F95B" w14:textId="24513497" w:rsidR="00536A5A" w:rsidRPr="002C1948" w:rsidRDefault="00536A5A" w:rsidP="00DF091B">
      <w:pPr>
        <w:spacing w:after="0" w:line="240" w:lineRule="auto"/>
        <w:ind w:right="0"/>
        <w:rPr>
          <w:lang w:val="en-GB"/>
        </w:rPr>
      </w:pPr>
    </w:p>
    <w:sectPr w:rsidR="00536A5A" w:rsidRPr="002C1948" w:rsidSect="00E432D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94673" w14:textId="77777777" w:rsidR="005013F3" w:rsidRDefault="005013F3">
      <w:r>
        <w:separator/>
      </w:r>
    </w:p>
  </w:endnote>
  <w:endnote w:type="continuationSeparator" w:id="0">
    <w:p w14:paraId="2AC5C974" w14:textId="77777777" w:rsidR="005013F3" w:rsidRDefault="005013F3">
      <w:r>
        <w:continuationSeparator/>
      </w:r>
    </w:p>
  </w:endnote>
  <w:endnote w:type="continuationNotice" w:id="1">
    <w:p w14:paraId="033553A5" w14:textId="77777777" w:rsidR="005013F3" w:rsidRDefault="005013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7F754" w14:textId="77777777" w:rsidR="005013F3" w:rsidRDefault="005013F3"/>
  </w:footnote>
  <w:footnote w:type="continuationSeparator" w:id="0">
    <w:p w14:paraId="78E9A9DC" w14:textId="77777777" w:rsidR="005013F3" w:rsidRDefault="005013F3">
      <w:r>
        <w:continuationSeparator/>
      </w:r>
    </w:p>
  </w:footnote>
  <w:footnote w:type="continuationNotice" w:id="1">
    <w:p w14:paraId="531D8569" w14:textId="77777777" w:rsidR="005013F3" w:rsidRDefault="005013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7FA50E7"/>
    <w:multiLevelType w:val="hybridMultilevel"/>
    <w:tmpl w:val="D02832A8"/>
    <w:lvl w:ilvl="0" w:tplc="45262814">
      <w:start w:val="1"/>
      <w:numFmt w:val="bullet"/>
      <w:lvlText w:val=""/>
      <w:lvlJc w:val="left"/>
      <w:pPr>
        <w:ind w:left="360" w:hanging="360"/>
      </w:pPr>
      <w:rPr>
        <w:rFonts w:ascii="Symbol" w:hAnsi="Symbol" w:hint="default"/>
      </w:rPr>
    </w:lvl>
    <w:lvl w:ilvl="1" w:tplc="E8DA8558" w:tentative="1">
      <w:start w:val="1"/>
      <w:numFmt w:val="bullet"/>
      <w:lvlText w:val="o"/>
      <w:lvlJc w:val="left"/>
      <w:pPr>
        <w:ind w:left="1080" w:hanging="360"/>
      </w:pPr>
      <w:rPr>
        <w:rFonts w:ascii="Courier New" w:hAnsi="Courier New" w:cs="Courier New" w:hint="default"/>
      </w:rPr>
    </w:lvl>
    <w:lvl w:ilvl="2" w:tplc="FC48EC74" w:tentative="1">
      <w:start w:val="1"/>
      <w:numFmt w:val="bullet"/>
      <w:lvlText w:val=""/>
      <w:lvlJc w:val="left"/>
      <w:pPr>
        <w:ind w:left="1800" w:hanging="360"/>
      </w:pPr>
      <w:rPr>
        <w:rFonts w:ascii="Wingdings" w:hAnsi="Wingdings" w:hint="default"/>
      </w:rPr>
    </w:lvl>
    <w:lvl w:ilvl="3" w:tplc="E2A471F6" w:tentative="1">
      <w:start w:val="1"/>
      <w:numFmt w:val="bullet"/>
      <w:lvlText w:val=""/>
      <w:lvlJc w:val="left"/>
      <w:pPr>
        <w:ind w:left="2520" w:hanging="360"/>
      </w:pPr>
      <w:rPr>
        <w:rFonts w:ascii="Symbol" w:hAnsi="Symbol" w:hint="default"/>
      </w:rPr>
    </w:lvl>
    <w:lvl w:ilvl="4" w:tplc="7C344470" w:tentative="1">
      <w:start w:val="1"/>
      <w:numFmt w:val="bullet"/>
      <w:lvlText w:val="o"/>
      <w:lvlJc w:val="left"/>
      <w:pPr>
        <w:ind w:left="3240" w:hanging="360"/>
      </w:pPr>
      <w:rPr>
        <w:rFonts w:ascii="Courier New" w:hAnsi="Courier New" w:cs="Courier New" w:hint="default"/>
      </w:rPr>
    </w:lvl>
    <w:lvl w:ilvl="5" w:tplc="110AF44A" w:tentative="1">
      <w:start w:val="1"/>
      <w:numFmt w:val="bullet"/>
      <w:lvlText w:val=""/>
      <w:lvlJc w:val="left"/>
      <w:pPr>
        <w:ind w:left="3960" w:hanging="360"/>
      </w:pPr>
      <w:rPr>
        <w:rFonts w:ascii="Wingdings" w:hAnsi="Wingdings" w:hint="default"/>
      </w:rPr>
    </w:lvl>
    <w:lvl w:ilvl="6" w:tplc="42562DEA" w:tentative="1">
      <w:start w:val="1"/>
      <w:numFmt w:val="bullet"/>
      <w:lvlText w:val=""/>
      <w:lvlJc w:val="left"/>
      <w:pPr>
        <w:ind w:left="4680" w:hanging="360"/>
      </w:pPr>
      <w:rPr>
        <w:rFonts w:ascii="Symbol" w:hAnsi="Symbol" w:hint="default"/>
      </w:rPr>
    </w:lvl>
    <w:lvl w:ilvl="7" w:tplc="B17460F2" w:tentative="1">
      <w:start w:val="1"/>
      <w:numFmt w:val="bullet"/>
      <w:lvlText w:val="o"/>
      <w:lvlJc w:val="left"/>
      <w:pPr>
        <w:ind w:left="5400" w:hanging="360"/>
      </w:pPr>
      <w:rPr>
        <w:rFonts w:ascii="Courier New" w:hAnsi="Courier New" w:cs="Courier New" w:hint="default"/>
      </w:rPr>
    </w:lvl>
    <w:lvl w:ilvl="8" w:tplc="B98E16B4" w:tentative="1">
      <w:start w:val="1"/>
      <w:numFmt w:val="bullet"/>
      <w:lvlText w:val=""/>
      <w:lvlJc w:val="left"/>
      <w:pPr>
        <w:ind w:left="612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E4B0AC7"/>
    <w:multiLevelType w:val="hybridMultilevel"/>
    <w:tmpl w:val="6FB84C60"/>
    <w:lvl w:ilvl="0" w:tplc="750CE08A">
      <w:start w:val="1"/>
      <w:numFmt w:val="bullet"/>
      <w:lvlText w:val=""/>
      <w:lvlJc w:val="left"/>
      <w:pPr>
        <w:ind w:left="720" w:hanging="360"/>
      </w:pPr>
      <w:rPr>
        <w:rFonts w:ascii="Symbol" w:hAnsi="Symbol" w:hint="default"/>
      </w:rPr>
    </w:lvl>
    <w:lvl w:ilvl="1" w:tplc="91C0FE10" w:tentative="1">
      <w:start w:val="1"/>
      <w:numFmt w:val="bullet"/>
      <w:lvlText w:val="o"/>
      <w:lvlJc w:val="left"/>
      <w:pPr>
        <w:ind w:left="1440" w:hanging="360"/>
      </w:pPr>
      <w:rPr>
        <w:rFonts w:ascii="Courier New" w:hAnsi="Courier New" w:cs="Courier New" w:hint="default"/>
      </w:rPr>
    </w:lvl>
    <w:lvl w:ilvl="2" w:tplc="67D0000C" w:tentative="1">
      <w:start w:val="1"/>
      <w:numFmt w:val="bullet"/>
      <w:lvlText w:val=""/>
      <w:lvlJc w:val="left"/>
      <w:pPr>
        <w:ind w:left="2160" w:hanging="360"/>
      </w:pPr>
      <w:rPr>
        <w:rFonts w:ascii="Wingdings" w:hAnsi="Wingdings" w:hint="default"/>
      </w:rPr>
    </w:lvl>
    <w:lvl w:ilvl="3" w:tplc="3BE88BDA" w:tentative="1">
      <w:start w:val="1"/>
      <w:numFmt w:val="bullet"/>
      <w:lvlText w:val=""/>
      <w:lvlJc w:val="left"/>
      <w:pPr>
        <w:ind w:left="2880" w:hanging="360"/>
      </w:pPr>
      <w:rPr>
        <w:rFonts w:ascii="Symbol" w:hAnsi="Symbol" w:hint="default"/>
      </w:rPr>
    </w:lvl>
    <w:lvl w:ilvl="4" w:tplc="BDCCCEE8" w:tentative="1">
      <w:start w:val="1"/>
      <w:numFmt w:val="bullet"/>
      <w:lvlText w:val="o"/>
      <w:lvlJc w:val="left"/>
      <w:pPr>
        <w:ind w:left="3600" w:hanging="360"/>
      </w:pPr>
      <w:rPr>
        <w:rFonts w:ascii="Courier New" w:hAnsi="Courier New" w:cs="Courier New" w:hint="default"/>
      </w:rPr>
    </w:lvl>
    <w:lvl w:ilvl="5" w:tplc="3D2C47EC" w:tentative="1">
      <w:start w:val="1"/>
      <w:numFmt w:val="bullet"/>
      <w:lvlText w:val=""/>
      <w:lvlJc w:val="left"/>
      <w:pPr>
        <w:ind w:left="4320" w:hanging="360"/>
      </w:pPr>
      <w:rPr>
        <w:rFonts w:ascii="Wingdings" w:hAnsi="Wingdings" w:hint="default"/>
      </w:rPr>
    </w:lvl>
    <w:lvl w:ilvl="6" w:tplc="935A6AF4" w:tentative="1">
      <w:start w:val="1"/>
      <w:numFmt w:val="bullet"/>
      <w:lvlText w:val=""/>
      <w:lvlJc w:val="left"/>
      <w:pPr>
        <w:ind w:left="5040" w:hanging="360"/>
      </w:pPr>
      <w:rPr>
        <w:rFonts w:ascii="Symbol" w:hAnsi="Symbol" w:hint="default"/>
      </w:rPr>
    </w:lvl>
    <w:lvl w:ilvl="7" w:tplc="83F008B6" w:tentative="1">
      <w:start w:val="1"/>
      <w:numFmt w:val="bullet"/>
      <w:lvlText w:val="o"/>
      <w:lvlJc w:val="left"/>
      <w:pPr>
        <w:ind w:left="5760" w:hanging="360"/>
      </w:pPr>
      <w:rPr>
        <w:rFonts w:ascii="Courier New" w:hAnsi="Courier New" w:cs="Courier New" w:hint="default"/>
      </w:rPr>
    </w:lvl>
    <w:lvl w:ilvl="8" w:tplc="6A84DC6E" w:tentative="1">
      <w:start w:val="1"/>
      <w:numFmt w:val="bullet"/>
      <w:lvlText w:val=""/>
      <w:lvlJc w:val="left"/>
      <w:pPr>
        <w:ind w:left="6480"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96795797">
    <w:abstractNumId w:val="19"/>
  </w:num>
  <w:num w:numId="2" w16cid:durableId="2020084773">
    <w:abstractNumId w:val="16"/>
  </w:num>
  <w:num w:numId="3" w16cid:durableId="1454639792">
    <w:abstractNumId w:val="0"/>
  </w:num>
  <w:num w:numId="4" w16cid:durableId="211693187">
    <w:abstractNumId w:val="6"/>
  </w:num>
  <w:num w:numId="5" w16cid:durableId="1566450340">
    <w:abstractNumId w:val="17"/>
  </w:num>
  <w:num w:numId="6" w16cid:durableId="1761024363">
    <w:abstractNumId w:val="2"/>
  </w:num>
  <w:num w:numId="7" w16cid:durableId="1934437177">
    <w:abstractNumId w:val="13"/>
  </w:num>
  <w:num w:numId="8" w16cid:durableId="1163817896">
    <w:abstractNumId w:val="9"/>
  </w:num>
  <w:num w:numId="9" w16cid:durableId="1790078331">
    <w:abstractNumId w:val="1"/>
  </w:num>
  <w:num w:numId="10" w16cid:durableId="565149251">
    <w:abstractNumId w:val="1"/>
  </w:num>
  <w:num w:numId="11" w16cid:durableId="647174887">
    <w:abstractNumId w:val="3"/>
  </w:num>
  <w:num w:numId="12" w16cid:durableId="1176774333">
    <w:abstractNumId w:val="4"/>
  </w:num>
  <w:num w:numId="13" w16cid:durableId="1806654616">
    <w:abstractNumId w:val="15"/>
  </w:num>
  <w:num w:numId="14" w16cid:durableId="1239638214">
    <w:abstractNumId w:val="10"/>
  </w:num>
  <w:num w:numId="15" w16cid:durableId="1950159807">
    <w:abstractNumId w:val="7"/>
  </w:num>
  <w:num w:numId="16" w16cid:durableId="372004887">
    <w:abstractNumId w:val="14"/>
  </w:num>
  <w:num w:numId="17" w16cid:durableId="803158555">
    <w:abstractNumId w:val="5"/>
  </w:num>
  <w:num w:numId="18" w16cid:durableId="1967194443">
    <w:abstractNumId w:val="12"/>
  </w:num>
  <w:num w:numId="19" w16cid:durableId="2077891986">
    <w:abstractNumId w:val="18"/>
  </w:num>
  <w:num w:numId="20" w16cid:durableId="383718413">
    <w:abstractNumId w:val="11"/>
  </w:num>
  <w:num w:numId="21" w16cid:durableId="1555236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51B0"/>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1948"/>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4960"/>
    <w:rsid w:val="00460ED0"/>
    <w:rsid w:val="00465651"/>
    <w:rsid w:val="00470CE7"/>
    <w:rsid w:val="00470F4F"/>
    <w:rsid w:val="00472482"/>
    <w:rsid w:val="00480DC7"/>
    <w:rsid w:val="00484CBD"/>
    <w:rsid w:val="004876F6"/>
    <w:rsid w:val="0049236A"/>
    <w:rsid w:val="00492718"/>
    <w:rsid w:val="004A355D"/>
    <w:rsid w:val="004A4970"/>
    <w:rsid w:val="004B2183"/>
    <w:rsid w:val="004B2A01"/>
    <w:rsid w:val="004C2559"/>
    <w:rsid w:val="004D7BA3"/>
    <w:rsid w:val="004F4518"/>
    <w:rsid w:val="004F4C62"/>
    <w:rsid w:val="005013F3"/>
    <w:rsid w:val="00501433"/>
    <w:rsid w:val="00511CC4"/>
    <w:rsid w:val="00531E60"/>
    <w:rsid w:val="00536A5A"/>
    <w:rsid w:val="00541D07"/>
    <w:rsid w:val="00544BAB"/>
    <w:rsid w:val="00545F31"/>
    <w:rsid w:val="005561D8"/>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020D"/>
    <w:rsid w:val="0065595B"/>
    <w:rsid w:val="00660269"/>
    <w:rsid w:val="00665F89"/>
    <w:rsid w:val="00673C92"/>
    <w:rsid w:val="006753EC"/>
    <w:rsid w:val="006A2789"/>
    <w:rsid w:val="006A4978"/>
    <w:rsid w:val="006A7261"/>
    <w:rsid w:val="006B0D29"/>
    <w:rsid w:val="006B1819"/>
    <w:rsid w:val="006B37A2"/>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AC1"/>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75F7"/>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1CE8"/>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DF091B"/>
    <w:rsid w:val="00E026BF"/>
    <w:rsid w:val="00E07B1B"/>
    <w:rsid w:val="00E11853"/>
    <w:rsid w:val="00E432D0"/>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cadth.ca/frenectomy-correction-ankyloglossia-review-clinical-effectiveness-and-guidelines" TargetMode="External" Id="rId18" /><Relationship Type="http://schemas.openxmlformats.org/officeDocument/2006/relationships/hyperlink" Target="https://research-information.bristol.ac.uk/en/publications/the-development-of-a-tongue-assessment-tool-to-assist-with-tonguetie-identification(d1067897-19c4-4d0d-8e4a-3884a7309e68).html" TargetMode="External" Id="rId26" /><Relationship Type="http://schemas.openxmlformats.org/officeDocument/2006/relationships/hyperlink" Target="https://www.ncbi.nlm.nih.gov/labs/articles/27641715/" TargetMode="Externa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doi.org/10.1016/j.ijporl.2018.07.045" TargetMode="External" Id="rId17" /><Relationship Type="http://schemas.openxmlformats.org/officeDocument/2006/relationships/hyperlink" Target="https://research-information.bristol.ac.uk/en/persons/alan-m-emond(b432bb07-8080-4608-a60c-407803337018).html" TargetMode="External" Id="rId25" /><Relationship Type="http://schemas.openxmlformats.org/officeDocument/2006/relationships/hyperlink" Target="http://www.theijcp.org/index.php/ijcp/article/view/246" TargetMode="External" Id="rId33" /><Relationship Type="http://schemas.openxmlformats.org/officeDocument/2006/relationships/footer" Target="footer3.xml" Id="rId16" /><Relationship Type="http://schemas.openxmlformats.org/officeDocument/2006/relationships/hyperlink" Target="http://pediatrics.aappublications.org/content/122/1/e188" TargetMode="External" Id="rId20" /><Relationship Type="http://schemas.openxmlformats.org/officeDocument/2006/relationships/hyperlink" Target="https://www.ncbi.nlm.nih.gov/pubmed/12501105"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research-information.bristol.ac.uk/en/persons/debbie-g-f-johnson(47ed3f2d-3856-43c9-b27e-fcf9a8926788).html" TargetMode="External" Id="rId24" /><Relationship Type="http://schemas.openxmlformats.org/officeDocument/2006/relationships/hyperlink" Target="https://www.ncbi.nlm.nih.gov/m/pubmed/25381293/?i=2&amp;from=%2F26314750%2Frelated" TargetMode="External" Id="rId32" /><Relationship Type="http://schemas.openxmlformats.org/officeDocument/2006/relationships/header" Target="header2.xml" Id="rId15" /><Relationship Type="http://schemas.openxmlformats.org/officeDocument/2006/relationships/hyperlink" Target="https://research-information.bristol.ac.uk/en/persons/jenny-c-ingram(7110ee41-d3c2-473b-838e-6cb3335f392e).html" TargetMode="External" Id="rId23" /><Relationship Type="http://schemas.openxmlformats.org/officeDocument/2006/relationships/hyperlink" Target="http://www.lifescienceglobal.com/pms/index.php/ijchn/article/view/3690" TargetMode="External" Id="rId28" /><Relationship Type="http://schemas.openxmlformats.org/officeDocument/2006/relationships/footnotes" Target="footnotes.xml" Id="rId10" /><Relationship Type="http://schemas.openxmlformats.org/officeDocument/2006/relationships/hyperlink" Target="https://www.ncbi.nlm.nih.gov/pubmed/21608523" TargetMode="External" Id="rId19" /><Relationship Type="http://schemas.openxmlformats.org/officeDocument/2006/relationships/hyperlink" Target="https://www.ncbi.nlm.nih.gov/m/pubmed/28284020/?i=5&amp;from=/25258296/related" TargetMode="Externa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clinmedjournals.org/articles/ijpr/ijpr-1-003.pdf" TargetMode="External" Id="rId22" /><Relationship Type="http://schemas.openxmlformats.org/officeDocument/2006/relationships/hyperlink" Target="https://doi.org/10.1177/0890334413491325" TargetMode="External" Id="rId27" /><Relationship Type="http://schemas.openxmlformats.org/officeDocument/2006/relationships/hyperlink" Target="https://www.ncbi.nlm.nih.gov/pubmed/23523198" TargetMode="External" Id="rId30" /><Relationship Type="http://schemas.openxmlformats.org/officeDocument/2006/relationships/theme" Target="theme/theme1.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32</TotalTime>
  <Pages>5</Pages>
  <Words>1428</Words>
  <Characters>10726</Characters>
  <Application>Microsoft Office Word</Application>
  <DocSecurity>0</DocSecurity>
  <Lines>89</Lines>
  <Paragraphs>24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12130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Kort tungband hos spädbarn</dc:title>
  <dc:subject/>
  <dc:creator>patrik.jens.johansson@vgregion.se</dc:creator>
  <keywords/>
  <lastModifiedBy>Ewelyn Persson</lastModifiedBy>
  <revision>10</revision>
  <lastPrinted>2016-03-31T10:56:00.0000000Z</lastPrinted>
  <dcterms:created xsi:type="dcterms:W3CDTF">2022-05-13T03:50:00.0000000Z</dcterms:created>
  <dcterms:modified xsi:type="dcterms:W3CDTF">2025-12-02T10:36:00.0000000Z</dcterms:modified>
</coreProperties>
</file>