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73085F" w14:textId="77777777" w:rsidR="00E432D0" w:rsidRDefault="00E432D0" w:rsidP="00F35B05">
      <w:pPr>
        <w:pStyle w:val="Rubrik2"/>
        <w:sectPr w:rsidR="00E432D0" w:rsidSect="00E432D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0152265" w14:textId="77777777" w:rsidR="00E432D0" w:rsidRPr="00E432D0" w:rsidRDefault="00E432D0" w:rsidP="00E432D0">
      <w:pPr>
        <w:spacing w:after="0" w:line="240" w:lineRule="auto"/>
        <w:ind w:left="0" w:right="0"/>
        <w:rPr>
          <w:szCs w:val="20"/>
        </w:rPr>
      </w:pPr>
    </w:p>
    <w:p w14:paraId="421A7FA9" w14:textId="77777777" w:rsidR="00DF091B" w:rsidRDefault="00DF091B" w:rsidP="00DF091B">
      <w:pPr>
        <w:pStyle w:val="Rubrik1"/>
      </w:pPr>
    </w:p>
    <w:p w14:paraId="3EE53C53" w14:textId="2F18AB03" w:rsidR="00E432D0" w:rsidRPr="00E432D0" w:rsidRDefault="00DF091B" w:rsidP="00DF091B">
      <w:pPr>
        <w:pStyle w:val="Rubrik1"/>
        <w:rPr>
          <w:rFonts w:cs="Calibri"/>
          <w:bCs w:val="0"/>
          <w:szCs w:val="26"/>
        </w:rPr>
      </w:pPr>
      <w:r>
        <w:t>Kort tungband hos spädbarn</w:t>
      </w:r>
      <w:bookmarkStart w:id="1" w:name="_Toc501440349"/>
    </w:p>
    <w:p w14:paraId="7B480953" w14:textId="77777777" w:rsidR="00E432D0" w:rsidRPr="00E432D0" w:rsidRDefault="00E432D0" w:rsidP="00DF091B">
      <w:pPr>
        <w:pStyle w:val="Rubrik3"/>
      </w:pPr>
      <w:r w:rsidRPr="00E432D0">
        <w:t xml:space="preserve">Revidering i denna version </w:t>
      </w:r>
      <w:bookmarkEnd w:id="1"/>
    </w:p>
    <w:p w14:paraId="151752A3" w14:textId="6EA323D1" w:rsidR="00454960" w:rsidRPr="00E432D0" w:rsidRDefault="001F51B0" w:rsidP="00DF091B">
      <w:pPr>
        <w:spacing w:after="0" w:line="240" w:lineRule="auto"/>
        <w:ind w:right="0"/>
        <w:rPr>
          <w:rFonts w:ascii="Calibri" w:hAnsi="Calibri" w:cs="Calibri"/>
          <w:szCs w:val="20"/>
        </w:rPr>
      </w:pPr>
      <w:r>
        <w:rPr>
          <w:rFonts w:ascii="Calibri" w:hAnsi="Calibri" w:cs="Calibri"/>
          <w:szCs w:val="20"/>
        </w:rPr>
        <w:t>Inga ändringar i denna version.</w:t>
      </w:r>
    </w:p>
    <w:p w14:paraId="6BB06FDB" w14:textId="77777777" w:rsidR="00E432D0" w:rsidRPr="00E432D0" w:rsidRDefault="00E432D0" w:rsidP="00DF091B">
      <w:pPr>
        <w:pStyle w:val="Rubrik2"/>
      </w:pPr>
      <w:bookmarkStart w:id="2" w:name="_Toc501440348"/>
      <w:r w:rsidRPr="00E432D0">
        <w:t xml:space="preserve">Bakgrund </w:t>
      </w:r>
      <w:bookmarkEnd w:id="2"/>
    </w:p>
    <w:p w14:paraId="6AC00729" w14:textId="638F9170" w:rsidR="00E432D0" w:rsidRPr="00E432D0" w:rsidRDefault="00E432D0" w:rsidP="00DF091B">
      <w:pPr>
        <w:spacing w:after="0" w:line="240" w:lineRule="auto"/>
        <w:ind w:right="0"/>
        <w:rPr>
          <w:rFonts w:ascii="Calibri" w:hAnsi="Calibri" w:cs="Calibri"/>
          <w:szCs w:val="20"/>
        </w:rPr>
      </w:pPr>
      <w:r w:rsidRPr="00E432D0">
        <w:rPr>
          <w:rFonts w:ascii="Calibri" w:hAnsi="Calibri" w:cs="Calibri"/>
          <w:szCs w:val="20"/>
        </w:rPr>
        <w:t>Kort tungband är en medfödd variant av tungans anatomi, som kan orsaka amningsproblem. Amningen kan vara smärtsam vilket i sin tur kan föranleda ökad risk för såriga bröstvårtor och medföljande bröstkomplikationer. För barnets del kan ett kort</w:t>
      </w:r>
      <w:r w:rsidR="00454960">
        <w:rPr>
          <w:rFonts w:ascii="Calibri" w:hAnsi="Calibri" w:cs="Calibri"/>
          <w:szCs w:val="20"/>
        </w:rPr>
        <w:t xml:space="preserve"> </w:t>
      </w:r>
      <w:r w:rsidRPr="00E432D0">
        <w:rPr>
          <w:rFonts w:ascii="Calibri" w:hAnsi="Calibri" w:cs="Calibri"/>
          <w:szCs w:val="20"/>
        </w:rPr>
        <w:t xml:space="preserve">tungband leda till vakuumsläpp och problem med nedsatt matintag. Problem med matintag kan även uppstå med flaskmatning. </w:t>
      </w:r>
    </w:p>
    <w:p w14:paraId="63DFB198" w14:textId="77777777" w:rsidR="00E432D0" w:rsidRPr="00E432D0" w:rsidRDefault="00E432D0" w:rsidP="00DF091B">
      <w:pPr>
        <w:spacing w:after="0" w:line="240" w:lineRule="auto"/>
        <w:ind w:right="0"/>
        <w:rPr>
          <w:rFonts w:ascii="Calibri" w:hAnsi="Calibri" w:cs="Calibri"/>
          <w:szCs w:val="20"/>
        </w:rPr>
      </w:pPr>
    </w:p>
    <w:p w14:paraId="17ACFE2C" w14:textId="77777777" w:rsidR="00E432D0" w:rsidRPr="00E432D0" w:rsidRDefault="00E432D0" w:rsidP="00DF091B">
      <w:pPr>
        <w:spacing w:after="0" w:line="240" w:lineRule="auto"/>
        <w:ind w:right="0"/>
        <w:rPr>
          <w:rFonts w:ascii="Calibri" w:hAnsi="Calibri" w:cs="Calibri"/>
          <w:szCs w:val="20"/>
        </w:rPr>
      </w:pPr>
      <w:r w:rsidRPr="00E432D0">
        <w:rPr>
          <w:rFonts w:ascii="Calibri" w:hAnsi="Calibri" w:cs="Calibri"/>
          <w:b/>
          <w:szCs w:val="20"/>
        </w:rPr>
        <w:t>Ett kort tungband</w:t>
      </w:r>
      <w:r w:rsidRPr="00E432D0">
        <w:rPr>
          <w:rFonts w:ascii="Calibri" w:hAnsi="Calibri" w:cs="Calibri"/>
          <w:szCs w:val="20"/>
        </w:rPr>
        <w:t xml:space="preserve"> ger oftast inga symtom. I vissa fall föranleder kort tungband en nedsättning i tungans rörlighet vilket gör att barnet kan ha svårare för att sträcka fram sin tunga över nedre tandraden för att ta emot bröstet, skapa vakuum och bibehålla ett bra tag om bröstet. </w:t>
      </w:r>
    </w:p>
    <w:p w14:paraId="629F8B50" w14:textId="77777777" w:rsidR="00E432D0" w:rsidRPr="00E432D0" w:rsidRDefault="00E432D0" w:rsidP="00DF091B">
      <w:pPr>
        <w:spacing w:after="0" w:line="240" w:lineRule="auto"/>
        <w:ind w:right="0"/>
        <w:rPr>
          <w:rFonts w:ascii="Calibri" w:hAnsi="Calibri" w:cs="Calibri"/>
          <w:szCs w:val="20"/>
        </w:rPr>
      </w:pPr>
      <w:r w:rsidRPr="00E432D0">
        <w:rPr>
          <w:rFonts w:ascii="Calibri" w:hAnsi="Calibri" w:cs="Calibri"/>
          <w:szCs w:val="20"/>
        </w:rPr>
        <w:t xml:space="preserve">Kort tungband förekommer hos 4 – 11 % av nyfödda barn. Det kan vara ärftligt och förekommer oftare hos pojkar. </w:t>
      </w:r>
      <w:proofErr w:type="spellStart"/>
      <w:r w:rsidRPr="00E432D0">
        <w:rPr>
          <w:rFonts w:ascii="Calibri" w:hAnsi="Calibri" w:cs="Calibri"/>
          <w:szCs w:val="20"/>
        </w:rPr>
        <w:t>Frenotomi</w:t>
      </w:r>
      <w:proofErr w:type="spellEnd"/>
      <w:r w:rsidRPr="00E432D0">
        <w:rPr>
          <w:rFonts w:ascii="Calibri" w:hAnsi="Calibri" w:cs="Calibri"/>
          <w:szCs w:val="20"/>
        </w:rPr>
        <w:t xml:space="preserve"> (klippning av tungbandet) kan på kort sikt resultera i minskad smärta vid amning och en subjektiv upplevelse av en </w:t>
      </w:r>
      <w:proofErr w:type="gramStart"/>
      <w:r w:rsidRPr="00E432D0">
        <w:rPr>
          <w:rFonts w:ascii="Calibri" w:hAnsi="Calibri" w:cs="Calibri"/>
          <w:szCs w:val="20"/>
        </w:rPr>
        <w:t>överlag</w:t>
      </w:r>
      <w:proofErr w:type="gramEnd"/>
      <w:r w:rsidRPr="00E432D0">
        <w:rPr>
          <w:rFonts w:ascii="Calibri" w:hAnsi="Calibri" w:cs="Calibri"/>
          <w:szCs w:val="20"/>
        </w:rPr>
        <w:t xml:space="preserve"> förbättrad amningssituation. Det har dock inte kunnat bevisas någon signifikant positiv effekt på amning på längre sikt då det saknas objektiva och randomiserade studier. Det är viktigt att undvika överdiagnostik och behandling då det setts att enbart cirka 20 % av barn med kort tungband har amningssvårigheter. Efterfrågan på klippning av tungband har ökat i de flesta västerländska länder och många av de symtom som uppges kan vara resultat av för lite kunskap om barnets läge vid bröstet och vikten av ett optimalt bra tag. Amningstekniska orsaker till smärta och besvär vid amning eller nedsatt mjölkintag hos barnet ska alltid uteslutas innan tungbandet klipps. Ett konsekvent och beprövat bedömningsunderlag ska användas för att skatta tungans utseende och funktion. Om kort tungband inte är åtgärdat i spädbarnsåldern brukar dessa tungband delvis sträckas och förlängas av sig själva.</w:t>
      </w:r>
    </w:p>
    <w:p w14:paraId="1DB07825" w14:textId="77777777" w:rsidR="00E432D0" w:rsidRPr="00E432D0" w:rsidRDefault="00E432D0" w:rsidP="00DF091B">
      <w:pPr>
        <w:spacing w:after="0" w:line="240" w:lineRule="auto"/>
        <w:ind w:right="0"/>
        <w:rPr>
          <w:rFonts w:ascii="Calibri" w:hAnsi="Calibri" w:cs="Calibri"/>
          <w:szCs w:val="20"/>
        </w:rPr>
      </w:pPr>
    </w:p>
    <w:p w14:paraId="15FDF57E" w14:textId="77777777" w:rsidR="00E432D0" w:rsidRPr="00E432D0" w:rsidRDefault="00E432D0" w:rsidP="00DF091B">
      <w:pPr>
        <w:spacing w:after="0" w:line="240" w:lineRule="auto"/>
        <w:ind w:right="0"/>
        <w:rPr>
          <w:rFonts w:ascii="Calibri" w:hAnsi="Calibri" w:cs="Calibri"/>
          <w:szCs w:val="20"/>
        </w:rPr>
      </w:pPr>
      <w:r w:rsidRPr="00E432D0">
        <w:rPr>
          <w:rFonts w:ascii="Calibri" w:hAnsi="Calibri" w:cs="Calibri"/>
          <w:szCs w:val="20"/>
        </w:rPr>
        <w:lastRenderedPageBreak/>
        <w:t xml:space="preserve">Inga bevis finns för att kort tungband ger problem vid barnets språkutveckling och begränsad information finns om de problem som eventuellt kan vara vid artikulation senare i livet. Mycket kort tungband kan möjligtvis orsaka viss bettanomali, problem med oral hygien, sväljningssvårigheter eller nedsatt salivkontroll. </w:t>
      </w:r>
    </w:p>
    <w:p w14:paraId="7D5AD8EA" w14:textId="77777777" w:rsidR="00E432D0" w:rsidRPr="00E432D0" w:rsidRDefault="00E432D0" w:rsidP="00DF091B">
      <w:pPr>
        <w:pStyle w:val="Rubrik2"/>
      </w:pPr>
      <w:bookmarkStart w:id="3" w:name="_Toc501440350"/>
      <w:r w:rsidRPr="00E432D0">
        <w:t xml:space="preserve">Sammanfattning/syfte </w:t>
      </w:r>
      <w:bookmarkEnd w:id="3"/>
    </w:p>
    <w:p w14:paraId="2140901B" w14:textId="12ADDB81" w:rsidR="00E432D0" w:rsidRPr="00E432D0" w:rsidRDefault="00E432D0" w:rsidP="00DF091B">
      <w:pPr>
        <w:spacing w:after="0" w:line="240" w:lineRule="auto"/>
        <w:ind w:right="0"/>
        <w:rPr>
          <w:rFonts w:ascii="Calibri" w:hAnsi="Calibri" w:cs="Calibri"/>
          <w:szCs w:val="20"/>
        </w:rPr>
      </w:pPr>
      <w:r w:rsidRPr="00E432D0">
        <w:rPr>
          <w:rFonts w:ascii="Calibri" w:hAnsi="Calibri" w:cs="Calibri"/>
          <w:szCs w:val="20"/>
        </w:rPr>
        <w:t xml:space="preserve">Ett konsekvent tillvägagångssätt kan vara till hjälp för att båda minimera onödiga åtgärder samt upptäcka och åtgärda problem som kan leda till långvariga amnings-/matningsproblemen inom rimlig tid. Samverkan sker mellan Kvinno-/Barnkliniker, Öron-näsa-hals (ÖNH) och </w:t>
      </w:r>
      <w:proofErr w:type="spellStart"/>
      <w:r w:rsidRPr="00E432D0">
        <w:rPr>
          <w:rFonts w:ascii="Calibri" w:hAnsi="Calibri" w:cs="Calibri"/>
          <w:szCs w:val="20"/>
        </w:rPr>
        <w:t>Pedodonti</w:t>
      </w:r>
      <w:proofErr w:type="spellEnd"/>
      <w:r w:rsidRPr="00E432D0">
        <w:rPr>
          <w:rFonts w:ascii="Calibri" w:hAnsi="Calibri" w:cs="Calibri"/>
          <w:szCs w:val="20"/>
        </w:rPr>
        <w:t xml:space="preserve">. Målet är att ge bästa förutsättningar för amningsstart, förebygga bröstkomplikationer samt förekomma problem med matintaget och tillväxt hos barnet. </w:t>
      </w:r>
    </w:p>
    <w:p w14:paraId="44E52277" w14:textId="77777777" w:rsidR="00E432D0" w:rsidRPr="00E432D0" w:rsidRDefault="00E432D0" w:rsidP="00DF091B">
      <w:pPr>
        <w:pStyle w:val="Rubrik2"/>
      </w:pPr>
      <w:bookmarkStart w:id="4" w:name="_Toc501440351"/>
      <w:r w:rsidRPr="00E432D0">
        <w:t>Åtgärder</w:t>
      </w:r>
      <w:bookmarkEnd w:id="4"/>
    </w:p>
    <w:p w14:paraId="25681416" w14:textId="10075D8D" w:rsidR="00E432D0" w:rsidRPr="00E432D0" w:rsidRDefault="00E432D0" w:rsidP="00DF091B">
      <w:pPr>
        <w:spacing w:after="0" w:line="240" w:lineRule="auto"/>
        <w:ind w:right="0"/>
        <w:rPr>
          <w:rFonts w:ascii="Calibri" w:hAnsi="Calibri" w:cs="Calibri"/>
          <w:szCs w:val="20"/>
        </w:rPr>
      </w:pPr>
      <w:r w:rsidRPr="00E432D0">
        <w:rPr>
          <w:rFonts w:ascii="Calibri" w:hAnsi="Calibri" w:cs="Calibri"/>
          <w:szCs w:val="20"/>
        </w:rPr>
        <w:t>Ställningstagande till eventuellt kort tungband ska alltid föregås av noggrann amningsobservation, med fördel av en barnmorska eller sjuksköterska som har utökad erfarenhet av att utföra amningsobservation.</w:t>
      </w:r>
    </w:p>
    <w:p w14:paraId="24D75634" w14:textId="77777777" w:rsidR="00E432D0" w:rsidRPr="00E432D0" w:rsidRDefault="00E432D0" w:rsidP="00DF091B">
      <w:pPr>
        <w:pStyle w:val="MellanrubrikVGR"/>
      </w:pPr>
      <w:r w:rsidRPr="00E432D0">
        <w:t xml:space="preserve">Amningstecken på kort tungband </w:t>
      </w:r>
    </w:p>
    <w:p w14:paraId="7412C3EE" w14:textId="77777777" w:rsidR="00E432D0" w:rsidRPr="00E432D0" w:rsidRDefault="00E432D0" w:rsidP="00DF091B">
      <w:pPr>
        <w:spacing w:after="0" w:line="240" w:lineRule="auto"/>
        <w:ind w:right="0"/>
        <w:rPr>
          <w:rFonts w:ascii="Calibri" w:hAnsi="Calibri" w:cs="Calibri"/>
          <w:szCs w:val="20"/>
        </w:rPr>
      </w:pPr>
      <w:r w:rsidRPr="00E432D0">
        <w:rPr>
          <w:rFonts w:ascii="Calibri" w:hAnsi="Calibri" w:cs="Calibri"/>
          <w:szCs w:val="20"/>
        </w:rPr>
        <w:t>Mamman</w:t>
      </w:r>
    </w:p>
    <w:p w14:paraId="0EF386C3" w14:textId="77777777" w:rsidR="00E432D0" w:rsidRPr="00E432D0" w:rsidRDefault="00E432D0" w:rsidP="00DF091B">
      <w:pPr>
        <w:numPr>
          <w:ilvl w:val="0"/>
          <w:numId w:val="20"/>
        </w:numPr>
        <w:spacing w:after="0" w:line="240" w:lineRule="auto"/>
        <w:ind w:left="1352" w:right="0"/>
        <w:rPr>
          <w:rFonts w:ascii="Calibri" w:hAnsi="Calibri" w:cs="Calibri"/>
          <w:b/>
          <w:bCs/>
          <w:szCs w:val="20"/>
        </w:rPr>
      </w:pPr>
      <w:r w:rsidRPr="00E432D0">
        <w:rPr>
          <w:rFonts w:ascii="Calibri" w:hAnsi="Calibri" w:cs="Calibri"/>
          <w:szCs w:val="20"/>
        </w:rPr>
        <w:t xml:space="preserve">Smärtsam amning </w:t>
      </w:r>
    </w:p>
    <w:p w14:paraId="2F859FB6" w14:textId="77777777" w:rsidR="00E432D0" w:rsidRPr="00E432D0" w:rsidRDefault="00E432D0" w:rsidP="00DF091B">
      <w:pPr>
        <w:numPr>
          <w:ilvl w:val="0"/>
          <w:numId w:val="20"/>
        </w:numPr>
        <w:spacing w:after="0" w:line="240" w:lineRule="auto"/>
        <w:ind w:left="1352" w:right="0"/>
        <w:rPr>
          <w:rFonts w:ascii="Calibri" w:hAnsi="Calibri" w:cs="Calibri"/>
          <w:b/>
          <w:bCs/>
          <w:szCs w:val="20"/>
        </w:rPr>
      </w:pPr>
      <w:r w:rsidRPr="00E432D0">
        <w:rPr>
          <w:rFonts w:ascii="Calibri" w:hAnsi="Calibri" w:cs="Calibri"/>
          <w:szCs w:val="20"/>
        </w:rPr>
        <w:t xml:space="preserve">Bröstvårtan </w:t>
      </w:r>
      <w:proofErr w:type="spellStart"/>
      <w:r w:rsidRPr="00E432D0">
        <w:rPr>
          <w:rFonts w:ascii="Calibri" w:hAnsi="Calibri" w:cs="Calibri"/>
          <w:szCs w:val="20"/>
        </w:rPr>
        <w:t>ihopklämd</w:t>
      </w:r>
      <w:proofErr w:type="spellEnd"/>
      <w:r w:rsidRPr="00E432D0">
        <w:rPr>
          <w:rFonts w:ascii="Calibri" w:hAnsi="Calibri" w:cs="Calibri"/>
          <w:szCs w:val="20"/>
        </w:rPr>
        <w:t>, tillplattad eller vitnar efter amning och sårbildning</w:t>
      </w:r>
    </w:p>
    <w:p w14:paraId="344CDDCA" w14:textId="77777777" w:rsidR="00E432D0" w:rsidRPr="00E432D0" w:rsidRDefault="00E432D0" w:rsidP="00DF091B">
      <w:pPr>
        <w:numPr>
          <w:ilvl w:val="0"/>
          <w:numId w:val="20"/>
        </w:numPr>
        <w:spacing w:after="0" w:line="240" w:lineRule="auto"/>
        <w:ind w:left="1352" w:right="0"/>
        <w:rPr>
          <w:rFonts w:ascii="Calibri" w:hAnsi="Calibri" w:cs="Calibri"/>
          <w:bCs/>
          <w:szCs w:val="20"/>
        </w:rPr>
      </w:pPr>
      <w:r w:rsidRPr="00E432D0">
        <w:rPr>
          <w:rFonts w:ascii="Calibri" w:hAnsi="Calibri" w:cs="Calibri"/>
          <w:bCs/>
          <w:szCs w:val="20"/>
        </w:rPr>
        <w:t>Ineffektiv brösttömning och ökad risk för tilltäppta mjölkgångar/mjölkstockning</w:t>
      </w:r>
    </w:p>
    <w:p w14:paraId="03E54B9A" w14:textId="77777777" w:rsidR="00E432D0" w:rsidRPr="00E432D0" w:rsidRDefault="00E432D0" w:rsidP="00DF091B">
      <w:pPr>
        <w:numPr>
          <w:ilvl w:val="0"/>
          <w:numId w:val="20"/>
        </w:numPr>
        <w:spacing w:after="0" w:line="240" w:lineRule="auto"/>
        <w:ind w:left="1352" w:right="0"/>
        <w:rPr>
          <w:rFonts w:ascii="Calibri" w:hAnsi="Calibri" w:cs="Calibri"/>
          <w:bCs/>
          <w:szCs w:val="20"/>
        </w:rPr>
      </w:pPr>
      <w:r w:rsidRPr="00E432D0">
        <w:rPr>
          <w:rFonts w:ascii="Calibri" w:hAnsi="Calibri" w:cs="Calibri"/>
          <w:bCs/>
          <w:szCs w:val="20"/>
        </w:rPr>
        <w:t>Nedsatt mjölkproduktion</w:t>
      </w:r>
    </w:p>
    <w:p w14:paraId="0E9215C9" w14:textId="77777777" w:rsidR="00E432D0" w:rsidRPr="00E432D0" w:rsidRDefault="00E432D0" w:rsidP="00DF091B">
      <w:pPr>
        <w:spacing w:after="0" w:line="240" w:lineRule="auto"/>
        <w:ind w:right="0"/>
        <w:rPr>
          <w:rFonts w:ascii="Calibri" w:hAnsi="Calibri" w:cs="Calibri"/>
          <w:bCs/>
          <w:szCs w:val="20"/>
        </w:rPr>
      </w:pPr>
      <w:r w:rsidRPr="00E432D0">
        <w:rPr>
          <w:rFonts w:ascii="Calibri" w:hAnsi="Calibri" w:cs="Calibri"/>
          <w:bCs/>
          <w:szCs w:val="20"/>
        </w:rPr>
        <w:br/>
        <w:t>Barnet</w:t>
      </w:r>
    </w:p>
    <w:p w14:paraId="155A7466" w14:textId="77777777" w:rsidR="00E432D0" w:rsidRPr="00E432D0" w:rsidRDefault="00E432D0" w:rsidP="00DF091B">
      <w:pPr>
        <w:numPr>
          <w:ilvl w:val="0"/>
          <w:numId w:val="20"/>
        </w:numPr>
        <w:spacing w:after="0" w:line="240" w:lineRule="auto"/>
        <w:ind w:left="1352" w:right="0"/>
        <w:rPr>
          <w:rFonts w:ascii="Calibri" w:hAnsi="Calibri" w:cs="Calibri"/>
          <w:b/>
          <w:bCs/>
          <w:szCs w:val="20"/>
        </w:rPr>
      </w:pPr>
      <w:r w:rsidRPr="00E432D0">
        <w:rPr>
          <w:rFonts w:ascii="Calibri" w:hAnsi="Calibri" w:cs="Calibri"/>
          <w:szCs w:val="20"/>
        </w:rPr>
        <w:t>Barnet får inte tag om bröstet/oroligt vid bröstet/somnar lätt ifrån under amning</w:t>
      </w:r>
    </w:p>
    <w:p w14:paraId="4A301F42" w14:textId="77777777" w:rsidR="00E432D0" w:rsidRPr="00E432D0" w:rsidRDefault="00E432D0" w:rsidP="00DF091B">
      <w:pPr>
        <w:numPr>
          <w:ilvl w:val="0"/>
          <w:numId w:val="20"/>
        </w:numPr>
        <w:spacing w:after="0" w:line="240" w:lineRule="auto"/>
        <w:ind w:left="1352" w:right="0"/>
        <w:rPr>
          <w:rFonts w:ascii="Calibri" w:hAnsi="Calibri" w:cs="Calibri"/>
          <w:b/>
          <w:bCs/>
          <w:szCs w:val="20"/>
        </w:rPr>
      </w:pPr>
      <w:r w:rsidRPr="00E432D0">
        <w:rPr>
          <w:rFonts w:ascii="Calibri" w:hAnsi="Calibri" w:cs="Calibri"/>
          <w:szCs w:val="20"/>
        </w:rPr>
        <w:t>Vakuumsläpp och smackande ljud under amning/sugblåsor på överläppen</w:t>
      </w:r>
    </w:p>
    <w:p w14:paraId="332BF547" w14:textId="77777777" w:rsidR="00E432D0" w:rsidRPr="00E432D0" w:rsidRDefault="00E432D0" w:rsidP="00DF091B">
      <w:pPr>
        <w:numPr>
          <w:ilvl w:val="0"/>
          <w:numId w:val="20"/>
        </w:numPr>
        <w:spacing w:after="0" w:line="240" w:lineRule="auto"/>
        <w:ind w:left="1352" w:right="0"/>
        <w:rPr>
          <w:rFonts w:ascii="Calibri" w:hAnsi="Calibri" w:cs="Calibri"/>
          <w:bCs/>
          <w:szCs w:val="20"/>
        </w:rPr>
      </w:pPr>
      <w:r w:rsidRPr="00E432D0">
        <w:rPr>
          <w:rFonts w:ascii="Calibri" w:hAnsi="Calibri" w:cs="Calibri"/>
          <w:bCs/>
          <w:szCs w:val="20"/>
        </w:rPr>
        <w:t>Frekventa amningar, missnöjt barn, otillfredsställande viktutveckling</w:t>
      </w:r>
    </w:p>
    <w:p w14:paraId="5A8ECACF" w14:textId="708E0FFF" w:rsidR="00E432D0" w:rsidRPr="00DF091B" w:rsidRDefault="00E432D0" w:rsidP="00126D17">
      <w:pPr>
        <w:numPr>
          <w:ilvl w:val="0"/>
          <w:numId w:val="20"/>
        </w:numPr>
        <w:spacing w:after="0" w:line="240" w:lineRule="auto"/>
        <w:ind w:left="1352" w:right="0"/>
        <w:rPr>
          <w:rFonts w:ascii="Calibri" w:hAnsi="Calibri" w:cs="Calibri"/>
          <w:szCs w:val="20"/>
        </w:rPr>
      </w:pPr>
      <w:r w:rsidRPr="00DF091B">
        <w:rPr>
          <w:rFonts w:ascii="Calibri" w:hAnsi="Calibri" w:cs="Calibri"/>
          <w:bCs/>
          <w:szCs w:val="20"/>
        </w:rPr>
        <w:t>Stort luftintag vid bröstet, reflux-/kolikliknade symtom</w:t>
      </w:r>
    </w:p>
    <w:p w14:paraId="33074875" w14:textId="77777777" w:rsidR="00E432D0" w:rsidRPr="00E432D0" w:rsidRDefault="00E432D0" w:rsidP="00DF091B">
      <w:pPr>
        <w:pStyle w:val="MellanrubrikVGR"/>
      </w:pPr>
      <w:r w:rsidRPr="00E432D0">
        <w:t xml:space="preserve">Amningsstöd </w:t>
      </w:r>
    </w:p>
    <w:p w14:paraId="39738181" w14:textId="77777777" w:rsidR="00E432D0" w:rsidRPr="00E432D0" w:rsidRDefault="00E432D0" w:rsidP="00DF091B">
      <w:pPr>
        <w:numPr>
          <w:ilvl w:val="0"/>
          <w:numId w:val="21"/>
        </w:numPr>
        <w:spacing w:after="0" w:line="240" w:lineRule="auto"/>
        <w:ind w:left="1352" w:right="0"/>
        <w:rPr>
          <w:rFonts w:ascii="Calibri" w:hAnsi="Calibri" w:cs="Calibri"/>
          <w:szCs w:val="20"/>
        </w:rPr>
      </w:pPr>
      <w:r w:rsidRPr="00E432D0">
        <w:rPr>
          <w:rFonts w:ascii="Calibri" w:hAnsi="Calibri" w:cs="Calibri"/>
          <w:szCs w:val="20"/>
        </w:rPr>
        <w:t>Justering av amningsposition för att få till så optimalt bra tag som möjligt</w:t>
      </w:r>
    </w:p>
    <w:p w14:paraId="1F3BF2E7" w14:textId="77777777" w:rsidR="00E432D0" w:rsidRPr="00E432D0" w:rsidRDefault="00E432D0" w:rsidP="00DF091B">
      <w:pPr>
        <w:numPr>
          <w:ilvl w:val="0"/>
          <w:numId w:val="21"/>
        </w:numPr>
        <w:spacing w:after="0" w:line="240" w:lineRule="auto"/>
        <w:ind w:left="1352" w:right="0"/>
        <w:rPr>
          <w:rFonts w:ascii="Calibri" w:hAnsi="Calibri" w:cs="Calibri"/>
          <w:szCs w:val="20"/>
        </w:rPr>
      </w:pPr>
      <w:r w:rsidRPr="00E432D0">
        <w:rPr>
          <w:rFonts w:ascii="Calibri" w:hAnsi="Calibri" w:cs="Calibri"/>
          <w:szCs w:val="20"/>
        </w:rPr>
        <w:t>Vid behov av avlastning på grund av amningssmärta: handmjölkning/pumpning och matning av bröstmjölk</w:t>
      </w:r>
    </w:p>
    <w:p w14:paraId="59E254DE" w14:textId="77777777" w:rsidR="00E432D0" w:rsidRPr="00E432D0" w:rsidRDefault="00E432D0" w:rsidP="00DF091B">
      <w:pPr>
        <w:numPr>
          <w:ilvl w:val="0"/>
          <w:numId w:val="21"/>
        </w:numPr>
        <w:spacing w:after="0" w:line="240" w:lineRule="auto"/>
        <w:ind w:left="1352" w:right="0"/>
        <w:rPr>
          <w:rFonts w:ascii="Calibri" w:hAnsi="Calibri" w:cs="Calibri"/>
          <w:szCs w:val="20"/>
        </w:rPr>
      </w:pPr>
      <w:r w:rsidRPr="00E432D0">
        <w:rPr>
          <w:rFonts w:ascii="Calibri" w:hAnsi="Calibri" w:cs="Calibri"/>
          <w:szCs w:val="20"/>
        </w:rPr>
        <w:t>Undvik amningsnapp - dessa kan minska smärta under amning men är ingen hållbar lösning och kan komplicera symtombilden</w:t>
      </w:r>
    </w:p>
    <w:p w14:paraId="5ADEB764" w14:textId="77777777" w:rsidR="00E432D0" w:rsidRPr="00E432D0" w:rsidRDefault="00E432D0" w:rsidP="00DF091B">
      <w:pPr>
        <w:pStyle w:val="MellanrubrikVGR"/>
      </w:pPr>
      <w:r w:rsidRPr="00E432D0">
        <w:t>Bedömning av tungans utseende och funktion</w:t>
      </w:r>
    </w:p>
    <w:p w14:paraId="2D2E6300" w14:textId="77777777" w:rsidR="00E432D0" w:rsidRPr="00E432D0" w:rsidRDefault="00E432D0" w:rsidP="00DF091B">
      <w:pPr>
        <w:spacing w:after="0" w:line="240" w:lineRule="auto"/>
        <w:ind w:right="0"/>
        <w:rPr>
          <w:rFonts w:ascii="Calibri" w:hAnsi="Calibri" w:cs="Calibri"/>
          <w:szCs w:val="20"/>
        </w:rPr>
      </w:pPr>
      <w:r w:rsidRPr="00E432D0">
        <w:rPr>
          <w:rFonts w:ascii="Calibri" w:hAnsi="Calibri" w:cs="Calibri"/>
          <w:szCs w:val="20"/>
        </w:rPr>
        <w:t xml:space="preserve">Om fortsatt problem med amning trots ovanstående insatser ska tungbandets utseende och funktion bedömas. Ett bedömningsunderlag - Bristol </w:t>
      </w:r>
      <w:proofErr w:type="spellStart"/>
      <w:r w:rsidRPr="00E432D0">
        <w:rPr>
          <w:rFonts w:ascii="Calibri" w:hAnsi="Calibri" w:cs="Calibri"/>
          <w:szCs w:val="20"/>
        </w:rPr>
        <w:t>Tongue-tie</w:t>
      </w:r>
      <w:proofErr w:type="spellEnd"/>
      <w:r w:rsidRPr="00E432D0">
        <w:rPr>
          <w:rFonts w:ascii="Calibri" w:hAnsi="Calibri" w:cs="Calibri"/>
          <w:szCs w:val="20"/>
        </w:rPr>
        <w:t xml:space="preserve"> </w:t>
      </w:r>
      <w:proofErr w:type="spellStart"/>
      <w:r w:rsidRPr="00E432D0">
        <w:rPr>
          <w:rFonts w:ascii="Calibri" w:hAnsi="Calibri" w:cs="Calibri"/>
          <w:szCs w:val="20"/>
        </w:rPr>
        <w:lastRenderedPageBreak/>
        <w:t>Assessment</w:t>
      </w:r>
      <w:proofErr w:type="spellEnd"/>
      <w:r w:rsidRPr="00E432D0">
        <w:rPr>
          <w:rFonts w:ascii="Calibri" w:hAnsi="Calibri" w:cs="Calibri"/>
          <w:szCs w:val="20"/>
        </w:rPr>
        <w:t xml:space="preserve"> </w:t>
      </w:r>
      <w:proofErr w:type="spellStart"/>
      <w:r w:rsidRPr="00E432D0">
        <w:rPr>
          <w:rFonts w:ascii="Calibri" w:hAnsi="Calibri" w:cs="Calibri"/>
          <w:szCs w:val="20"/>
        </w:rPr>
        <w:t>Tool</w:t>
      </w:r>
      <w:proofErr w:type="spellEnd"/>
      <w:r w:rsidRPr="00E432D0">
        <w:rPr>
          <w:rFonts w:ascii="Calibri" w:hAnsi="Calibri" w:cs="Calibri"/>
          <w:szCs w:val="20"/>
        </w:rPr>
        <w:t xml:space="preserve"> (BTAT) används för att skatta funktion och utseende och identifiera barn som behöver </w:t>
      </w:r>
      <w:proofErr w:type="spellStart"/>
      <w:r w:rsidRPr="00E432D0">
        <w:rPr>
          <w:rFonts w:ascii="Calibri" w:hAnsi="Calibri" w:cs="Calibri"/>
          <w:szCs w:val="20"/>
        </w:rPr>
        <w:t>frenotomi</w:t>
      </w:r>
      <w:proofErr w:type="spellEnd"/>
      <w:r w:rsidRPr="00E432D0">
        <w:rPr>
          <w:rFonts w:ascii="Calibri" w:hAnsi="Calibri" w:cs="Calibri"/>
          <w:szCs w:val="20"/>
        </w:rPr>
        <w:t xml:space="preserve"> (se figur 1). </w:t>
      </w:r>
    </w:p>
    <w:p w14:paraId="6798D183" w14:textId="77777777" w:rsidR="00E432D0" w:rsidRPr="00E432D0" w:rsidRDefault="00E432D0" w:rsidP="00DF091B">
      <w:pPr>
        <w:spacing w:after="0" w:line="240" w:lineRule="auto"/>
        <w:ind w:right="0"/>
        <w:rPr>
          <w:rFonts w:ascii="Calibri" w:hAnsi="Calibri" w:cs="Calibri"/>
          <w:szCs w:val="20"/>
        </w:rPr>
      </w:pPr>
    </w:p>
    <w:p w14:paraId="6CAA789C" w14:textId="77777777" w:rsidR="00E432D0" w:rsidRPr="00E432D0" w:rsidRDefault="00E432D0" w:rsidP="00DF091B">
      <w:pPr>
        <w:spacing w:after="0" w:line="240" w:lineRule="auto"/>
        <w:ind w:right="0"/>
        <w:rPr>
          <w:rFonts w:ascii="Calibri" w:hAnsi="Calibri" w:cs="Calibri"/>
          <w:color w:val="FF0000"/>
          <w:szCs w:val="20"/>
        </w:rPr>
      </w:pPr>
      <w:r w:rsidRPr="00E432D0">
        <w:rPr>
          <w:rFonts w:ascii="Calibri" w:hAnsi="Calibri" w:cs="Calibri"/>
          <w:szCs w:val="20"/>
        </w:rPr>
        <w:t xml:space="preserve">Viktigt att notera att tunglyft är av betydelse för </w:t>
      </w:r>
      <w:proofErr w:type="spellStart"/>
      <w:r w:rsidRPr="00E432D0">
        <w:rPr>
          <w:rFonts w:ascii="Calibri" w:hAnsi="Calibri" w:cs="Calibri"/>
          <w:szCs w:val="20"/>
        </w:rPr>
        <w:t>amningsförmågan</w:t>
      </w:r>
      <w:proofErr w:type="spellEnd"/>
      <w:r w:rsidRPr="00E432D0">
        <w:rPr>
          <w:rFonts w:ascii="Calibri" w:hAnsi="Calibri" w:cs="Calibri"/>
          <w:szCs w:val="20"/>
        </w:rPr>
        <w:t>. Bedömning ska inte vila enbart på förmåga att sträcka fram tungan.</w:t>
      </w:r>
    </w:p>
    <w:p w14:paraId="201CFF54" w14:textId="77777777" w:rsidR="007A5AC1" w:rsidRPr="005561D8" w:rsidRDefault="007A5AC1" w:rsidP="00DF091B">
      <w:pPr>
        <w:spacing w:after="0" w:line="240" w:lineRule="auto"/>
        <w:ind w:right="0"/>
        <w:rPr>
          <w:rFonts w:ascii="Calibri" w:hAnsi="Calibri" w:cs="Calibri"/>
          <w:b/>
          <w:szCs w:val="20"/>
        </w:rPr>
      </w:pPr>
    </w:p>
    <w:p w14:paraId="123519C7" w14:textId="715334C9" w:rsidR="00E432D0" w:rsidRPr="00E432D0" w:rsidRDefault="00E432D0" w:rsidP="00DF091B">
      <w:pPr>
        <w:spacing w:after="0" w:line="240" w:lineRule="auto"/>
        <w:ind w:right="0"/>
        <w:rPr>
          <w:rFonts w:ascii="Calibri" w:hAnsi="Calibri" w:cs="Calibri"/>
          <w:b/>
          <w:szCs w:val="20"/>
          <w:lang w:val="en-US"/>
        </w:rPr>
      </w:pPr>
      <w:r w:rsidRPr="00E432D0">
        <w:rPr>
          <w:rFonts w:ascii="Calibri" w:hAnsi="Calibri" w:cs="Calibri"/>
          <w:b/>
          <w:szCs w:val="20"/>
          <w:lang w:val="en-US"/>
        </w:rPr>
        <w:t xml:space="preserve">Bristol Tongue Assessment Tool (BTAT) </w:t>
      </w:r>
      <w:r w:rsidRPr="00E432D0">
        <w:rPr>
          <w:rFonts w:ascii="Calibri" w:hAnsi="Calibri" w:cs="Calibri"/>
          <w:szCs w:val="20"/>
          <w:lang w:val="en-US"/>
        </w:rPr>
        <w:t>Ingram et al, 2015</w:t>
      </w:r>
    </w:p>
    <w:p w14:paraId="1A2AA14A" w14:textId="77777777" w:rsidR="00E432D0" w:rsidRPr="00E432D0" w:rsidRDefault="00E432D0" w:rsidP="00DF091B">
      <w:pPr>
        <w:spacing w:after="0" w:line="240" w:lineRule="auto"/>
        <w:ind w:right="0"/>
        <w:rPr>
          <w:rFonts w:ascii="Calibri" w:hAnsi="Calibri" w:cs="Calibri"/>
          <w:b/>
          <w:color w:val="FF0000"/>
          <w:szCs w:val="26"/>
          <w:lang w:val="en-US"/>
        </w:rPr>
      </w:pPr>
    </w:p>
    <w:tbl>
      <w:tblPr>
        <w:tblW w:w="9097" w:type="dxa"/>
        <w:tblInd w:w="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2127"/>
        <w:gridCol w:w="2409"/>
        <w:gridCol w:w="2014"/>
      </w:tblGrid>
      <w:tr w:rsidR="00E432D0" w:rsidRPr="00E432D0" w14:paraId="321CA63F" w14:textId="77777777" w:rsidTr="007A5AC1">
        <w:tc>
          <w:tcPr>
            <w:tcW w:w="2547" w:type="dxa"/>
            <w:shd w:val="clear" w:color="auto" w:fill="auto"/>
          </w:tcPr>
          <w:p w14:paraId="707A5DFC" w14:textId="77777777" w:rsidR="00E432D0" w:rsidRPr="00E432D0" w:rsidRDefault="00E432D0" w:rsidP="00E432D0">
            <w:pPr>
              <w:spacing w:after="0" w:line="240" w:lineRule="auto"/>
              <w:ind w:left="0" w:right="0"/>
              <w:rPr>
                <w:rFonts w:ascii="Calibri" w:hAnsi="Calibri" w:cs="Calibri"/>
                <w:szCs w:val="26"/>
                <w:lang w:val="en-US"/>
              </w:rPr>
            </w:pPr>
          </w:p>
        </w:tc>
        <w:tc>
          <w:tcPr>
            <w:tcW w:w="2127" w:type="dxa"/>
            <w:shd w:val="clear" w:color="auto" w:fill="auto"/>
          </w:tcPr>
          <w:p w14:paraId="21747F0A" w14:textId="77777777" w:rsidR="00E432D0" w:rsidRPr="00E432D0" w:rsidRDefault="00E432D0" w:rsidP="00E432D0">
            <w:pPr>
              <w:spacing w:after="0" w:line="240" w:lineRule="auto"/>
              <w:ind w:left="0" w:right="0"/>
              <w:rPr>
                <w:rFonts w:ascii="Calibri" w:hAnsi="Calibri" w:cs="Calibri"/>
                <w:b/>
                <w:szCs w:val="26"/>
              </w:rPr>
            </w:pPr>
            <w:r w:rsidRPr="00E432D0">
              <w:rPr>
                <w:rFonts w:ascii="Calibri" w:hAnsi="Calibri" w:cs="Calibri"/>
                <w:b/>
                <w:szCs w:val="26"/>
              </w:rPr>
              <w:t>0</w:t>
            </w:r>
          </w:p>
        </w:tc>
        <w:tc>
          <w:tcPr>
            <w:tcW w:w="2409" w:type="dxa"/>
            <w:shd w:val="clear" w:color="auto" w:fill="auto"/>
          </w:tcPr>
          <w:p w14:paraId="0D3A6B18" w14:textId="77777777" w:rsidR="00E432D0" w:rsidRPr="00E432D0" w:rsidRDefault="00E432D0" w:rsidP="00E432D0">
            <w:pPr>
              <w:spacing w:after="0" w:line="240" w:lineRule="auto"/>
              <w:ind w:left="0" w:right="0"/>
              <w:rPr>
                <w:rFonts w:ascii="Calibri" w:hAnsi="Calibri" w:cs="Calibri"/>
                <w:b/>
                <w:szCs w:val="26"/>
              </w:rPr>
            </w:pPr>
            <w:r w:rsidRPr="00E432D0">
              <w:rPr>
                <w:rFonts w:ascii="Calibri" w:hAnsi="Calibri" w:cs="Calibri"/>
                <w:b/>
                <w:szCs w:val="26"/>
              </w:rPr>
              <w:t>1</w:t>
            </w:r>
          </w:p>
        </w:tc>
        <w:tc>
          <w:tcPr>
            <w:tcW w:w="2014" w:type="dxa"/>
            <w:shd w:val="clear" w:color="auto" w:fill="auto"/>
          </w:tcPr>
          <w:p w14:paraId="152B1DA3" w14:textId="77777777" w:rsidR="00E432D0" w:rsidRPr="00E432D0" w:rsidRDefault="00E432D0" w:rsidP="00E432D0">
            <w:pPr>
              <w:spacing w:after="0" w:line="240" w:lineRule="auto"/>
              <w:ind w:left="0" w:right="0"/>
              <w:rPr>
                <w:rFonts w:ascii="Calibri" w:hAnsi="Calibri" w:cs="Calibri"/>
                <w:b/>
                <w:szCs w:val="26"/>
              </w:rPr>
            </w:pPr>
            <w:r w:rsidRPr="00E432D0">
              <w:rPr>
                <w:rFonts w:ascii="Calibri" w:hAnsi="Calibri" w:cs="Calibri"/>
                <w:b/>
                <w:szCs w:val="26"/>
              </w:rPr>
              <w:t>2</w:t>
            </w:r>
          </w:p>
        </w:tc>
      </w:tr>
      <w:tr w:rsidR="00E432D0" w:rsidRPr="00E432D0" w14:paraId="1371042D" w14:textId="77777777" w:rsidTr="007A5AC1">
        <w:tc>
          <w:tcPr>
            <w:tcW w:w="2547" w:type="dxa"/>
            <w:shd w:val="clear" w:color="auto" w:fill="auto"/>
          </w:tcPr>
          <w:p w14:paraId="102282ED" w14:textId="77777777" w:rsidR="00E432D0" w:rsidRPr="00E432D0" w:rsidRDefault="00E432D0" w:rsidP="00E432D0">
            <w:pPr>
              <w:spacing w:after="0" w:line="240" w:lineRule="auto"/>
              <w:ind w:left="0" w:right="0"/>
              <w:rPr>
                <w:rFonts w:ascii="Calibri" w:hAnsi="Calibri" w:cs="Calibri"/>
                <w:szCs w:val="26"/>
              </w:rPr>
            </w:pPr>
            <w:r w:rsidRPr="00E432D0">
              <w:rPr>
                <w:rFonts w:ascii="Calibri" w:hAnsi="Calibri" w:cs="Calibri"/>
                <w:szCs w:val="26"/>
              </w:rPr>
              <w:t>Tungspets utseende</w:t>
            </w:r>
          </w:p>
        </w:tc>
        <w:tc>
          <w:tcPr>
            <w:tcW w:w="2127" w:type="dxa"/>
            <w:shd w:val="clear" w:color="auto" w:fill="auto"/>
          </w:tcPr>
          <w:p w14:paraId="17056EE1" w14:textId="77777777" w:rsidR="00E432D0" w:rsidRPr="00E432D0" w:rsidRDefault="00E432D0" w:rsidP="00E432D0">
            <w:pPr>
              <w:spacing w:after="0" w:line="240" w:lineRule="auto"/>
              <w:ind w:left="0" w:right="0"/>
              <w:rPr>
                <w:rFonts w:ascii="Calibri" w:hAnsi="Calibri" w:cs="Calibri"/>
                <w:szCs w:val="26"/>
              </w:rPr>
            </w:pPr>
            <w:r w:rsidRPr="00E432D0">
              <w:rPr>
                <w:rFonts w:ascii="Calibri" w:hAnsi="Calibri" w:cs="Calibri"/>
                <w:szCs w:val="26"/>
              </w:rPr>
              <w:t>Hjärtformad</w:t>
            </w:r>
          </w:p>
        </w:tc>
        <w:tc>
          <w:tcPr>
            <w:tcW w:w="2409" w:type="dxa"/>
            <w:shd w:val="clear" w:color="auto" w:fill="auto"/>
          </w:tcPr>
          <w:p w14:paraId="467B6ABB" w14:textId="77777777" w:rsidR="00E432D0" w:rsidRPr="00E432D0" w:rsidRDefault="00E432D0" w:rsidP="00E432D0">
            <w:pPr>
              <w:spacing w:after="0" w:line="240" w:lineRule="auto"/>
              <w:ind w:left="0" w:right="0"/>
              <w:rPr>
                <w:rFonts w:ascii="Calibri" w:hAnsi="Calibri" w:cs="Calibri"/>
                <w:szCs w:val="26"/>
              </w:rPr>
            </w:pPr>
            <w:r w:rsidRPr="00E432D0">
              <w:rPr>
                <w:rFonts w:ascii="Calibri" w:hAnsi="Calibri" w:cs="Calibri"/>
                <w:szCs w:val="26"/>
              </w:rPr>
              <w:t>Lätt klyfta/skåra eller fyrkantig</w:t>
            </w:r>
          </w:p>
        </w:tc>
        <w:tc>
          <w:tcPr>
            <w:tcW w:w="2014" w:type="dxa"/>
            <w:shd w:val="clear" w:color="auto" w:fill="auto"/>
          </w:tcPr>
          <w:p w14:paraId="07BA5C3B" w14:textId="77777777" w:rsidR="00E432D0" w:rsidRPr="00E432D0" w:rsidRDefault="00E432D0" w:rsidP="00E432D0">
            <w:pPr>
              <w:spacing w:after="0" w:line="240" w:lineRule="auto"/>
              <w:ind w:left="0" w:right="0"/>
              <w:rPr>
                <w:rFonts w:ascii="Calibri" w:hAnsi="Calibri" w:cs="Calibri"/>
                <w:szCs w:val="26"/>
              </w:rPr>
            </w:pPr>
            <w:r w:rsidRPr="00E432D0">
              <w:rPr>
                <w:rFonts w:ascii="Calibri" w:hAnsi="Calibri" w:cs="Calibri"/>
                <w:szCs w:val="26"/>
              </w:rPr>
              <w:t>Rund</w:t>
            </w:r>
          </w:p>
        </w:tc>
      </w:tr>
      <w:tr w:rsidR="00E432D0" w:rsidRPr="00E432D0" w14:paraId="38E2BCEF" w14:textId="77777777" w:rsidTr="007A5AC1">
        <w:tc>
          <w:tcPr>
            <w:tcW w:w="2547" w:type="dxa"/>
            <w:shd w:val="clear" w:color="auto" w:fill="auto"/>
          </w:tcPr>
          <w:p w14:paraId="71B9E36C" w14:textId="77777777" w:rsidR="00E432D0" w:rsidRPr="00E432D0" w:rsidRDefault="00E432D0" w:rsidP="00E432D0">
            <w:pPr>
              <w:spacing w:after="0" w:line="240" w:lineRule="auto"/>
              <w:ind w:left="0" w:right="0"/>
              <w:rPr>
                <w:rFonts w:ascii="Calibri" w:hAnsi="Calibri" w:cs="Calibri"/>
                <w:szCs w:val="26"/>
              </w:rPr>
            </w:pPr>
            <w:proofErr w:type="spellStart"/>
            <w:r w:rsidRPr="00E432D0">
              <w:rPr>
                <w:rFonts w:ascii="Calibri" w:hAnsi="Calibri" w:cs="Calibri"/>
                <w:szCs w:val="26"/>
              </w:rPr>
              <w:t>Frenulums</w:t>
            </w:r>
            <w:proofErr w:type="spellEnd"/>
            <w:r w:rsidRPr="00E432D0">
              <w:rPr>
                <w:rFonts w:ascii="Calibri" w:hAnsi="Calibri" w:cs="Calibri"/>
                <w:szCs w:val="26"/>
              </w:rPr>
              <w:t xml:space="preserve"> fäste vid tandrad</w:t>
            </w:r>
          </w:p>
        </w:tc>
        <w:tc>
          <w:tcPr>
            <w:tcW w:w="2127" w:type="dxa"/>
            <w:shd w:val="clear" w:color="auto" w:fill="auto"/>
          </w:tcPr>
          <w:p w14:paraId="0356A577" w14:textId="77777777" w:rsidR="00E432D0" w:rsidRPr="00E432D0" w:rsidRDefault="00E432D0" w:rsidP="00E432D0">
            <w:pPr>
              <w:spacing w:after="0" w:line="240" w:lineRule="auto"/>
              <w:ind w:left="0" w:right="0"/>
              <w:rPr>
                <w:rFonts w:ascii="Calibri" w:hAnsi="Calibri" w:cs="Calibri"/>
                <w:szCs w:val="26"/>
              </w:rPr>
            </w:pPr>
            <w:r w:rsidRPr="00E432D0">
              <w:rPr>
                <w:rFonts w:ascii="Calibri" w:hAnsi="Calibri" w:cs="Calibri"/>
                <w:szCs w:val="26"/>
              </w:rPr>
              <w:t>Fäste i toppen av tandraden</w:t>
            </w:r>
          </w:p>
        </w:tc>
        <w:tc>
          <w:tcPr>
            <w:tcW w:w="2409" w:type="dxa"/>
            <w:shd w:val="clear" w:color="auto" w:fill="auto"/>
          </w:tcPr>
          <w:p w14:paraId="2E168A31" w14:textId="77777777" w:rsidR="00E432D0" w:rsidRPr="00E432D0" w:rsidRDefault="00E432D0" w:rsidP="00E432D0">
            <w:pPr>
              <w:spacing w:after="0" w:line="240" w:lineRule="auto"/>
              <w:ind w:left="0" w:right="0"/>
              <w:rPr>
                <w:rFonts w:ascii="Calibri" w:hAnsi="Calibri" w:cs="Calibri"/>
                <w:szCs w:val="26"/>
              </w:rPr>
            </w:pPr>
            <w:r w:rsidRPr="00E432D0">
              <w:rPr>
                <w:rFonts w:ascii="Calibri" w:hAnsi="Calibri" w:cs="Calibri"/>
                <w:szCs w:val="26"/>
              </w:rPr>
              <w:t>Fäste vid inre del av tandraden</w:t>
            </w:r>
          </w:p>
        </w:tc>
        <w:tc>
          <w:tcPr>
            <w:tcW w:w="2014" w:type="dxa"/>
            <w:shd w:val="clear" w:color="auto" w:fill="auto"/>
          </w:tcPr>
          <w:p w14:paraId="31C049FA" w14:textId="77777777" w:rsidR="00E432D0" w:rsidRPr="00E432D0" w:rsidRDefault="00E432D0" w:rsidP="00E432D0">
            <w:pPr>
              <w:spacing w:after="0" w:line="240" w:lineRule="auto"/>
              <w:ind w:left="0" w:right="0"/>
              <w:rPr>
                <w:rFonts w:ascii="Calibri" w:hAnsi="Calibri" w:cs="Calibri"/>
                <w:szCs w:val="26"/>
              </w:rPr>
            </w:pPr>
            <w:r w:rsidRPr="00E432D0">
              <w:rPr>
                <w:rFonts w:ascii="Calibri" w:hAnsi="Calibri" w:cs="Calibri"/>
                <w:szCs w:val="26"/>
              </w:rPr>
              <w:t>Fäste i munbotten</w:t>
            </w:r>
          </w:p>
        </w:tc>
      </w:tr>
      <w:tr w:rsidR="00E432D0" w:rsidRPr="00E432D0" w14:paraId="58960960" w14:textId="77777777" w:rsidTr="007A5AC1">
        <w:tc>
          <w:tcPr>
            <w:tcW w:w="2547" w:type="dxa"/>
            <w:shd w:val="clear" w:color="auto" w:fill="auto"/>
          </w:tcPr>
          <w:p w14:paraId="6D76F0BE" w14:textId="77777777" w:rsidR="00E432D0" w:rsidRPr="00E432D0" w:rsidRDefault="00E432D0" w:rsidP="00E432D0">
            <w:pPr>
              <w:spacing w:after="0" w:line="240" w:lineRule="auto"/>
              <w:ind w:left="0" w:right="0"/>
              <w:rPr>
                <w:rFonts w:ascii="Calibri" w:hAnsi="Calibri" w:cs="Calibri"/>
                <w:szCs w:val="26"/>
              </w:rPr>
            </w:pPr>
            <w:r w:rsidRPr="00E432D0">
              <w:rPr>
                <w:rFonts w:ascii="Calibri" w:hAnsi="Calibri" w:cs="Calibri"/>
                <w:szCs w:val="26"/>
              </w:rPr>
              <w:t>Tunglyft vid öppen mun (vid gråt)</w:t>
            </w:r>
          </w:p>
        </w:tc>
        <w:tc>
          <w:tcPr>
            <w:tcW w:w="2127" w:type="dxa"/>
            <w:shd w:val="clear" w:color="auto" w:fill="auto"/>
          </w:tcPr>
          <w:p w14:paraId="06FE93A6" w14:textId="77777777" w:rsidR="00E432D0" w:rsidRPr="00E432D0" w:rsidRDefault="00E432D0" w:rsidP="00E432D0">
            <w:pPr>
              <w:spacing w:after="0" w:line="240" w:lineRule="auto"/>
              <w:ind w:left="0" w:right="0"/>
              <w:rPr>
                <w:rFonts w:ascii="Calibri" w:hAnsi="Calibri" w:cs="Calibri"/>
                <w:szCs w:val="26"/>
              </w:rPr>
            </w:pPr>
            <w:r w:rsidRPr="00E432D0">
              <w:rPr>
                <w:rFonts w:ascii="Calibri" w:hAnsi="Calibri" w:cs="Calibri"/>
                <w:szCs w:val="26"/>
              </w:rPr>
              <w:t>Minimal tunglyft</w:t>
            </w:r>
          </w:p>
        </w:tc>
        <w:tc>
          <w:tcPr>
            <w:tcW w:w="2409" w:type="dxa"/>
            <w:shd w:val="clear" w:color="auto" w:fill="auto"/>
          </w:tcPr>
          <w:p w14:paraId="6F730D0F" w14:textId="77777777" w:rsidR="00E432D0" w:rsidRPr="00E432D0" w:rsidRDefault="00E432D0" w:rsidP="00E432D0">
            <w:pPr>
              <w:spacing w:after="0" w:line="240" w:lineRule="auto"/>
              <w:ind w:left="0" w:right="0"/>
              <w:rPr>
                <w:rFonts w:ascii="Calibri" w:hAnsi="Calibri" w:cs="Calibri"/>
                <w:szCs w:val="26"/>
              </w:rPr>
            </w:pPr>
            <w:r w:rsidRPr="00E432D0">
              <w:rPr>
                <w:rFonts w:ascii="Calibri" w:hAnsi="Calibri" w:cs="Calibri"/>
                <w:szCs w:val="26"/>
              </w:rPr>
              <w:t>Enbart kanter till mitten av munnen</w:t>
            </w:r>
          </w:p>
        </w:tc>
        <w:tc>
          <w:tcPr>
            <w:tcW w:w="2014" w:type="dxa"/>
            <w:shd w:val="clear" w:color="auto" w:fill="auto"/>
          </w:tcPr>
          <w:p w14:paraId="2BC8FCC6" w14:textId="77777777" w:rsidR="00E432D0" w:rsidRPr="00E432D0" w:rsidRDefault="00E432D0" w:rsidP="00E432D0">
            <w:pPr>
              <w:spacing w:after="0" w:line="240" w:lineRule="auto"/>
              <w:ind w:left="0" w:right="0"/>
              <w:rPr>
                <w:rFonts w:ascii="Calibri" w:hAnsi="Calibri" w:cs="Calibri"/>
                <w:szCs w:val="26"/>
              </w:rPr>
            </w:pPr>
            <w:r w:rsidRPr="00E432D0">
              <w:rPr>
                <w:rFonts w:ascii="Calibri" w:hAnsi="Calibri" w:cs="Calibri"/>
                <w:szCs w:val="26"/>
              </w:rPr>
              <w:t>Komplett tunglyft till mitten av munnen</w:t>
            </w:r>
          </w:p>
        </w:tc>
      </w:tr>
      <w:tr w:rsidR="00E432D0" w:rsidRPr="00E432D0" w14:paraId="1F2FC330" w14:textId="77777777" w:rsidTr="007A5AC1">
        <w:tc>
          <w:tcPr>
            <w:tcW w:w="2547" w:type="dxa"/>
            <w:shd w:val="clear" w:color="auto" w:fill="auto"/>
          </w:tcPr>
          <w:p w14:paraId="0EF292BA" w14:textId="77777777" w:rsidR="00E432D0" w:rsidRPr="00E432D0" w:rsidRDefault="00E432D0" w:rsidP="00E432D0">
            <w:pPr>
              <w:spacing w:after="0" w:line="240" w:lineRule="auto"/>
              <w:ind w:left="0" w:right="0"/>
              <w:rPr>
                <w:rFonts w:ascii="Calibri" w:hAnsi="Calibri" w:cs="Calibri"/>
                <w:szCs w:val="26"/>
              </w:rPr>
            </w:pPr>
            <w:r w:rsidRPr="00E432D0">
              <w:rPr>
                <w:rFonts w:ascii="Calibri" w:hAnsi="Calibri" w:cs="Calibri"/>
                <w:szCs w:val="26"/>
              </w:rPr>
              <w:t>Tungans utsträckning</w:t>
            </w:r>
          </w:p>
          <w:p w14:paraId="0AF39DCD" w14:textId="77777777" w:rsidR="00E432D0" w:rsidRPr="00E432D0" w:rsidRDefault="00E432D0" w:rsidP="00E432D0">
            <w:pPr>
              <w:spacing w:after="0" w:line="240" w:lineRule="auto"/>
              <w:ind w:left="0" w:right="0"/>
              <w:rPr>
                <w:rFonts w:ascii="Calibri" w:hAnsi="Calibri" w:cs="Calibri"/>
                <w:szCs w:val="26"/>
              </w:rPr>
            </w:pPr>
          </w:p>
        </w:tc>
        <w:tc>
          <w:tcPr>
            <w:tcW w:w="2127" w:type="dxa"/>
            <w:shd w:val="clear" w:color="auto" w:fill="auto"/>
          </w:tcPr>
          <w:p w14:paraId="3EF965BD" w14:textId="77777777" w:rsidR="00E432D0" w:rsidRPr="00E432D0" w:rsidRDefault="00E432D0" w:rsidP="00E432D0">
            <w:pPr>
              <w:spacing w:after="0" w:line="240" w:lineRule="auto"/>
              <w:ind w:left="0" w:right="0"/>
              <w:rPr>
                <w:rFonts w:ascii="Calibri" w:hAnsi="Calibri" w:cs="Calibri"/>
                <w:szCs w:val="26"/>
              </w:rPr>
            </w:pPr>
            <w:r w:rsidRPr="00E432D0">
              <w:rPr>
                <w:rFonts w:ascii="Calibri" w:hAnsi="Calibri" w:cs="Calibri"/>
                <w:szCs w:val="26"/>
              </w:rPr>
              <w:t>Spetsen stannar bakom tandraden</w:t>
            </w:r>
          </w:p>
        </w:tc>
        <w:tc>
          <w:tcPr>
            <w:tcW w:w="2409" w:type="dxa"/>
            <w:shd w:val="clear" w:color="auto" w:fill="auto"/>
          </w:tcPr>
          <w:p w14:paraId="00C0DA35" w14:textId="77777777" w:rsidR="00E432D0" w:rsidRPr="00E432D0" w:rsidRDefault="00E432D0" w:rsidP="00E432D0">
            <w:pPr>
              <w:spacing w:after="0" w:line="240" w:lineRule="auto"/>
              <w:ind w:left="0" w:right="0"/>
              <w:rPr>
                <w:rFonts w:ascii="Calibri" w:hAnsi="Calibri" w:cs="Calibri"/>
                <w:szCs w:val="26"/>
              </w:rPr>
            </w:pPr>
            <w:r w:rsidRPr="00E432D0">
              <w:rPr>
                <w:rFonts w:ascii="Calibri" w:hAnsi="Calibri" w:cs="Calibri"/>
                <w:szCs w:val="26"/>
              </w:rPr>
              <w:t>Spetsen över tandraden</w:t>
            </w:r>
          </w:p>
        </w:tc>
        <w:tc>
          <w:tcPr>
            <w:tcW w:w="2014" w:type="dxa"/>
            <w:shd w:val="clear" w:color="auto" w:fill="auto"/>
          </w:tcPr>
          <w:p w14:paraId="017FCEDE" w14:textId="77777777" w:rsidR="00E432D0" w:rsidRPr="00E432D0" w:rsidRDefault="00E432D0" w:rsidP="00E432D0">
            <w:pPr>
              <w:spacing w:after="0" w:line="240" w:lineRule="auto"/>
              <w:ind w:left="0" w:right="0"/>
              <w:rPr>
                <w:rFonts w:ascii="Calibri" w:hAnsi="Calibri" w:cs="Calibri"/>
                <w:szCs w:val="26"/>
              </w:rPr>
            </w:pPr>
            <w:r w:rsidRPr="00E432D0">
              <w:rPr>
                <w:rFonts w:ascii="Calibri" w:hAnsi="Calibri" w:cs="Calibri"/>
                <w:szCs w:val="26"/>
              </w:rPr>
              <w:t>Spetsen över underläppen</w:t>
            </w:r>
          </w:p>
        </w:tc>
      </w:tr>
    </w:tbl>
    <w:p w14:paraId="2DE0641E" w14:textId="77777777" w:rsidR="00BC1CE8" w:rsidRDefault="00E432D0" w:rsidP="00BC1CE8">
      <w:pPr>
        <w:spacing w:after="0" w:line="240" w:lineRule="auto"/>
        <w:ind w:right="0"/>
        <w:rPr>
          <w:rFonts w:ascii="Calibri" w:hAnsi="Calibri" w:cs="Calibri"/>
          <w:szCs w:val="26"/>
        </w:rPr>
      </w:pPr>
      <w:r w:rsidRPr="00E432D0">
        <w:rPr>
          <w:rFonts w:ascii="Calibri" w:hAnsi="Calibri" w:cs="Calibri"/>
          <w:szCs w:val="26"/>
        </w:rPr>
        <w:tab/>
        <w:t>5 - 8 = normal funktion</w:t>
      </w:r>
    </w:p>
    <w:p w14:paraId="6E16665A" w14:textId="77777777" w:rsidR="00BC1CE8" w:rsidRDefault="00BC1CE8" w:rsidP="00BC1CE8">
      <w:pPr>
        <w:spacing w:after="0" w:line="240" w:lineRule="auto"/>
        <w:ind w:right="0"/>
        <w:rPr>
          <w:rFonts w:ascii="Calibri" w:hAnsi="Calibri" w:cs="Calibri"/>
          <w:szCs w:val="26"/>
        </w:rPr>
      </w:pPr>
      <w:r>
        <w:rPr>
          <w:rFonts w:ascii="Calibri" w:hAnsi="Calibri" w:cs="Calibri"/>
          <w:szCs w:val="26"/>
        </w:rPr>
        <w:tab/>
      </w:r>
      <w:r w:rsidR="00E432D0" w:rsidRPr="00E432D0">
        <w:rPr>
          <w:rFonts w:ascii="Calibri" w:hAnsi="Calibri" w:cs="Calibri"/>
          <w:szCs w:val="26"/>
        </w:rPr>
        <w:t>≤4 = nedsatt funktion</w:t>
      </w:r>
    </w:p>
    <w:p w14:paraId="69C58A8A" w14:textId="6C618D98" w:rsidR="00E432D0" w:rsidRPr="00BC1CE8" w:rsidRDefault="00BC1CE8" w:rsidP="00BC1CE8">
      <w:pPr>
        <w:spacing w:after="0" w:line="240" w:lineRule="auto"/>
        <w:ind w:right="0"/>
        <w:rPr>
          <w:rFonts w:ascii="Calibri" w:hAnsi="Calibri" w:cs="Calibri"/>
          <w:szCs w:val="26"/>
        </w:rPr>
      </w:pPr>
      <w:r>
        <w:rPr>
          <w:rFonts w:ascii="Calibri" w:hAnsi="Calibri" w:cs="Calibri"/>
          <w:szCs w:val="26"/>
        </w:rPr>
        <w:tab/>
      </w:r>
      <w:r w:rsidR="00E432D0" w:rsidRPr="00E432D0">
        <w:rPr>
          <w:rFonts w:ascii="Calibri" w:hAnsi="Calibri" w:cs="Calibri"/>
          <w:szCs w:val="26"/>
        </w:rPr>
        <w:t>&lt;3 = kraftigt nedsatt funktion</w:t>
      </w:r>
    </w:p>
    <w:p w14:paraId="5A60BDA4" w14:textId="77777777" w:rsidR="00E432D0" w:rsidRPr="00E432D0" w:rsidRDefault="00E432D0" w:rsidP="00BC1CE8">
      <w:pPr>
        <w:pStyle w:val="MellanrubrikVGR"/>
      </w:pPr>
      <w:r w:rsidRPr="00E432D0">
        <w:t xml:space="preserve">Klinisk åtgärd </w:t>
      </w:r>
    </w:p>
    <w:p w14:paraId="4C581525" w14:textId="77777777" w:rsidR="00E432D0" w:rsidRPr="00E432D0" w:rsidRDefault="00E432D0" w:rsidP="00DF091B">
      <w:pPr>
        <w:spacing w:after="0" w:line="240" w:lineRule="auto"/>
        <w:ind w:right="0"/>
        <w:rPr>
          <w:rFonts w:ascii="Calibri" w:hAnsi="Calibri" w:cs="Calibri"/>
          <w:szCs w:val="20"/>
        </w:rPr>
      </w:pPr>
      <w:bookmarkStart w:id="5" w:name="_Hlk95812561"/>
      <w:r w:rsidRPr="00E432D0">
        <w:rPr>
          <w:rFonts w:ascii="Calibri" w:hAnsi="Calibri" w:cs="Calibri"/>
          <w:szCs w:val="20"/>
        </w:rPr>
        <w:t xml:space="preserve">Vidare bedömning och eventuell </w:t>
      </w:r>
      <w:proofErr w:type="spellStart"/>
      <w:r w:rsidRPr="00E432D0">
        <w:rPr>
          <w:rFonts w:ascii="Calibri" w:hAnsi="Calibri" w:cs="Calibri"/>
          <w:szCs w:val="20"/>
        </w:rPr>
        <w:t>frenotomi</w:t>
      </w:r>
      <w:proofErr w:type="spellEnd"/>
      <w:r w:rsidRPr="00E432D0">
        <w:rPr>
          <w:rFonts w:ascii="Calibri" w:hAnsi="Calibri" w:cs="Calibri"/>
          <w:szCs w:val="20"/>
        </w:rPr>
        <w:t xml:space="preserve"> utförs av ÖNH läkare.</w:t>
      </w:r>
    </w:p>
    <w:bookmarkEnd w:id="5"/>
    <w:p w14:paraId="6A2FFABD" w14:textId="77777777" w:rsidR="00E432D0" w:rsidRPr="00E432D0" w:rsidRDefault="00E432D0" w:rsidP="00DF091B">
      <w:pPr>
        <w:spacing w:after="0" w:line="240" w:lineRule="auto"/>
        <w:ind w:right="0"/>
        <w:rPr>
          <w:rFonts w:ascii="Calibri" w:hAnsi="Calibri" w:cs="Calibri"/>
          <w:szCs w:val="20"/>
        </w:rPr>
      </w:pPr>
      <w:r w:rsidRPr="00E432D0">
        <w:rPr>
          <w:rFonts w:ascii="Calibri" w:hAnsi="Calibri" w:cs="Calibri"/>
          <w:b/>
          <w:szCs w:val="20"/>
        </w:rPr>
        <w:t>BTAT ≤4</w:t>
      </w:r>
      <w:r w:rsidRPr="00E432D0">
        <w:rPr>
          <w:rFonts w:ascii="Calibri" w:hAnsi="Calibri" w:cs="Calibri"/>
          <w:szCs w:val="20"/>
        </w:rPr>
        <w:t xml:space="preserve"> är en indikation för remiss till ÖNH.</w:t>
      </w:r>
    </w:p>
    <w:p w14:paraId="4DB31DBE" w14:textId="77777777" w:rsidR="00E432D0" w:rsidRPr="00E432D0" w:rsidRDefault="00E432D0" w:rsidP="00DF091B">
      <w:pPr>
        <w:spacing w:after="0" w:line="240" w:lineRule="auto"/>
        <w:ind w:right="0"/>
        <w:rPr>
          <w:rFonts w:ascii="Calibri" w:hAnsi="Calibri" w:cs="Calibri"/>
          <w:szCs w:val="20"/>
        </w:rPr>
      </w:pPr>
    </w:p>
    <w:p w14:paraId="6B88F03E" w14:textId="77777777" w:rsidR="00E432D0" w:rsidRPr="00E432D0" w:rsidRDefault="00E432D0" w:rsidP="00DF091B">
      <w:pPr>
        <w:spacing w:after="0" w:line="240" w:lineRule="auto"/>
        <w:ind w:right="0"/>
        <w:rPr>
          <w:rFonts w:ascii="Calibri" w:hAnsi="Calibri" w:cs="Calibri"/>
          <w:szCs w:val="20"/>
        </w:rPr>
      </w:pPr>
      <w:r w:rsidRPr="00E432D0">
        <w:rPr>
          <w:rFonts w:ascii="Calibri" w:hAnsi="Calibri" w:cs="Calibri"/>
          <w:szCs w:val="20"/>
        </w:rPr>
        <w:t xml:space="preserve">Standardremiss, finns i barnets journal i </w:t>
      </w:r>
      <w:proofErr w:type="spellStart"/>
      <w:r w:rsidRPr="00E432D0">
        <w:rPr>
          <w:rFonts w:ascii="Calibri" w:hAnsi="Calibri" w:cs="Calibri"/>
          <w:szCs w:val="20"/>
        </w:rPr>
        <w:t>Melior</w:t>
      </w:r>
      <w:proofErr w:type="spellEnd"/>
      <w:r w:rsidRPr="00E432D0">
        <w:rPr>
          <w:rFonts w:ascii="Calibri" w:hAnsi="Calibri" w:cs="Calibri"/>
          <w:szCs w:val="20"/>
        </w:rPr>
        <w:t xml:space="preserve"> och fylls i av bedömande barnläkare eller barnmorska på BB-/Amningsmottagning, faxas. </w:t>
      </w:r>
    </w:p>
    <w:p w14:paraId="7F755BC7" w14:textId="77777777" w:rsidR="00E432D0" w:rsidRPr="00E432D0" w:rsidRDefault="00E432D0" w:rsidP="00DF091B">
      <w:pPr>
        <w:spacing w:after="0" w:line="240" w:lineRule="auto"/>
        <w:ind w:right="0"/>
        <w:rPr>
          <w:rFonts w:ascii="Calibri" w:hAnsi="Calibri" w:cs="Calibri"/>
          <w:szCs w:val="20"/>
        </w:rPr>
      </w:pPr>
    </w:p>
    <w:p w14:paraId="544ED8CD" w14:textId="77777777" w:rsidR="00E432D0" w:rsidRPr="00E432D0" w:rsidRDefault="00E432D0" w:rsidP="00DF091B">
      <w:pPr>
        <w:spacing w:after="0" w:line="240" w:lineRule="auto"/>
        <w:ind w:right="0"/>
        <w:rPr>
          <w:rFonts w:ascii="Calibri" w:hAnsi="Calibri" w:cs="Calibri"/>
          <w:szCs w:val="20"/>
        </w:rPr>
      </w:pPr>
      <w:r w:rsidRPr="00E432D0">
        <w:rPr>
          <w:rFonts w:ascii="Calibri" w:hAnsi="Calibri" w:cs="Calibri"/>
          <w:b/>
          <w:szCs w:val="20"/>
        </w:rPr>
        <w:t>Barn mindre än 48 timmar</w:t>
      </w:r>
      <w:r w:rsidRPr="00E432D0">
        <w:rPr>
          <w:rFonts w:ascii="Calibri" w:hAnsi="Calibri" w:cs="Calibri"/>
          <w:b/>
          <w:szCs w:val="20"/>
        </w:rPr>
        <w:br/>
      </w:r>
      <w:r w:rsidRPr="00E432D0">
        <w:rPr>
          <w:rFonts w:ascii="Calibri" w:hAnsi="Calibri" w:cs="Calibri"/>
          <w:szCs w:val="20"/>
        </w:rPr>
        <w:t>Vid denna tidpunkt har amningstecken på kort tungband inte alltid hunnit visa sig. Viktigt att ha en generös inställning till klippning utifrån bedömning enligt BTAT.</w:t>
      </w:r>
    </w:p>
    <w:p w14:paraId="6FE025E2" w14:textId="77777777" w:rsidR="00E432D0" w:rsidRPr="00E432D0" w:rsidRDefault="00E432D0" w:rsidP="00DF091B">
      <w:pPr>
        <w:spacing w:after="0" w:line="240" w:lineRule="auto"/>
        <w:ind w:right="0"/>
        <w:rPr>
          <w:rFonts w:ascii="Calibri" w:hAnsi="Calibri" w:cs="Calibri"/>
          <w:szCs w:val="20"/>
        </w:rPr>
      </w:pPr>
      <w:r w:rsidRPr="00E432D0">
        <w:rPr>
          <w:rFonts w:ascii="Calibri" w:hAnsi="Calibri" w:cs="Calibri"/>
          <w:szCs w:val="20"/>
        </w:rPr>
        <w:t xml:space="preserve">Vid osäkerhet eller gränsfall vid hemgång från BB ska familjen få en tid på BB/-Amningsmottagningen för en ny bedömning inom 1 – 3 dagar. </w:t>
      </w:r>
    </w:p>
    <w:p w14:paraId="051A4125" w14:textId="77777777" w:rsidR="00E432D0" w:rsidRPr="00E432D0" w:rsidRDefault="00E432D0" w:rsidP="00DF091B">
      <w:pPr>
        <w:spacing w:after="0" w:line="240" w:lineRule="auto"/>
        <w:ind w:right="0"/>
        <w:rPr>
          <w:rFonts w:ascii="Calibri" w:hAnsi="Calibri" w:cs="Calibri"/>
          <w:szCs w:val="20"/>
        </w:rPr>
      </w:pPr>
    </w:p>
    <w:p w14:paraId="5B41ED99" w14:textId="77777777" w:rsidR="00E432D0" w:rsidRPr="00E432D0" w:rsidRDefault="00E432D0" w:rsidP="00DF091B">
      <w:pPr>
        <w:spacing w:after="0" w:line="240" w:lineRule="auto"/>
        <w:ind w:right="0"/>
        <w:rPr>
          <w:rFonts w:ascii="Calibri" w:hAnsi="Calibri" w:cs="Calibri"/>
          <w:szCs w:val="20"/>
        </w:rPr>
      </w:pPr>
      <w:r w:rsidRPr="00E432D0">
        <w:rPr>
          <w:rFonts w:ascii="Calibri" w:hAnsi="Calibri" w:cs="Calibri"/>
          <w:b/>
          <w:szCs w:val="20"/>
        </w:rPr>
        <w:t>Barn ≥ 48 timmar</w:t>
      </w:r>
      <w:r w:rsidRPr="00E432D0">
        <w:rPr>
          <w:rFonts w:ascii="Calibri" w:hAnsi="Calibri" w:cs="Calibri"/>
          <w:b/>
          <w:szCs w:val="20"/>
        </w:rPr>
        <w:br/>
      </w:r>
      <w:r w:rsidRPr="00E432D0">
        <w:rPr>
          <w:rFonts w:ascii="Calibri" w:hAnsi="Calibri" w:cs="Calibri"/>
          <w:bCs/>
          <w:szCs w:val="20"/>
        </w:rPr>
        <w:t>Amningstecken på kort tungband har oftast blivit märkbara</w:t>
      </w:r>
      <w:r w:rsidRPr="00E432D0">
        <w:rPr>
          <w:rFonts w:ascii="Calibri" w:hAnsi="Calibri" w:cs="Calibri"/>
          <w:szCs w:val="20"/>
        </w:rPr>
        <w:t xml:space="preserve">. </w:t>
      </w:r>
    </w:p>
    <w:p w14:paraId="0B44F987" w14:textId="77777777" w:rsidR="00E432D0" w:rsidRPr="00E432D0" w:rsidRDefault="00E432D0" w:rsidP="00DF091B">
      <w:pPr>
        <w:spacing w:after="0" w:line="240" w:lineRule="auto"/>
        <w:ind w:right="0"/>
        <w:rPr>
          <w:rFonts w:ascii="Calibri" w:hAnsi="Calibri" w:cs="Calibri"/>
          <w:szCs w:val="20"/>
        </w:rPr>
      </w:pPr>
      <w:r w:rsidRPr="00E432D0">
        <w:rPr>
          <w:rFonts w:ascii="Calibri" w:hAnsi="Calibri" w:cs="Calibri"/>
          <w:szCs w:val="20"/>
        </w:rPr>
        <w:t>Amningsobservation ska utföras för att utesluta amningstekniska orsaker samt stödja mamman att hitta en hållbar amnings-/matningssituation i väntan på vidare bedömning på ÖNH.</w:t>
      </w:r>
    </w:p>
    <w:p w14:paraId="70255594" w14:textId="77777777" w:rsidR="00E432D0" w:rsidRPr="00E432D0" w:rsidRDefault="00E432D0" w:rsidP="00DF091B">
      <w:pPr>
        <w:spacing w:after="0" w:line="240" w:lineRule="auto"/>
        <w:ind w:right="0"/>
        <w:rPr>
          <w:rFonts w:ascii="Calibri" w:hAnsi="Calibri" w:cs="Calibri"/>
          <w:strike/>
          <w:color w:val="FF0000"/>
          <w:szCs w:val="20"/>
        </w:rPr>
      </w:pPr>
    </w:p>
    <w:p w14:paraId="63510F0B" w14:textId="77777777" w:rsidR="00E432D0" w:rsidRPr="00E432D0" w:rsidRDefault="00E432D0" w:rsidP="00DF091B">
      <w:pPr>
        <w:spacing w:after="0" w:line="240" w:lineRule="auto"/>
        <w:ind w:right="0"/>
        <w:rPr>
          <w:rFonts w:ascii="Calibri" w:hAnsi="Calibri" w:cs="Calibri"/>
          <w:szCs w:val="20"/>
        </w:rPr>
      </w:pPr>
      <w:r w:rsidRPr="00E432D0">
        <w:rPr>
          <w:rFonts w:ascii="Calibri" w:hAnsi="Calibri" w:cs="Calibri"/>
          <w:szCs w:val="20"/>
        </w:rPr>
        <w:t xml:space="preserve">Så kallat kort bakre tungband är idag ett mycket omtvistat begrepp, de flesta ÖNH-läkare menar att det inte finns någon uppdelning i främre och bakre tungband. Om tecken på kort tungband finns och tungbandet ligger gömt under slemhinnan i munbotten, ska barnet remitteras till ÖNH för bedömning. Detta är inte möjligt på jourtid. </w:t>
      </w:r>
      <w:proofErr w:type="spellStart"/>
      <w:r w:rsidRPr="00E432D0">
        <w:rPr>
          <w:rFonts w:ascii="Calibri" w:hAnsi="Calibri" w:cs="Calibri"/>
          <w:szCs w:val="20"/>
        </w:rPr>
        <w:t>Pedodonti</w:t>
      </w:r>
      <w:proofErr w:type="spellEnd"/>
      <w:r w:rsidRPr="00E432D0">
        <w:rPr>
          <w:rFonts w:ascii="Calibri" w:hAnsi="Calibri" w:cs="Calibri"/>
          <w:szCs w:val="20"/>
        </w:rPr>
        <w:t xml:space="preserve"> remitterar också bakre tungband till ÖNH.</w:t>
      </w:r>
    </w:p>
    <w:p w14:paraId="37BAF1A3" w14:textId="77777777" w:rsidR="00E432D0" w:rsidRPr="00E432D0" w:rsidRDefault="00E432D0" w:rsidP="00DF091B">
      <w:pPr>
        <w:spacing w:after="0" w:line="240" w:lineRule="auto"/>
        <w:ind w:right="0"/>
        <w:rPr>
          <w:rFonts w:ascii="Calibri" w:hAnsi="Calibri" w:cs="Calibri"/>
          <w:szCs w:val="20"/>
        </w:rPr>
      </w:pPr>
    </w:p>
    <w:p w14:paraId="19D4CF7C" w14:textId="77777777" w:rsidR="00E432D0" w:rsidRPr="00E432D0" w:rsidRDefault="00E432D0" w:rsidP="00DF091B">
      <w:pPr>
        <w:spacing w:after="0" w:line="240" w:lineRule="auto"/>
        <w:ind w:right="0"/>
        <w:rPr>
          <w:rFonts w:ascii="Calibri" w:hAnsi="Calibri" w:cs="Calibri"/>
          <w:szCs w:val="20"/>
        </w:rPr>
      </w:pPr>
      <w:r w:rsidRPr="00E432D0">
        <w:rPr>
          <w:rFonts w:ascii="Calibri" w:hAnsi="Calibri" w:cs="Calibri"/>
          <w:szCs w:val="20"/>
        </w:rPr>
        <w:t xml:space="preserve">På jourtid, undvik att tillkalla bakjour </w:t>
      </w:r>
      <w:proofErr w:type="spellStart"/>
      <w:r w:rsidRPr="00E432D0">
        <w:rPr>
          <w:rFonts w:ascii="Calibri" w:hAnsi="Calibri" w:cs="Calibri"/>
          <w:szCs w:val="20"/>
        </w:rPr>
        <w:t>neonatolog</w:t>
      </w:r>
      <w:proofErr w:type="spellEnd"/>
      <w:r w:rsidRPr="00E432D0">
        <w:rPr>
          <w:rFonts w:ascii="Calibri" w:hAnsi="Calibri" w:cs="Calibri"/>
          <w:szCs w:val="20"/>
        </w:rPr>
        <w:t>. Om ÖNH-jour är i huset dagtid helger (beredskapsjour i hemmet) kan de tillfrågas om hjälp i mån av tid, framför allt om mamma/barn har lång resväg. Annars remisshantering i samband med uppföljning via BB-/Amningsmottagningen</w:t>
      </w:r>
    </w:p>
    <w:p w14:paraId="113F91E8" w14:textId="77777777" w:rsidR="00E432D0" w:rsidRPr="00E432D0" w:rsidRDefault="00E432D0" w:rsidP="00BC1CE8">
      <w:pPr>
        <w:pStyle w:val="MellanrubrikVGR"/>
      </w:pPr>
      <w:r w:rsidRPr="00E432D0">
        <w:rPr>
          <w:iCs/>
          <w:szCs w:val="26"/>
        </w:rPr>
        <w:t>Uppf</w:t>
      </w:r>
      <w:r w:rsidRPr="00E432D0">
        <w:t xml:space="preserve">öljning </w:t>
      </w:r>
    </w:p>
    <w:p w14:paraId="4ECD1B9D" w14:textId="4E47EFCD" w:rsidR="00E432D0" w:rsidRPr="00E432D0" w:rsidRDefault="00E432D0" w:rsidP="00DF091B">
      <w:pPr>
        <w:spacing w:after="0" w:line="240" w:lineRule="auto"/>
        <w:ind w:right="0"/>
        <w:rPr>
          <w:rFonts w:ascii="Calibri" w:hAnsi="Calibri" w:cs="Calibri"/>
        </w:rPr>
      </w:pPr>
      <w:r w:rsidRPr="00E432D0">
        <w:rPr>
          <w:rFonts w:ascii="Calibri" w:hAnsi="Calibri" w:cs="Calibri"/>
        </w:rPr>
        <w:t xml:space="preserve">Många rapporterar en snabb och markant förbättring i barnets amning efter klippning av tungbandet. Amningen kan upplevas mindre smärtsam och barnet nöjdare. Däremot sker inte alltid en förbättring omedelbart. Vissa barn måste lära sig att suga ordentligt och såriga bröstvårtor behöver tid att läka. Täta besök på Barnavårdscentral (BVC) för amningsstöd och viktkontroll är att rekommendera tills amningsproblemen har löst sig. </w:t>
      </w:r>
    </w:p>
    <w:p w14:paraId="2DA947ED" w14:textId="77777777" w:rsidR="00E432D0" w:rsidRPr="00E432D0" w:rsidRDefault="00E432D0" w:rsidP="00DF091B">
      <w:pPr>
        <w:spacing w:after="0" w:line="240" w:lineRule="auto"/>
        <w:ind w:right="0"/>
        <w:rPr>
          <w:rFonts w:ascii="Calibri" w:hAnsi="Calibri" w:cs="Calibri"/>
          <w:b/>
        </w:rPr>
      </w:pPr>
      <w:r w:rsidRPr="00E432D0">
        <w:rPr>
          <w:rFonts w:ascii="Calibri" w:hAnsi="Calibri" w:cs="Calibri"/>
          <w:b/>
        </w:rPr>
        <w:t>Vid utebliven effekt och fortsatta problem relaterade till nutrition ska logoped kopplas in för en bedömning bland annat för att utesluta andra oralmotoriska svårigheter och för att följa upp barnet på lång sikt.</w:t>
      </w:r>
    </w:p>
    <w:p w14:paraId="0032BC11" w14:textId="77777777" w:rsidR="00E432D0" w:rsidRPr="00E432D0" w:rsidRDefault="00E432D0" w:rsidP="00DF091B">
      <w:pPr>
        <w:shd w:val="clear" w:color="auto" w:fill="FFFFFF"/>
        <w:spacing w:after="360" w:line="240" w:lineRule="auto"/>
        <w:ind w:right="0"/>
        <w:rPr>
          <w:rFonts w:ascii="Calibri" w:hAnsi="Calibri" w:cs="Calibri"/>
          <w:b/>
        </w:rPr>
      </w:pPr>
    </w:p>
    <w:p w14:paraId="35659219" w14:textId="49B275A3" w:rsidR="00E432D0" w:rsidRPr="00E432D0" w:rsidRDefault="00E432D0" w:rsidP="00BC1CE8">
      <w:pPr>
        <w:pStyle w:val="Rubrik3"/>
        <w:rPr>
          <w:rFonts w:ascii="Calibri" w:hAnsi="Calibri" w:cs="Calibri"/>
          <w:sz w:val="22"/>
          <w:szCs w:val="22"/>
          <w:lang w:val="en-US"/>
        </w:rPr>
      </w:pPr>
      <w:proofErr w:type="spellStart"/>
      <w:r w:rsidRPr="002C1948">
        <w:rPr>
          <w:lang w:val="en-GB"/>
        </w:rPr>
        <w:t>Referenser</w:t>
      </w:r>
      <w:proofErr w:type="spellEnd"/>
      <w:r w:rsidRPr="00E432D0">
        <w:rPr>
          <w:rFonts w:ascii="Calibri" w:hAnsi="Calibri" w:cs="Calibri"/>
          <w:b/>
          <w:lang w:val="en-US"/>
        </w:rPr>
        <w:br/>
      </w:r>
      <w:r w:rsidRPr="00E432D0">
        <w:rPr>
          <w:rFonts w:ascii="Calibri" w:hAnsi="Calibri" w:cs="Calibri"/>
          <w:sz w:val="22"/>
          <w:szCs w:val="22"/>
          <w:lang w:val="en-US"/>
        </w:rPr>
        <w:t xml:space="preserve">Bronwyn Dixon, Juliet Gray, Nikki Elliot, Brett Shand, Adrienne Lynn, A multifaceted </w:t>
      </w:r>
      <w:proofErr w:type="spellStart"/>
      <w:r w:rsidRPr="00E432D0">
        <w:rPr>
          <w:rFonts w:ascii="Calibri" w:hAnsi="Calibri" w:cs="Calibri"/>
          <w:sz w:val="22"/>
          <w:szCs w:val="22"/>
          <w:lang w:val="en-US"/>
        </w:rPr>
        <w:t>programme</w:t>
      </w:r>
      <w:proofErr w:type="spellEnd"/>
      <w:r w:rsidRPr="00E432D0">
        <w:rPr>
          <w:rFonts w:ascii="Calibri" w:hAnsi="Calibri" w:cs="Calibri"/>
          <w:sz w:val="22"/>
          <w:szCs w:val="22"/>
          <w:lang w:val="en-US"/>
        </w:rPr>
        <w:t xml:space="preserve"> to reduce the rate of tongue-tie release surgery in newborn infants: Observational study, International Journal of Pediatric Otorhinolaryngology, Volume 113 (2018): 156-163. </w:t>
      </w:r>
      <w:hyperlink r:id="rId17" w:history="1">
        <w:r w:rsidRPr="00E432D0">
          <w:rPr>
            <w:rFonts w:ascii="Calibri" w:hAnsi="Calibri" w:cs="Calibri"/>
            <w:color w:val="0000FF"/>
            <w:sz w:val="22"/>
            <w:szCs w:val="22"/>
            <w:u w:val="single"/>
            <w:lang w:val="en-US"/>
          </w:rPr>
          <w:t>https://doi.org/10.1016/j.ijporl.2018.07.045</w:t>
        </w:r>
      </w:hyperlink>
      <w:r w:rsidRPr="00E432D0">
        <w:rPr>
          <w:rFonts w:ascii="Calibri" w:hAnsi="Calibri" w:cs="Calibri"/>
          <w:sz w:val="22"/>
          <w:szCs w:val="22"/>
          <w:lang w:val="en-US"/>
        </w:rPr>
        <w:t>.</w:t>
      </w:r>
    </w:p>
    <w:p w14:paraId="14A28C39" w14:textId="77777777" w:rsidR="00E432D0" w:rsidRPr="00E432D0" w:rsidRDefault="00E432D0" w:rsidP="00DF091B">
      <w:pPr>
        <w:spacing w:after="0" w:line="240" w:lineRule="auto"/>
        <w:ind w:right="0"/>
        <w:rPr>
          <w:rFonts w:ascii="Calibri" w:hAnsi="Calibri" w:cs="Calibri"/>
          <w:sz w:val="22"/>
          <w:szCs w:val="22"/>
          <w:lang w:val="en-GB"/>
        </w:rPr>
      </w:pPr>
      <w:r w:rsidRPr="00E432D0">
        <w:rPr>
          <w:rFonts w:ascii="Calibri" w:hAnsi="Calibri" w:cs="Calibri"/>
          <w:sz w:val="22"/>
          <w:szCs w:val="22"/>
          <w:lang w:val="en-GB"/>
        </w:rPr>
        <w:t xml:space="preserve">CADTH 2016, Canadian Agency for Drugs and Technologies in Health. </w:t>
      </w:r>
      <w:r w:rsidRPr="00E432D0">
        <w:rPr>
          <w:rFonts w:ascii="Calibri" w:hAnsi="Calibri" w:cs="Calibri"/>
          <w:i/>
          <w:sz w:val="22"/>
          <w:szCs w:val="22"/>
          <w:lang w:val="en-GB"/>
        </w:rPr>
        <w:t>Frenectomy for the correction of ankyloglossia: a review of clinical effectiveness and guidelines</w:t>
      </w:r>
      <w:r w:rsidRPr="00E432D0">
        <w:rPr>
          <w:rFonts w:ascii="Calibri" w:hAnsi="Calibri" w:cs="Calibri"/>
          <w:sz w:val="22"/>
          <w:szCs w:val="22"/>
          <w:lang w:val="en-GB"/>
        </w:rPr>
        <w:t xml:space="preserve">. </w:t>
      </w:r>
      <w:hyperlink r:id="rId18" w:history="1">
        <w:r w:rsidRPr="002C1948">
          <w:rPr>
            <w:rFonts w:ascii="Calibri" w:hAnsi="Calibri" w:cs="Calibri"/>
            <w:color w:val="0000FF"/>
            <w:sz w:val="22"/>
            <w:szCs w:val="22"/>
            <w:u w:val="single"/>
          </w:rPr>
          <w:t>http://www.cadth.ca/frenectomy-correction-ankyloglossia-review-clinical-effectiveness-and-guidelines</w:t>
        </w:r>
      </w:hyperlink>
      <w:r w:rsidRPr="002C1948">
        <w:rPr>
          <w:rFonts w:ascii="Calibri" w:hAnsi="Calibri" w:cs="Calibri"/>
          <w:sz w:val="22"/>
          <w:szCs w:val="22"/>
        </w:rPr>
        <w:t xml:space="preserve">. </w:t>
      </w:r>
      <w:r w:rsidRPr="00E432D0">
        <w:rPr>
          <w:rFonts w:ascii="Calibri" w:hAnsi="Calibri" w:cs="Calibri"/>
          <w:sz w:val="22"/>
          <w:szCs w:val="22"/>
          <w:lang w:val="en-GB"/>
        </w:rPr>
        <w:t>(accessed 5</w:t>
      </w:r>
      <w:r w:rsidRPr="00E432D0">
        <w:rPr>
          <w:rFonts w:ascii="Calibri" w:hAnsi="Calibri" w:cs="Calibri"/>
          <w:sz w:val="22"/>
          <w:szCs w:val="22"/>
          <w:vertAlign w:val="superscript"/>
          <w:lang w:val="en-GB"/>
        </w:rPr>
        <w:t>th</w:t>
      </w:r>
      <w:r w:rsidRPr="00E432D0">
        <w:rPr>
          <w:rFonts w:ascii="Calibri" w:hAnsi="Calibri" w:cs="Calibri"/>
          <w:sz w:val="22"/>
          <w:szCs w:val="22"/>
          <w:lang w:val="en-GB"/>
        </w:rPr>
        <w:t xml:space="preserve"> November 2018): RC0785-000.</w:t>
      </w:r>
    </w:p>
    <w:p w14:paraId="3AEA1EFB" w14:textId="77777777" w:rsidR="00E432D0" w:rsidRPr="00E432D0" w:rsidRDefault="00E432D0" w:rsidP="00DF091B">
      <w:pPr>
        <w:spacing w:after="0" w:line="240" w:lineRule="auto"/>
        <w:ind w:right="0"/>
        <w:rPr>
          <w:rFonts w:ascii="Calibri" w:hAnsi="Calibri" w:cs="Calibri"/>
          <w:b/>
          <w:sz w:val="22"/>
          <w:szCs w:val="22"/>
          <w:lang w:val="en-GB"/>
        </w:rPr>
      </w:pPr>
    </w:p>
    <w:p w14:paraId="42B34678" w14:textId="77777777" w:rsidR="00E432D0" w:rsidRPr="00E432D0" w:rsidRDefault="00E432D0" w:rsidP="00DF091B">
      <w:pPr>
        <w:shd w:val="clear" w:color="auto" w:fill="FFFFFF"/>
        <w:spacing w:after="360" w:line="240" w:lineRule="auto"/>
        <w:ind w:right="0"/>
        <w:rPr>
          <w:rFonts w:ascii="Calibri" w:hAnsi="Calibri" w:cs="Calibri"/>
          <w:sz w:val="22"/>
          <w:szCs w:val="22"/>
          <w:lang w:val="en-US"/>
        </w:rPr>
      </w:pPr>
      <w:r w:rsidRPr="00E432D0">
        <w:rPr>
          <w:rFonts w:ascii="Calibri" w:hAnsi="Calibri" w:cs="Calibri"/>
          <w:sz w:val="22"/>
          <w:szCs w:val="22"/>
          <w:lang w:val="en-US"/>
        </w:rPr>
        <w:t xml:space="preserve">Edmunds, Janet, Sandra Miles, and Paul Fulbrook. </w:t>
      </w:r>
      <w:proofErr w:type="gramStart"/>
      <w:r w:rsidRPr="00E432D0">
        <w:rPr>
          <w:rFonts w:ascii="Calibri" w:hAnsi="Calibri" w:cs="Calibri"/>
          <w:sz w:val="22"/>
          <w:szCs w:val="22"/>
          <w:lang w:val="en-US"/>
        </w:rPr>
        <w:t>”Tongue</w:t>
      </w:r>
      <w:proofErr w:type="gramEnd"/>
      <w:r w:rsidRPr="00E432D0">
        <w:rPr>
          <w:rFonts w:ascii="Calibri" w:hAnsi="Calibri" w:cs="Calibri"/>
          <w:sz w:val="22"/>
          <w:szCs w:val="22"/>
          <w:lang w:val="en-US"/>
        </w:rPr>
        <w:t>-tie and breastfeeding: a review of the literature.” Breastfeeding review 19, no. 1 (2011): 19. </w:t>
      </w:r>
      <w:hyperlink r:id="rId19" w:history="1">
        <w:r w:rsidRPr="00E432D0">
          <w:rPr>
            <w:rFonts w:ascii="Calibri" w:hAnsi="Calibri" w:cs="Calibri"/>
            <w:color w:val="0000FF"/>
            <w:sz w:val="22"/>
            <w:szCs w:val="22"/>
            <w:u w:val="single"/>
            <w:lang w:val="en-US"/>
          </w:rPr>
          <w:t>https://www.ncbi.nlm.nih.gov/pubmed/21608523</w:t>
        </w:r>
      </w:hyperlink>
    </w:p>
    <w:p w14:paraId="72A347C7" w14:textId="77777777" w:rsidR="00E432D0" w:rsidRPr="00E432D0" w:rsidRDefault="00E432D0" w:rsidP="00DF091B">
      <w:pPr>
        <w:shd w:val="clear" w:color="auto" w:fill="FFFFFF"/>
        <w:spacing w:after="360" w:line="240" w:lineRule="auto"/>
        <w:ind w:right="0"/>
        <w:rPr>
          <w:rFonts w:ascii="Calibri" w:hAnsi="Calibri" w:cs="Calibri"/>
          <w:sz w:val="22"/>
          <w:szCs w:val="22"/>
          <w:lang w:val="en-US"/>
        </w:rPr>
      </w:pPr>
      <w:r w:rsidRPr="00E432D0">
        <w:rPr>
          <w:rFonts w:ascii="Calibri" w:hAnsi="Calibri" w:cs="Calibri"/>
          <w:sz w:val="22"/>
          <w:szCs w:val="22"/>
          <w:lang w:val="en-US"/>
        </w:rPr>
        <w:t xml:space="preserve">Geddes, Donna T., Diana B. Langton, Ian </w:t>
      </w:r>
      <w:proofErr w:type="spellStart"/>
      <w:r w:rsidRPr="00E432D0">
        <w:rPr>
          <w:rFonts w:ascii="Calibri" w:hAnsi="Calibri" w:cs="Calibri"/>
          <w:sz w:val="22"/>
          <w:szCs w:val="22"/>
          <w:lang w:val="en-US"/>
        </w:rPr>
        <w:t>Gollow</w:t>
      </w:r>
      <w:proofErr w:type="spellEnd"/>
      <w:r w:rsidRPr="00E432D0">
        <w:rPr>
          <w:rFonts w:ascii="Calibri" w:hAnsi="Calibri" w:cs="Calibri"/>
          <w:sz w:val="22"/>
          <w:szCs w:val="22"/>
          <w:lang w:val="en-US"/>
        </w:rPr>
        <w:t xml:space="preserve">, </w:t>
      </w:r>
      <w:proofErr w:type="spellStart"/>
      <w:r w:rsidRPr="00E432D0">
        <w:rPr>
          <w:rFonts w:ascii="Calibri" w:hAnsi="Calibri" w:cs="Calibri"/>
          <w:sz w:val="22"/>
          <w:szCs w:val="22"/>
          <w:lang w:val="en-US"/>
        </w:rPr>
        <w:t>Lorili</w:t>
      </w:r>
      <w:proofErr w:type="spellEnd"/>
      <w:r w:rsidRPr="00E432D0">
        <w:rPr>
          <w:rFonts w:ascii="Calibri" w:hAnsi="Calibri" w:cs="Calibri"/>
          <w:sz w:val="22"/>
          <w:szCs w:val="22"/>
          <w:lang w:val="en-US"/>
        </w:rPr>
        <w:t xml:space="preserve"> A. Jacobs, Peter E. Hartmann, and Karen Simmer. </w:t>
      </w:r>
      <w:proofErr w:type="gramStart"/>
      <w:r w:rsidRPr="00E432D0">
        <w:rPr>
          <w:rFonts w:ascii="Calibri" w:hAnsi="Calibri" w:cs="Calibri"/>
          <w:sz w:val="22"/>
          <w:szCs w:val="22"/>
          <w:lang w:val="en-US"/>
        </w:rPr>
        <w:t>”</w:t>
      </w:r>
      <w:proofErr w:type="spellStart"/>
      <w:r w:rsidRPr="00E432D0">
        <w:rPr>
          <w:rFonts w:ascii="Calibri" w:hAnsi="Calibri" w:cs="Calibri"/>
          <w:sz w:val="22"/>
          <w:szCs w:val="22"/>
          <w:lang w:val="en-US"/>
        </w:rPr>
        <w:t>Frenulotomy</w:t>
      </w:r>
      <w:proofErr w:type="spellEnd"/>
      <w:proofErr w:type="gramEnd"/>
      <w:r w:rsidRPr="00E432D0">
        <w:rPr>
          <w:rFonts w:ascii="Calibri" w:hAnsi="Calibri" w:cs="Calibri"/>
          <w:sz w:val="22"/>
          <w:szCs w:val="22"/>
          <w:lang w:val="en-US"/>
        </w:rPr>
        <w:t xml:space="preserve"> for breastfeeding infants with ankyloglossia: effect on milk removal and sucking mechanism as imaged by ultrasound.” Pediatrics 122, no. 1 (2008): e188-e194.</w:t>
      </w:r>
      <w:r w:rsidRPr="00E432D0">
        <w:rPr>
          <w:rFonts w:ascii="Calibri" w:hAnsi="Calibri" w:cs="Calibri"/>
          <w:sz w:val="22"/>
          <w:szCs w:val="22"/>
          <w:lang w:val="en-US"/>
        </w:rPr>
        <w:br/>
      </w:r>
      <w:hyperlink r:id="rId20" w:history="1">
        <w:r w:rsidRPr="00E432D0">
          <w:rPr>
            <w:rFonts w:ascii="Calibri" w:hAnsi="Calibri" w:cs="Calibri"/>
            <w:color w:val="0000FF"/>
            <w:sz w:val="22"/>
            <w:szCs w:val="22"/>
            <w:u w:val="single"/>
            <w:lang w:val="en-US"/>
          </w:rPr>
          <w:t>http://pediatrics.aappublications.org/content/122/1/e188</w:t>
        </w:r>
      </w:hyperlink>
    </w:p>
    <w:p w14:paraId="7D05837E" w14:textId="77777777" w:rsidR="00E432D0" w:rsidRPr="00E432D0" w:rsidRDefault="00E432D0" w:rsidP="00DF091B">
      <w:pPr>
        <w:shd w:val="clear" w:color="auto" w:fill="FFFFFF"/>
        <w:spacing w:after="360" w:line="240" w:lineRule="auto"/>
        <w:ind w:right="0"/>
        <w:rPr>
          <w:rFonts w:ascii="Calibri" w:hAnsi="Calibri" w:cs="Calibri"/>
          <w:sz w:val="22"/>
          <w:szCs w:val="22"/>
          <w:lang w:val="en-US"/>
        </w:rPr>
      </w:pPr>
      <w:proofErr w:type="spellStart"/>
      <w:r w:rsidRPr="00E432D0">
        <w:rPr>
          <w:rFonts w:ascii="Calibri" w:hAnsi="Calibri" w:cs="Calibri"/>
          <w:sz w:val="22"/>
          <w:szCs w:val="22"/>
          <w:lang w:val="en-US"/>
        </w:rPr>
        <w:t>Ghaheri</w:t>
      </w:r>
      <w:proofErr w:type="spellEnd"/>
      <w:r w:rsidRPr="00E432D0">
        <w:rPr>
          <w:rFonts w:ascii="Calibri" w:hAnsi="Calibri" w:cs="Calibri"/>
          <w:sz w:val="22"/>
          <w:szCs w:val="22"/>
          <w:lang w:val="en-US"/>
        </w:rPr>
        <w:t xml:space="preserve">, Bobak A., Melissa Cole, Sarah C. Fausel, Maria Chuop, and Jess C. Mace. </w:t>
      </w:r>
      <w:proofErr w:type="gramStart"/>
      <w:r w:rsidRPr="00E432D0">
        <w:rPr>
          <w:rFonts w:ascii="Calibri" w:hAnsi="Calibri" w:cs="Calibri"/>
          <w:sz w:val="22"/>
          <w:szCs w:val="22"/>
          <w:lang w:val="en-US"/>
        </w:rPr>
        <w:t>”Breastfeeding</w:t>
      </w:r>
      <w:proofErr w:type="gramEnd"/>
      <w:r w:rsidRPr="00E432D0">
        <w:rPr>
          <w:rFonts w:ascii="Calibri" w:hAnsi="Calibri" w:cs="Calibri"/>
          <w:sz w:val="22"/>
          <w:szCs w:val="22"/>
          <w:lang w:val="en-US"/>
        </w:rPr>
        <w:t xml:space="preserve"> improvement following tongue‐tie and lip‐tie release: A prospective cohort study.” The Laryngoscope (2016).</w:t>
      </w:r>
      <w:r w:rsidRPr="00E432D0">
        <w:rPr>
          <w:rFonts w:ascii="Calibri" w:hAnsi="Calibri" w:cs="Calibri"/>
          <w:sz w:val="22"/>
          <w:szCs w:val="22"/>
          <w:lang w:val="en-US"/>
        </w:rPr>
        <w:br/>
      </w:r>
      <w:hyperlink r:id="rId21" w:history="1">
        <w:r w:rsidRPr="00E432D0">
          <w:rPr>
            <w:rFonts w:ascii="Calibri" w:hAnsi="Calibri" w:cs="Calibri"/>
            <w:color w:val="0000FF"/>
            <w:sz w:val="22"/>
            <w:szCs w:val="22"/>
            <w:u w:val="single"/>
            <w:lang w:val="en-US"/>
          </w:rPr>
          <w:t>https://www.ncbi.nlm.nih.gov/labs/articles/27641715/</w:t>
        </w:r>
      </w:hyperlink>
    </w:p>
    <w:p w14:paraId="57926FAF" w14:textId="77777777" w:rsidR="00E432D0" w:rsidRPr="00E432D0" w:rsidRDefault="00E432D0" w:rsidP="00DF091B">
      <w:pPr>
        <w:shd w:val="clear" w:color="auto" w:fill="FFFFFF"/>
        <w:spacing w:after="360" w:line="240" w:lineRule="auto"/>
        <w:ind w:right="0"/>
        <w:rPr>
          <w:rFonts w:ascii="Calibri" w:hAnsi="Calibri" w:cs="Calibri"/>
          <w:sz w:val="22"/>
          <w:szCs w:val="22"/>
          <w:lang w:val="en-US"/>
        </w:rPr>
      </w:pPr>
      <w:r w:rsidRPr="00E432D0">
        <w:rPr>
          <w:rFonts w:ascii="Calibri" w:hAnsi="Calibri" w:cs="Calibri"/>
          <w:sz w:val="22"/>
          <w:szCs w:val="22"/>
          <w:lang w:val="en-US"/>
        </w:rPr>
        <w:t xml:space="preserve">Huang, Y. S., S. Quo, J. A. </w:t>
      </w:r>
      <w:proofErr w:type="spellStart"/>
      <w:r w:rsidRPr="00E432D0">
        <w:rPr>
          <w:rFonts w:ascii="Calibri" w:hAnsi="Calibri" w:cs="Calibri"/>
          <w:sz w:val="22"/>
          <w:szCs w:val="22"/>
          <w:lang w:val="en-US"/>
        </w:rPr>
        <w:t>Berkowski</w:t>
      </w:r>
      <w:proofErr w:type="spellEnd"/>
      <w:r w:rsidRPr="00E432D0">
        <w:rPr>
          <w:rFonts w:ascii="Calibri" w:hAnsi="Calibri" w:cs="Calibri"/>
          <w:sz w:val="22"/>
          <w:szCs w:val="22"/>
          <w:lang w:val="en-US"/>
        </w:rPr>
        <w:t xml:space="preserve">, and C. </w:t>
      </w:r>
      <w:proofErr w:type="spellStart"/>
      <w:r w:rsidRPr="00E432D0">
        <w:rPr>
          <w:rFonts w:ascii="Calibri" w:hAnsi="Calibri" w:cs="Calibri"/>
          <w:sz w:val="22"/>
          <w:szCs w:val="22"/>
          <w:lang w:val="en-US"/>
        </w:rPr>
        <w:t>Guilleminault</w:t>
      </w:r>
      <w:proofErr w:type="spellEnd"/>
      <w:r w:rsidRPr="00E432D0">
        <w:rPr>
          <w:rFonts w:ascii="Calibri" w:hAnsi="Calibri" w:cs="Calibri"/>
          <w:sz w:val="22"/>
          <w:szCs w:val="22"/>
          <w:lang w:val="en-US"/>
        </w:rPr>
        <w:t xml:space="preserve">. </w:t>
      </w:r>
      <w:proofErr w:type="gramStart"/>
      <w:r w:rsidRPr="00E432D0">
        <w:rPr>
          <w:rFonts w:ascii="Calibri" w:hAnsi="Calibri" w:cs="Calibri"/>
          <w:sz w:val="22"/>
          <w:szCs w:val="22"/>
          <w:lang w:val="en-US"/>
        </w:rPr>
        <w:t>”Short</w:t>
      </w:r>
      <w:proofErr w:type="gramEnd"/>
      <w:r w:rsidRPr="00E432D0">
        <w:rPr>
          <w:rFonts w:ascii="Calibri" w:hAnsi="Calibri" w:cs="Calibri"/>
          <w:sz w:val="22"/>
          <w:szCs w:val="22"/>
          <w:lang w:val="en-US"/>
        </w:rPr>
        <w:t xml:space="preserve"> lingual frenulum and obstructive sleep apnea in children.” Int J </w:t>
      </w:r>
      <w:proofErr w:type="spellStart"/>
      <w:r w:rsidRPr="00E432D0">
        <w:rPr>
          <w:rFonts w:ascii="Calibri" w:hAnsi="Calibri" w:cs="Calibri"/>
          <w:sz w:val="22"/>
          <w:szCs w:val="22"/>
          <w:lang w:val="en-US"/>
        </w:rPr>
        <w:t>Pediatr</w:t>
      </w:r>
      <w:proofErr w:type="spellEnd"/>
      <w:r w:rsidRPr="00E432D0">
        <w:rPr>
          <w:rFonts w:ascii="Calibri" w:hAnsi="Calibri" w:cs="Calibri"/>
          <w:sz w:val="22"/>
          <w:szCs w:val="22"/>
          <w:lang w:val="en-US"/>
        </w:rPr>
        <w:t xml:space="preserve"> Res 1, no. 003 (2015).</w:t>
      </w:r>
      <w:r w:rsidRPr="00E432D0">
        <w:rPr>
          <w:rFonts w:ascii="Calibri" w:hAnsi="Calibri" w:cs="Calibri"/>
          <w:sz w:val="22"/>
          <w:szCs w:val="22"/>
          <w:lang w:val="en-US"/>
        </w:rPr>
        <w:br/>
      </w:r>
      <w:hyperlink r:id="rId22" w:history="1">
        <w:r w:rsidRPr="00E432D0">
          <w:rPr>
            <w:rFonts w:ascii="Calibri" w:hAnsi="Calibri" w:cs="Calibri"/>
            <w:color w:val="0000FF"/>
            <w:sz w:val="22"/>
            <w:szCs w:val="22"/>
            <w:u w:val="single"/>
            <w:lang w:val="en-US"/>
          </w:rPr>
          <w:t>https://clinmedjournals.org/articles/ijpr/ijpr-1-003.pdf</w:t>
        </w:r>
      </w:hyperlink>
    </w:p>
    <w:p w14:paraId="27D3709B" w14:textId="77777777" w:rsidR="00E432D0" w:rsidRPr="00E432D0" w:rsidRDefault="00E432D0" w:rsidP="00DF091B">
      <w:pPr>
        <w:shd w:val="clear" w:color="auto" w:fill="FFFFFF"/>
        <w:spacing w:after="360" w:line="240" w:lineRule="auto"/>
        <w:ind w:right="0"/>
        <w:rPr>
          <w:rFonts w:ascii="Calibri" w:hAnsi="Calibri" w:cs="Calibri"/>
          <w:color w:val="333333"/>
          <w:sz w:val="22"/>
          <w:szCs w:val="22"/>
          <w:lang w:val="en"/>
        </w:rPr>
      </w:pPr>
      <w:hyperlink r:id="rId23" w:history="1">
        <w:r w:rsidRPr="00E432D0">
          <w:rPr>
            <w:rFonts w:ascii="Calibri" w:hAnsi="Calibri" w:cs="Calibri"/>
            <w:sz w:val="22"/>
            <w:szCs w:val="22"/>
            <w:lang w:val="en"/>
          </w:rPr>
          <w:t>Ingram, Jenny</w:t>
        </w:r>
      </w:hyperlink>
      <w:hyperlink r:id="rId24" w:history="1">
        <w:r w:rsidRPr="00E432D0">
          <w:rPr>
            <w:rFonts w:ascii="Calibri" w:hAnsi="Calibri" w:cs="Calibri"/>
            <w:sz w:val="22"/>
            <w:szCs w:val="22"/>
            <w:lang w:val="en"/>
          </w:rPr>
          <w:t>; Johnson, Debbie</w:t>
        </w:r>
      </w:hyperlink>
      <w:r w:rsidRPr="00E432D0">
        <w:rPr>
          <w:rFonts w:ascii="Calibri" w:hAnsi="Calibri" w:cs="Calibri"/>
          <w:color w:val="333333"/>
          <w:sz w:val="22"/>
          <w:szCs w:val="22"/>
          <w:lang w:val="en"/>
        </w:rPr>
        <w:t xml:space="preserve"> ; Copeland, Marion; Churchill, Cathy ; Taylor, Hazel</w:t>
      </w:r>
      <w:hyperlink r:id="rId25" w:history="1">
        <w:r w:rsidRPr="00E432D0">
          <w:rPr>
            <w:rFonts w:ascii="Calibri" w:hAnsi="Calibri" w:cs="Calibri"/>
            <w:sz w:val="22"/>
            <w:szCs w:val="22"/>
            <w:lang w:val="en"/>
          </w:rPr>
          <w:t>; Emond, Alan</w:t>
        </w:r>
      </w:hyperlink>
      <w:r w:rsidRPr="00E432D0">
        <w:rPr>
          <w:rFonts w:ascii="Calibri" w:hAnsi="Calibri" w:cs="Calibri"/>
          <w:sz w:val="22"/>
          <w:szCs w:val="22"/>
          <w:lang w:val="en"/>
        </w:rPr>
        <w:t>. “</w:t>
      </w:r>
      <w:hyperlink r:id="rId26" w:history="1">
        <w:r w:rsidRPr="00E432D0">
          <w:rPr>
            <w:rFonts w:ascii="Calibri" w:hAnsi="Calibri" w:cs="Calibri"/>
            <w:bCs/>
            <w:sz w:val="22"/>
            <w:szCs w:val="22"/>
            <w:lang w:val="en"/>
          </w:rPr>
          <w:t>The development of a tongue assessment tool to assist with tongue-tie identification</w:t>
        </w:r>
      </w:hyperlink>
      <w:r w:rsidRPr="00E432D0">
        <w:rPr>
          <w:rFonts w:ascii="Calibri" w:hAnsi="Calibri" w:cs="Calibri"/>
          <w:b/>
          <w:sz w:val="22"/>
          <w:szCs w:val="22"/>
          <w:lang w:val="en"/>
        </w:rPr>
        <w:t>”</w:t>
      </w:r>
      <w:r w:rsidRPr="00E432D0">
        <w:rPr>
          <w:rFonts w:ascii="Calibri" w:hAnsi="Calibri" w:cs="Calibri"/>
          <w:sz w:val="22"/>
          <w:szCs w:val="22"/>
          <w:lang w:val="en"/>
        </w:rPr>
        <w:t>. Archives of Disease in Childhood: Fetal and Neonatal Edition</w:t>
      </w:r>
      <w:r w:rsidRPr="00E432D0">
        <w:rPr>
          <w:rFonts w:ascii="Calibri" w:hAnsi="Calibri" w:cs="Calibri"/>
          <w:color w:val="333333"/>
          <w:sz w:val="22"/>
          <w:szCs w:val="22"/>
          <w:lang w:val="en"/>
        </w:rPr>
        <w:t xml:space="preserve"> Vol. 100, No. 4. (2015):  F344-F349.</w:t>
      </w:r>
    </w:p>
    <w:p w14:paraId="7593B097" w14:textId="77777777" w:rsidR="00E432D0" w:rsidRPr="00E432D0" w:rsidRDefault="00E432D0" w:rsidP="00DF091B">
      <w:pPr>
        <w:shd w:val="clear" w:color="auto" w:fill="FFFFFF"/>
        <w:spacing w:after="360" w:line="240" w:lineRule="auto"/>
        <w:ind w:right="0"/>
        <w:rPr>
          <w:rFonts w:ascii="Calibri" w:hAnsi="Calibri" w:cs="Calibri"/>
          <w:sz w:val="22"/>
          <w:szCs w:val="22"/>
          <w:lang w:val="en-GB"/>
        </w:rPr>
      </w:pPr>
      <w:proofErr w:type="spellStart"/>
      <w:r w:rsidRPr="00E432D0">
        <w:rPr>
          <w:rFonts w:ascii="Calibri" w:hAnsi="Calibri" w:cs="Calibri"/>
          <w:sz w:val="22"/>
          <w:szCs w:val="22"/>
          <w:lang w:val="en-US"/>
        </w:rPr>
        <w:t>Kotlow</w:t>
      </w:r>
      <w:proofErr w:type="spellEnd"/>
      <w:r w:rsidRPr="00E432D0">
        <w:rPr>
          <w:rFonts w:ascii="Calibri" w:hAnsi="Calibri" w:cs="Calibri"/>
          <w:sz w:val="22"/>
          <w:szCs w:val="22"/>
          <w:lang w:val="en-US"/>
        </w:rPr>
        <w:t xml:space="preserve">, Lawrence. Diagnosing and Understanding the Maxillary Lip-tie (Superior Labial, the Maxillary Labial Frenum) as it Relates to Breastfeeding. </w:t>
      </w:r>
      <w:r w:rsidRPr="00E432D0">
        <w:rPr>
          <w:rFonts w:ascii="Calibri" w:hAnsi="Calibri" w:cs="Calibri"/>
          <w:iCs/>
          <w:sz w:val="22"/>
          <w:szCs w:val="22"/>
          <w:lang w:val="en-US"/>
        </w:rPr>
        <w:t>Journal of Human Lactation</w:t>
      </w:r>
      <w:r w:rsidRPr="00E432D0">
        <w:rPr>
          <w:rFonts w:ascii="Calibri" w:hAnsi="Calibri" w:cs="Calibri"/>
          <w:sz w:val="22"/>
          <w:szCs w:val="22"/>
          <w:lang w:val="en-US"/>
        </w:rPr>
        <w:t xml:space="preserve">, </w:t>
      </w:r>
      <w:r w:rsidRPr="00E432D0">
        <w:rPr>
          <w:rFonts w:ascii="Calibri" w:hAnsi="Calibri" w:cs="Calibri"/>
          <w:iCs/>
          <w:sz w:val="22"/>
          <w:szCs w:val="22"/>
          <w:lang w:val="en-US"/>
        </w:rPr>
        <w:t>29</w:t>
      </w:r>
      <w:r w:rsidRPr="00E432D0">
        <w:rPr>
          <w:rFonts w:ascii="Calibri" w:hAnsi="Calibri" w:cs="Calibri"/>
          <w:sz w:val="22"/>
          <w:szCs w:val="22"/>
          <w:lang w:val="en-US"/>
        </w:rPr>
        <w:t xml:space="preserve"> no 4 (2013): 458–464. </w:t>
      </w:r>
      <w:hyperlink r:id="rId27" w:history="1">
        <w:r w:rsidRPr="00E432D0">
          <w:rPr>
            <w:rFonts w:ascii="Calibri" w:hAnsi="Calibri" w:cs="Calibri"/>
            <w:color w:val="006ACC"/>
            <w:sz w:val="22"/>
            <w:szCs w:val="22"/>
            <w:lang w:val="en-US"/>
          </w:rPr>
          <w:t>https://doi.org/10.1177/0890334413491325</w:t>
        </w:r>
      </w:hyperlink>
    </w:p>
    <w:p w14:paraId="3DEA793B" w14:textId="77777777" w:rsidR="00E432D0" w:rsidRPr="00E432D0" w:rsidRDefault="00E432D0" w:rsidP="00DF091B">
      <w:pPr>
        <w:shd w:val="clear" w:color="auto" w:fill="FFFFFF"/>
        <w:spacing w:after="360" w:line="240" w:lineRule="auto"/>
        <w:ind w:right="0"/>
        <w:rPr>
          <w:rFonts w:ascii="Calibri" w:hAnsi="Calibri" w:cs="Calibri"/>
          <w:sz w:val="22"/>
          <w:szCs w:val="22"/>
          <w:lang w:val="en-US"/>
        </w:rPr>
      </w:pPr>
      <w:proofErr w:type="spellStart"/>
      <w:r w:rsidRPr="00E432D0">
        <w:rPr>
          <w:rFonts w:ascii="Calibri" w:hAnsi="Calibri" w:cs="Calibri"/>
          <w:sz w:val="22"/>
          <w:szCs w:val="22"/>
          <w:lang w:val="en-US"/>
        </w:rPr>
        <w:t>Kotlow</w:t>
      </w:r>
      <w:proofErr w:type="spellEnd"/>
      <w:r w:rsidRPr="00E432D0">
        <w:rPr>
          <w:rFonts w:ascii="Calibri" w:hAnsi="Calibri" w:cs="Calibri"/>
          <w:sz w:val="22"/>
          <w:szCs w:val="22"/>
          <w:lang w:val="en-US"/>
        </w:rPr>
        <w:t xml:space="preserve">, Lawrence. </w:t>
      </w:r>
      <w:proofErr w:type="gramStart"/>
      <w:r w:rsidRPr="00E432D0">
        <w:rPr>
          <w:rFonts w:ascii="Calibri" w:hAnsi="Calibri" w:cs="Calibri"/>
          <w:sz w:val="22"/>
          <w:szCs w:val="22"/>
          <w:lang w:val="en-US"/>
        </w:rPr>
        <w:t>”Infant</w:t>
      </w:r>
      <w:proofErr w:type="gramEnd"/>
      <w:r w:rsidRPr="00E432D0">
        <w:rPr>
          <w:rFonts w:ascii="Calibri" w:hAnsi="Calibri" w:cs="Calibri"/>
          <w:sz w:val="22"/>
          <w:szCs w:val="22"/>
          <w:lang w:val="en-US"/>
        </w:rPr>
        <w:t xml:space="preserve"> Gastroesophageal Reflux (GER): Benign Infant Acid Reflux or just Plain Aerophagia?.” International Journal of Child Health and Nutrition 5, no. 1 (2016): 10-16.</w:t>
      </w:r>
      <w:r w:rsidRPr="00E432D0">
        <w:rPr>
          <w:rFonts w:ascii="Calibri" w:hAnsi="Calibri" w:cs="Calibri"/>
          <w:sz w:val="22"/>
          <w:szCs w:val="22"/>
          <w:lang w:val="en-US"/>
        </w:rPr>
        <w:br/>
      </w:r>
      <w:hyperlink r:id="rId28" w:history="1">
        <w:r w:rsidRPr="00E432D0">
          <w:rPr>
            <w:rFonts w:ascii="Calibri" w:hAnsi="Calibri" w:cs="Calibri"/>
            <w:color w:val="0000FF"/>
            <w:sz w:val="22"/>
            <w:szCs w:val="22"/>
            <w:u w:val="single"/>
            <w:lang w:val="en-US"/>
          </w:rPr>
          <w:t>http://www.lifescienceglobal.com/pms/index.php/ijchn/article/view/3690</w:t>
        </w:r>
      </w:hyperlink>
    </w:p>
    <w:p w14:paraId="6739A752" w14:textId="77777777" w:rsidR="00E432D0" w:rsidRPr="00E432D0" w:rsidRDefault="00E432D0" w:rsidP="00DF091B">
      <w:pPr>
        <w:shd w:val="clear" w:color="auto" w:fill="FFFFFF"/>
        <w:spacing w:after="360" w:line="240" w:lineRule="auto"/>
        <w:ind w:right="0"/>
        <w:rPr>
          <w:rFonts w:ascii="Calibri" w:hAnsi="Calibri" w:cs="Calibri"/>
          <w:sz w:val="22"/>
          <w:szCs w:val="22"/>
          <w:lang w:val="en-US"/>
        </w:rPr>
      </w:pPr>
      <w:r w:rsidRPr="00E432D0">
        <w:rPr>
          <w:rFonts w:ascii="Calibri" w:hAnsi="Calibri" w:cs="Calibri"/>
          <w:sz w:val="22"/>
          <w:szCs w:val="22"/>
          <w:lang w:val="en-US"/>
        </w:rPr>
        <w:t xml:space="preserve">Messner, Anna H., and M. Lauren </w:t>
      </w:r>
      <w:proofErr w:type="spellStart"/>
      <w:r w:rsidRPr="00E432D0">
        <w:rPr>
          <w:rFonts w:ascii="Calibri" w:hAnsi="Calibri" w:cs="Calibri"/>
          <w:sz w:val="22"/>
          <w:szCs w:val="22"/>
          <w:lang w:val="en-US"/>
        </w:rPr>
        <w:t>Lalakea</w:t>
      </w:r>
      <w:proofErr w:type="spellEnd"/>
      <w:r w:rsidRPr="00E432D0">
        <w:rPr>
          <w:rFonts w:ascii="Calibri" w:hAnsi="Calibri" w:cs="Calibri"/>
          <w:sz w:val="22"/>
          <w:szCs w:val="22"/>
          <w:lang w:val="en-US"/>
        </w:rPr>
        <w:t xml:space="preserve">. </w:t>
      </w:r>
      <w:proofErr w:type="gramStart"/>
      <w:r w:rsidRPr="00E432D0">
        <w:rPr>
          <w:rFonts w:ascii="Calibri" w:hAnsi="Calibri" w:cs="Calibri"/>
          <w:sz w:val="22"/>
          <w:szCs w:val="22"/>
          <w:lang w:val="en-US"/>
        </w:rPr>
        <w:t>”The</w:t>
      </w:r>
      <w:proofErr w:type="gramEnd"/>
      <w:r w:rsidRPr="00E432D0">
        <w:rPr>
          <w:rFonts w:ascii="Calibri" w:hAnsi="Calibri" w:cs="Calibri"/>
          <w:sz w:val="22"/>
          <w:szCs w:val="22"/>
          <w:lang w:val="en-US"/>
        </w:rPr>
        <w:t xml:space="preserve"> effect of ankyloglossia on speech in children.” Otolaryngology—Head and Neck Surgery 127, no. 6 (2002): 539-545.</w:t>
      </w:r>
      <w:r w:rsidRPr="00E432D0">
        <w:rPr>
          <w:rFonts w:ascii="Calibri" w:hAnsi="Calibri" w:cs="Calibri"/>
          <w:sz w:val="22"/>
          <w:szCs w:val="22"/>
          <w:lang w:val="en-US"/>
        </w:rPr>
        <w:br/>
      </w:r>
      <w:hyperlink r:id="rId29" w:history="1">
        <w:r w:rsidRPr="00E432D0">
          <w:rPr>
            <w:rFonts w:ascii="Calibri" w:hAnsi="Calibri" w:cs="Calibri"/>
            <w:color w:val="0000FF"/>
            <w:sz w:val="22"/>
            <w:szCs w:val="22"/>
            <w:u w:val="single"/>
            <w:lang w:val="en-US"/>
          </w:rPr>
          <w:t>https://www.ncbi.nlm.nih.gov/pubmed/12501105</w:t>
        </w:r>
      </w:hyperlink>
    </w:p>
    <w:p w14:paraId="29D4DB4B" w14:textId="77777777" w:rsidR="00E432D0" w:rsidRPr="00E432D0" w:rsidRDefault="00E432D0" w:rsidP="00DF091B">
      <w:pPr>
        <w:shd w:val="clear" w:color="auto" w:fill="FFFFFF"/>
        <w:spacing w:after="360" w:line="240" w:lineRule="auto"/>
        <w:ind w:right="0"/>
        <w:rPr>
          <w:rFonts w:ascii="Calibri" w:hAnsi="Calibri" w:cs="Calibri"/>
          <w:sz w:val="22"/>
          <w:szCs w:val="22"/>
          <w:lang w:val="en-US"/>
        </w:rPr>
      </w:pPr>
      <w:r w:rsidRPr="00E432D0">
        <w:rPr>
          <w:rFonts w:ascii="Calibri" w:hAnsi="Calibri" w:cs="Calibri"/>
          <w:sz w:val="22"/>
          <w:szCs w:val="22"/>
          <w:lang w:val="en-US"/>
        </w:rPr>
        <w:t xml:space="preserve">O’Callahan, Cliff, Susan Macary, and Stephanie Clemente. </w:t>
      </w:r>
      <w:proofErr w:type="gramStart"/>
      <w:r w:rsidRPr="00E432D0">
        <w:rPr>
          <w:rFonts w:ascii="Calibri" w:hAnsi="Calibri" w:cs="Calibri"/>
          <w:sz w:val="22"/>
          <w:szCs w:val="22"/>
          <w:lang w:val="en-US"/>
        </w:rPr>
        <w:t>”The</w:t>
      </w:r>
      <w:proofErr w:type="gramEnd"/>
      <w:r w:rsidRPr="00E432D0">
        <w:rPr>
          <w:rFonts w:ascii="Calibri" w:hAnsi="Calibri" w:cs="Calibri"/>
          <w:sz w:val="22"/>
          <w:szCs w:val="22"/>
          <w:lang w:val="en-US"/>
        </w:rPr>
        <w:t xml:space="preserve"> effects of office-based frenotomy for anterior and posterior ankyloglossia on breastfeeding.” International journal of pediatric otorhinolaryngology 77, no. 5 (2013): 827-832.</w:t>
      </w:r>
      <w:r w:rsidRPr="00E432D0">
        <w:rPr>
          <w:rFonts w:ascii="Calibri" w:hAnsi="Calibri" w:cs="Calibri"/>
          <w:sz w:val="22"/>
          <w:szCs w:val="22"/>
          <w:lang w:val="en-US"/>
        </w:rPr>
        <w:br/>
      </w:r>
      <w:hyperlink r:id="rId30" w:history="1">
        <w:r w:rsidRPr="00E432D0">
          <w:rPr>
            <w:rFonts w:ascii="Calibri" w:hAnsi="Calibri" w:cs="Calibri"/>
            <w:color w:val="0000FF"/>
            <w:sz w:val="22"/>
            <w:szCs w:val="22"/>
            <w:u w:val="single"/>
            <w:lang w:val="en-US"/>
          </w:rPr>
          <w:t>https://www.ncbi.nlm.nih.gov/pubmed/23523198</w:t>
        </w:r>
      </w:hyperlink>
    </w:p>
    <w:p w14:paraId="65ED924D" w14:textId="77777777" w:rsidR="00E432D0" w:rsidRPr="00E432D0" w:rsidRDefault="00E432D0" w:rsidP="00DF091B">
      <w:pPr>
        <w:shd w:val="clear" w:color="auto" w:fill="FFFFFF"/>
        <w:spacing w:after="360" w:line="240" w:lineRule="auto"/>
        <w:ind w:right="0"/>
        <w:rPr>
          <w:rFonts w:ascii="Calibri" w:hAnsi="Calibri" w:cs="Calibri"/>
          <w:sz w:val="22"/>
          <w:szCs w:val="22"/>
          <w:lang w:val="en-US"/>
        </w:rPr>
      </w:pPr>
      <w:r w:rsidRPr="00E432D0">
        <w:rPr>
          <w:rFonts w:ascii="Calibri" w:hAnsi="Calibri" w:cs="Calibri"/>
          <w:sz w:val="22"/>
          <w:szCs w:val="22"/>
          <w:lang w:val="en-US"/>
        </w:rPr>
        <w:t xml:space="preserve">O’Shea, Joyce E., Jann P. Foster, Colm PF O’Donnell, Deirdre Breathnach, Susan E. Jacobs, David A. Todd, and Peter G. Davis. </w:t>
      </w:r>
      <w:proofErr w:type="gramStart"/>
      <w:r w:rsidRPr="00E432D0">
        <w:rPr>
          <w:rFonts w:ascii="Calibri" w:hAnsi="Calibri" w:cs="Calibri"/>
          <w:sz w:val="22"/>
          <w:szCs w:val="22"/>
          <w:lang w:val="en-US"/>
        </w:rPr>
        <w:t>”Frenotomy</w:t>
      </w:r>
      <w:proofErr w:type="gramEnd"/>
      <w:r w:rsidRPr="00E432D0">
        <w:rPr>
          <w:rFonts w:ascii="Calibri" w:hAnsi="Calibri" w:cs="Calibri"/>
          <w:sz w:val="22"/>
          <w:szCs w:val="22"/>
          <w:lang w:val="en-US"/>
        </w:rPr>
        <w:t xml:space="preserve"> for tongue‐tie in newborn infants.” The Cochrane Library (2017).</w:t>
      </w:r>
      <w:r w:rsidRPr="00E432D0">
        <w:rPr>
          <w:rFonts w:ascii="Calibri" w:hAnsi="Calibri" w:cs="Calibri"/>
          <w:sz w:val="22"/>
          <w:szCs w:val="22"/>
          <w:lang w:val="en-US"/>
        </w:rPr>
        <w:br/>
      </w:r>
      <w:hyperlink r:id="rId31" w:history="1">
        <w:r w:rsidRPr="00E432D0">
          <w:rPr>
            <w:rFonts w:ascii="Calibri" w:hAnsi="Calibri" w:cs="Calibri"/>
            <w:color w:val="0000FF"/>
            <w:sz w:val="22"/>
            <w:szCs w:val="22"/>
            <w:u w:val="single"/>
            <w:lang w:val="en-US"/>
          </w:rPr>
          <w:t>https://www.ncbi.nlm.nih.gov/m/pubmed/28284020/?i=5&amp;from=/25258296/related</w:t>
        </w:r>
      </w:hyperlink>
    </w:p>
    <w:p w14:paraId="66128DCE" w14:textId="77777777" w:rsidR="00E432D0" w:rsidRPr="00E432D0" w:rsidRDefault="00E432D0" w:rsidP="00DF091B">
      <w:pPr>
        <w:shd w:val="clear" w:color="auto" w:fill="FFFFFF"/>
        <w:spacing w:after="360" w:line="240" w:lineRule="auto"/>
        <w:ind w:right="0"/>
        <w:rPr>
          <w:rFonts w:ascii="Calibri" w:hAnsi="Calibri" w:cs="Calibri"/>
          <w:sz w:val="22"/>
          <w:szCs w:val="22"/>
          <w:lang w:val="en-US"/>
        </w:rPr>
      </w:pPr>
      <w:r w:rsidRPr="00E432D0">
        <w:rPr>
          <w:rFonts w:ascii="Calibri" w:hAnsi="Calibri" w:cs="Calibri"/>
          <w:sz w:val="22"/>
          <w:szCs w:val="22"/>
          <w:lang w:val="en-US"/>
        </w:rPr>
        <w:t xml:space="preserve">Power, R. F., and J. F. Murphy. </w:t>
      </w:r>
      <w:proofErr w:type="gramStart"/>
      <w:r w:rsidRPr="00E432D0">
        <w:rPr>
          <w:rFonts w:ascii="Calibri" w:hAnsi="Calibri" w:cs="Calibri"/>
          <w:sz w:val="22"/>
          <w:szCs w:val="22"/>
          <w:lang w:val="en-US"/>
        </w:rPr>
        <w:t>”Tongue</w:t>
      </w:r>
      <w:proofErr w:type="gramEnd"/>
      <w:r w:rsidRPr="00E432D0">
        <w:rPr>
          <w:rFonts w:ascii="Calibri" w:hAnsi="Calibri" w:cs="Calibri"/>
          <w:sz w:val="22"/>
          <w:szCs w:val="22"/>
          <w:lang w:val="en-US"/>
        </w:rPr>
        <w:t>-tie and frenotomy in infants with breastfeeding difficulties: achieving a balance.” Archives of disease in childhood 100, no. 5 (2015): 489-494.</w:t>
      </w:r>
      <w:r w:rsidRPr="00E432D0">
        <w:rPr>
          <w:rFonts w:ascii="Calibri" w:hAnsi="Calibri" w:cs="Calibri"/>
          <w:sz w:val="22"/>
          <w:szCs w:val="22"/>
          <w:lang w:val="en-US"/>
        </w:rPr>
        <w:br/>
      </w:r>
      <w:hyperlink r:id="rId32" w:history="1">
        <w:r w:rsidRPr="00E432D0">
          <w:rPr>
            <w:rFonts w:ascii="Calibri" w:hAnsi="Calibri" w:cs="Calibri"/>
            <w:color w:val="0000FF"/>
            <w:sz w:val="22"/>
            <w:szCs w:val="22"/>
            <w:u w:val="single"/>
            <w:lang w:val="en-US"/>
          </w:rPr>
          <w:t>https://www.ncbi.nlm.nih.gov/m/pubmed/25381293/?i=2&amp;from=%2F26314750%2Frelated</w:t>
        </w:r>
      </w:hyperlink>
    </w:p>
    <w:p w14:paraId="70D6FF02" w14:textId="77777777" w:rsidR="00E432D0" w:rsidRPr="00E432D0" w:rsidRDefault="00E432D0" w:rsidP="00DF091B">
      <w:pPr>
        <w:shd w:val="clear" w:color="auto" w:fill="FFFFFF"/>
        <w:spacing w:after="360" w:line="240" w:lineRule="auto"/>
        <w:ind w:right="0"/>
        <w:rPr>
          <w:rFonts w:ascii="Calibri" w:hAnsi="Calibri" w:cs="Calibri"/>
          <w:sz w:val="22"/>
          <w:szCs w:val="22"/>
          <w:lang w:val="en-US"/>
        </w:rPr>
      </w:pPr>
      <w:r w:rsidRPr="00E432D0">
        <w:rPr>
          <w:rFonts w:ascii="Calibri" w:hAnsi="Calibri" w:cs="Calibri"/>
          <w:sz w:val="22"/>
          <w:szCs w:val="22"/>
          <w:lang w:val="en-US"/>
        </w:rPr>
        <w:t xml:space="preserve">Siegel, Scott </w:t>
      </w:r>
      <w:proofErr w:type="gramStart"/>
      <w:r w:rsidRPr="00E432D0">
        <w:rPr>
          <w:rFonts w:ascii="Calibri" w:hAnsi="Calibri" w:cs="Calibri"/>
          <w:sz w:val="22"/>
          <w:szCs w:val="22"/>
          <w:lang w:val="en-US"/>
        </w:rPr>
        <w:t>A. ”Aerophagia</w:t>
      </w:r>
      <w:proofErr w:type="gramEnd"/>
      <w:r w:rsidRPr="00E432D0">
        <w:rPr>
          <w:rFonts w:ascii="Calibri" w:hAnsi="Calibri" w:cs="Calibri"/>
          <w:sz w:val="22"/>
          <w:szCs w:val="22"/>
          <w:lang w:val="en-US"/>
        </w:rPr>
        <w:t xml:space="preserve"> induced reflux in breastfeeding infants with ankyloglossia and shortened maxillary labial frenula (tongue and lip tie).” International Journal of Clinical Pediatrics 5, no. 1 (2016): 6-8.</w:t>
      </w:r>
      <w:r w:rsidRPr="00E432D0">
        <w:rPr>
          <w:rFonts w:ascii="Calibri" w:hAnsi="Calibri" w:cs="Calibri"/>
          <w:sz w:val="22"/>
          <w:szCs w:val="22"/>
          <w:lang w:val="en-US"/>
        </w:rPr>
        <w:br/>
      </w:r>
      <w:hyperlink r:id="rId33" w:history="1">
        <w:r w:rsidRPr="00E432D0">
          <w:rPr>
            <w:rFonts w:ascii="Calibri" w:hAnsi="Calibri" w:cs="Calibri"/>
            <w:color w:val="0000FF"/>
            <w:sz w:val="22"/>
            <w:szCs w:val="22"/>
            <w:u w:val="single"/>
            <w:lang w:val="en-US"/>
          </w:rPr>
          <w:t>http://www.theijcp.org/index.php/ijcp/article/view/246</w:t>
        </w:r>
      </w:hyperlink>
    </w:p>
    <w:bookmarkEnd w:id="0"/>
    <w:p w14:paraId="76B9F95B" w14:textId="24513497" w:rsidR="00536A5A" w:rsidRPr="002C1948" w:rsidRDefault="00536A5A" w:rsidP="00DF091B">
      <w:pPr>
        <w:spacing w:after="0" w:line="240" w:lineRule="auto"/>
        <w:ind w:right="0"/>
        <w:rPr>
          <w:lang w:val="en-GB"/>
        </w:rPr>
      </w:pPr>
    </w:p>
    <w:sectPr w:rsidR="00536A5A" w:rsidRPr="002C1948" w:rsidSect="00E432D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C94673" w14:textId="77777777" w:rsidR="005013F3" w:rsidRDefault="005013F3">
      <w:r>
        <w:separator/>
      </w:r>
    </w:p>
  </w:endnote>
  <w:endnote w:type="continuationSeparator" w:id="0">
    <w:p w14:paraId="2AC5C974" w14:textId="77777777" w:rsidR="005013F3" w:rsidRDefault="005013F3">
      <w:r>
        <w:continuationSeparator/>
      </w:r>
    </w:p>
  </w:endnote>
  <w:endnote w:type="continuationNotice" w:id="1">
    <w:p w14:paraId="033553A5" w14:textId="77777777" w:rsidR="005013F3" w:rsidRDefault="005013F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57F754" w14:textId="77777777" w:rsidR="005013F3" w:rsidRDefault="005013F3"/>
  </w:footnote>
  <w:footnote w:type="continuationSeparator" w:id="0">
    <w:p w14:paraId="78E9A9DC" w14:textId="77777777" w:rsidR="005013F3" w:rsidRDefault="005013F3">
      <w:r>
        <w:continuationSeparator/>
      </w:r>
    </w:p>
  </w:footnote>
  <w:footnote w:type="continuationNotice" w:id="1">
    <w:p w14:paraId="531D8569" w14:textId="77777777" w:rsidR="005013F3" w:rsidRDefault="005013F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7FA50E7"/>
    <w:multiLevelType w:val="hybridMultilevel"/>
    <w:tmpl w:val="D02832A8"/>
    <w:lvl w:ilvl="0" w:tplc="45262814">
      <w:start w:val="1"/>
      <w:numFmt w:val="bullet"/>
      <w:lvlText w:val=""/>
      <w:lvlJc w:val="left"/>
      <w:pPr>
        <w:ind w:left="360" w:hanging="360"/>
      </w:pPr>
      <w:rPr>
        <w:rFonts w:ascii="Symbol" w:hAnsi="Symbol" w:hint="default"/>
      </w:rPr>
    </w:lvl>
    <w:lvl w:ilvl="1" w:tplc="E8DA8558" w:tentative="1">
      <w:start w:val="1"/>
      <w:numFmt w:val="bullet"/>
      <w:lvlText w:val="o"/>
      <w:lvlJc w:val="left"/>
      <w:pPr>
        <w:ind w:left="1080" w:hanging="360"/>
      </w:pPr>
      <w:rPr>
        <w:rFonts w:ascii="Courier New" w:hAnsi="Courier New" w:cs="Courier New" w:hint="default"/>
      </w:rPr>
    </w:lvl>
    <w:lvl w:ilvl="2" w:tplc="FC48EC74" w:tentative="1">
      <w:start w:val="1"/>
      <w:numFmt w:val="bullet"/>
      <w:lvlText w:val=""/>
      <w:lvlJc w:val="left"/>
      <w:pPr>
        <w:ind w:left="1800" w:hanging="360"/>
      </w:pPr>
      <w:rPr>
        <w:rFonts w:ascii="Wingdings" w:hAnsi="Wingdings" w:hint="default"/>
      </w:rPr>
    </w:lvl>
    <w:lvl w:ilvl="3" w:tplc="E2A471F6" w:tentative="1">
      <w:start w:val="1"/>
      <w:numFmt w:val="bullet"/>
      <w:lvlText w:val=""/>
      <w:lvlJc w:val="left"/>
      <w:pPr>
        <w:ind w:left="2520" w:hanging="360"/>
      </w:pPr>
      <w:rPr>
        <w:rFonts w:ascii="Symbol" w:hAnsi="Symbol" w:hint="default"/>
      </w:rPr>
    </w:lvl>
    <w:lvl w:ilvl="4" w:tplc="7C344470" w:tentative="1">
      <w:start w:val="1"/>
      <w:numFmt w:val="bullet"/>
      <w:lvlText w:val="o"/>
      <w:lvlJc w:val="left"/>
      <w:pPr>
        <w:ind w:left="3240" w:hanging="360"/>
      </w:pPr>
      <w:rPr>
        <w:rFonts w:ascii="Courier New" w:hAnsi="Courier New" w:cs="Courier New" w:hint="default"/>
      </w:rPr>
    </w:lvl>
    <w:lvl w:ilvl="5" w:tplc="110AF44A" w:tentative="1">
      <w:start w:val="1"/>
      <w:numFmt w:val="bullet"/>
      <w:lvlText w:val=""/>
      <w:lvlJc w:val="left"/>
      <w:pPr>
        <w:ind w:left="3960" w:hanging="360"/>
      </w:pPr>
      <w:rPr>
        <w:rFonts w:ascii="Wingdings" w:hAnsi="Wingdings" w:hint="default"/>
      </w:rPr>
    </w:lvl>
    <w:lvl w:ilvl="6" w:tplc="42562DEA" w:tentative="1">
      <w:start w:val="1"/>
      <w:numFmt w:val="bullet"/>
      <w:lvlText w:val=""/>
      <w:lvlJc w:val="left"/>
      <w:pPr>
        <w:ind w:left="4680" w:hanging="360"/>
      </w:pPr>
      <w:rPr>
        <w:rFonts w:ascii="Symbol" w:hAnsi="Symbol" w:hint="default"/>
      </w:rPr>
    </w:lvl>
    <w:lvl w:ilvl="7" w:tplc="B17460F2" w:tentative="1">
      <w:start w:val="1"/>
      <w:numFmt w:val="bullet"/>
      <w:lvlText w:val="o"/>
      <w:lvlJc w:val="left"/>
      <w:pPr>
        <w:ind w:left="5400" w:hanging="360"/>
      </w:pPr>
      <w:rPr>
        <w:rFonts w:ascii="Courier New" w:hAnsi="Courier New" w:cs="Courier New" w:hint="default"/>
      </w:rPr>
    </w:lvl>
    <w:lvl w:ilvl="8" w:tplc="B98E16B4" w:tentative="1">
      <w:start w:val="1"/>
      <w:numFmt w:val="bullet"/>
      <w:lvlText w:val=""/>
      <w:lvlJc w:val="left"/>
      <w:pPr>
        <w:ind w:left="612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E4B0AC7"/>
    <w:multiLevelType w:val="hybridMultilevel"/>
    <w:tmpl w:val="6FB84C60"/>
    <w:lvl w:ilvl="0" w:tplc="750CE08A">
      <w:start w:val="1"/>
      <w:numFmt w:val="bullet"/>
      <w:lvlText w:val=""/>
      <w:lvlJc w:val="left"/>
      <w:pPr>
        <w:ind w:left="720" w:hanging="360"/>
      </w:pPr>
      <w:rPr>
        <w:rFonts w:ascii="Symbol" w:hAnsi="Symbol" w:hint="default"/>
      </w:rPr>
    </w:lvl>
    <w:lvl w:ilvl="1" w:tplc="91C0FE10" w:tentative="1">
      <w:start w:val="1"/>
      <w:numFmt w:val="bullet"/>
      <w:lvlText w:val="o"/>
      <w:lvlJc w:val="left"/>
      <w:pPr>
        <w:ind w:left="1440" w:hanging="360"/>
      </w:pPr>
      <w:rPr>
        <w:rFonts w:ascii="Courier New" w:hAnsi="Courier New" w:cs="Courier New" w:hint="default"/>
      </w:rPr>
    </w:lvl>
    <w:lvl w:ilvl="2" w:tplc="67D0000C" w:tentative="1">
      <w:start w:val="1"/>
      <w:numFmt w:val="bullet"/>
      <w:lvlText w:val=""/>
      <w:lvlJc w:val="left"/>
      <w:pPr>
        <w:ind w:left="2160" w:hanging="360"/>
      </w:pPr>
      <w:rPr>
        <w:rFonts w:ascii="Wingdings" w:hAnsi="Wingdings" w:hint="default"/>
      </w:rPr>
    </w:lvl>
    <w:lvl w:ilvl="3" w:tplc="3BE88BDA" w:tentative="1">
      <w:start w:val="1"/>
      <w:numFmt w:val="bullet"/>
      <w:lvlText w:val=""/>
      <w:lvlJc w:val="left"/>
      <w:pPr>
        <w:ind w:left="2880" w:hanging="360"/>
      </w:pPr>
      <w:rPr>
        <w:rFonts w:ascii="Symbol" w:hAnsi="Symbol" w:hint="default"/>
      </w:rPr>
    </w:lvl>
    <w:lvl w:ilvl="4" w:tplc="BDCCCEE8" w:tentative="1">
      <w:start w:val="1"/>
      <w:numFmt w:val="bullet"/>
      <w:lvlText w:val="o"/>
      <w:lvlJc w:val="left"/>
      <w:pPr>
        <w:ind w:left="3600" w:hanging="360"/>
      </w:pPr>
      <w:rPr>
        <w:rFonts w:ascii="Courier New" w:hAnsi="Courier New" w:cs="Courier New" w:hint="default"/>
      </w:rPr>
    </w:lvl>
    <w:lvl w:ilvl="5" w:tplc="3D2C47EC" w:tentative="1">
      <w:start w:val="1"/>
      <w:numFmt w:val="bullet"/>
      <w:lvlText w:val=""/>
      <w:lvlJc w:val="left"/>
      <w:pPr>
        <w:ind w:left="4320" w:hanging="360"/>
      </w:pPr>
      <w:rPr>
        <w:rFonts w:ascii="Wingdings" w:hAnsi="Wingdings" w:hint="default"/>
      </w:rPr>
    </w:lvl>
    <w:lvl w:ilvl="6" w:tplc="935A6AF4" w:tentative="1">
      <w:start w:val="1"/>
      <w:numFmt w:val="bullet"/>
      <w:lvlText w:val=""/>
      <w:lvlJc w:val="left"/>
      <w:pPr>
        <w:ind w:left="5040" w:hanging="360"/>
      </w:pPr>
      <w:rPr>
        <w:rFonts w:ascii="Symbol" w:hAnsi="Symbol" w:hint="default"/>
      </w:rPr>
    </w:lvl>
    <w:lvl w:ilvl="7" w:tplc="83F008B6" w:tentative="1">
      <w:start w:val="1"/>
      <w:numFmt w:val="bullet"/>
      <w:lvlText w:val="o"/>
      <w:lvlJc w:val="left"/>
      <w:pPr>
        <w:ind w:left="5760" w:hanging="360"/>
      </w:pPr>
      <w:rPr>
        <w:rFonts w:ascii="Courier New" w:hAnsi="Courier New" w:cs="Courier New" w:hint="default"/>
      </w:rPr>
    </w:lvl>
    <w:lvl w:ilvl="8" w:tplc="6A84DC6E" w:tentative="1">
      <w:start w:val="1"/>
      <w:numFmt w:val="bullet"/>
      <w:lvlText w:val=""/>
      <w:lvlJc w:val="left"/>
      <w:pPr>
        <w:ind w:left="6480"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96795797">
    <w:abstractNumId w:val="19"/>
  </w:num>
  <w:num w:numId="2" w16cid:durableId="2020084773">
    <w:abstractNumId w:val="16"/>
  </w:num>
  <w:num w:numId="3" w16cid:durableId="1454639792">
    <w:abstractNumId w:val="0"/>
  </w:num>
  <w:num w:numId="4" w16cid:durableId="211693187">
    <w:abstractNumId w:val="6"/>
  </w:num>
  <w:num w:numId="5" w16cid:durableId="1566450340">
    <w:abstractNumId w:val="17"/>
  </w:num>
  <w:num w:numId="6" w16cid:durableId="1761024363">
    <w:abstractNumId w:val="2"/>
  </w:num>
  <w:num w:numId="7" w16cid:durableId="1934437177">
    <w:abstractNumId w:val="13"/>
  </w:num>
  <w:num w:numId="8" w16cid:durableId="1163817896">
    <w:abstractNumId w:val="9"/>
  </w:num>
  <w:num w:numId="9" w16cid:durableId="1790078331">
    <w:abstractNumId w:val="1"/>
  </w:num>
  <w:num w:numId="10" w16cid:durableId="565149251">
    <w:abstractNumId w:val="1"/>
  </w:num>
  <w:num w:numId="11" w16cid:durableId="647174887">
    <w:abstractNumId w:val="3"/>
  </w:num>
  <w:num w:numId="12" w16cid:durableId="1176774333">
    <w:abstractNumId w:val="4"/>
  </w:num>
  <w:num w:numId="13" w16cid:durableId="1806654616">
    <w:abstractNumId w:val="15"/>
  </w:num>
  <w:num w:numId="14" w16cid:durableId="1239638214">
    <w:abstractNumId w:val="10"/>
  </w:num>
  <w:num w:numId="15" w16cid:durableId="1950159807">
    <w:abstractNumId w:val="7"/>
  </w:num>
  <w:num w:numId="16" w16cid:durableId="372004887">
    <w:abstractNumId w:val="14"/>
  </w:num>
  <w:num w:numId="17" w16cid:durableId="803158555">
    <w:abstractNumId w:val="5"/>
  </w:num>
  <w:num w:numId="18" w16cid:durableId="1967194443">
    <w:abstractNumId w:val="12"/>
  </w:num>
  <w:num w:numId="19" w16cid:durableId="2077891986">
    <w:abstractNumId w:val="18"/>
  </w:num>
  <w:num w:numId="20" w16cid:durableId="383718413">
    <w:abstractNumId w:val="11"/>
  </w:num>
  <w:num w:numId="21" w16cid:durableId="15552361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51B0"/>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1948"/>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4960"/>
    <w:rsid w:val="00460ED0"/>
    <w:rsid w:val="00465651"/>
    <w:rsid w:val="00470CE7"/>
    <w:rsid w:val="00470F4F"/>
    <w:rsid w:val="00472482"/>
    <w:rsid w:val="00480DC7"/>
    <w:rsid w:val="00484CBD"/>
    <w:rsid w:val="004876F6"/>
    <w:rsid w:val="0049236A"/>
    <w:rsid w:val="00492718"/>
    <w:rsid w:val="004A355D"/>
    <w:rsid w:val="004A4970"/>
    <w:rsid w:val="004B2183"/>
    <w:rsid w:val="004B2A01"/>
    <w:rsid w:val="004C2559"/>
    <w:rsid w:val="004D7BA3"/>
    <w:rsid w:val="004F4518"/>
    <w:rsid w:val="004F4C62"/>
    <w:rsid w:val="005013F3"/>
    <w:rsid w:val="00501433"/>
    <w:rsid w:val="00511CC4"/>
    <w:rsid w:val="00531E60"/>
    <w:rsid w:val="00536A5A"/>
    <w:rsid w:val="00541D07"/>
    <w:rsid w:val="00544BAB"/>
    <w:rsid w:val="00545F31"/>
    <w:rsid w:val="005561D8"/>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020D"/>
    <w:rsid w:val="0065595B"/>
    <w:rsid w:val="00660269"/>
    <w:rsid w:val="00665F89"/>
    <w:rsid w:val="00673C92"/>
    <w:rsid w:val="006753EC"/>
    <w:rsid w:val="006A2789"/>
    <w:rsid w:val="006A4978"/>
    <w:rsid w:val="006A7261"/>
    <w:rsid w:val="006B0D29"/>
    <w:rsid w:val="006B1819"/>
    <w:rsid w:val="006B37A2"/>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AC1"/>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75F7"/>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1CE8"/>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DF091B"/>
    <w:rsid w:val="00E026BF"/>
    <w:rsid w:val="00E07B1B"/>
    <w:rsid w:val="00E11853"/>
    <w:rsid w:val="00E432D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cadth.ca/frenectomy-correction-ankyloglossia-review-clinical-effectiveness-and-guidelines" TargetMode="External" Id="rId18" /><Relationship Type="http://schemas.openxmlformats.org/officeDocument/2006/relationships/hyperlink" Target="https://research-information.bristol.ac.uk/en/publications/the-development-of-a-tongue-assessment-tool-to-assist-with-tonguetie-identification(d1067897-19c4-4d0d-8e4a-3884a7309e68).html" TargetMode="External" Id="rId26" /><Relationship Type="http://schemas.openxmlformats.org/officeDocument/2006/relationships/hyperlink" Target="https://www.ncbi.nlm.nih.gov/labs/articles/27641715/" TargetMode="External" Id="rId21" /><Relationship Type="http://schemas.openxmlformats.org/officeDocument/2006/relationships/fontTable" Target="fontTable.xm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doi.org/10.1016/j.ijporl.2018.07.045" TargetMode="External" Id="rId17" /><Relationship Type="http://schemas.openxmlformats.org/officeDocument/2006/relationships/hyperlink" Target="https://research-information.bristol.ac.uk/en/persons/alan-m-emond(b432bb07-8080-4608-a60c-407803337018).html" TargetMode="External" Id="rId25" /><Relationship Type="http://schemas.openxmlformats.org/officeDocument/2006/relationships/hyperlink" Target="http://www.theijcp.org/index.php/ijcp/article/view/246" TargetMode="External" Id="rId33" /><Relationship Type="http://schemas.openxmlformats.org/officeDocument/2006/relationships/footer" Target="footer3.xml" Id="rId16" /><Relationship Type="http://schemas.openxmlformats.org/officeDocument/2006/relationships/hyperlink" Target="http://pediatrics.aappublications.org/content/122/1/e188" TargetMode="External" Id="rId20" /><Relationship Type="http://schemas.openxmlformats.org/officeDocument/2006/relationships/hyperlink" Target="https://www.ncbi.nlm.nih.gov/pubmed/12501105"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research-information.bristol.ac.uk/en/persons/debbie-g-f-johnson(47ed3f2d-3856-43c9-b27e-fcf9a8926788).html" TargetMode="External" Id="rId24" /><Relationship Type="http://schemas.openxmlformats.org/officeDocument/2006/relationships/hyperlink" Target="https://www.ncbi.nlm.nih.gov/m/pubmed/25381293/?i=2&amp;from=%2F26314750%2Frelated" TargetMode="External" Id="rId32" /><Relationship Type="http://schemas.openxmlformats.org/officeDocument/2006/relationships/header" Target="header2.xml" Id="rId15" /><Relationship Type="http://schemas.openxmlformats.org/officeDocument/2006/relationships/hyperlink" Target="https://research-information.bristol.ac.uk/en/persons/jenny-c-ingram(7110ee41-d3c2-473b-838e-6cb3335f392e).html" TargetMode="External" Id="rId23" /><Relationship Type="http://schemas.openxmlformats.org/officeDocument/2006/relationships/hyperlink" Target="http://www.lifescienceglobal.com/pms/index.php/ijchn/article/view/3690" TargetMode="External" Id="rId28" /><Relationship Type="http://schemas.openxmlformats.org/officeDocument/2006/relationships/footnotes" Target="footnotes.xml" Id="rId10" /><Relationship Type="http://schemas.openxmlformats.org/officeDocument/2006/relationships/hyperlink" Target="https://www.ncbi.nlm.nih.gov/pubmed/21608523" TargetMode="External" Id="rId19" /><Relationship Type="http://schemas.openxmlformats.org/officeDocument/2006/relationships/hyperlink" Target="https://www.ncbi.nlm.nih.gov/m/pubmed/28284020/?i=5&amp;from=/25258296/related"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clinmedjournals.org/articles/ijpr/ijpr-1-003.pdf" TargetMode="External" Id="rId22" /><Relationship Type="http://schemas.openxmlformats.org/officeDocument/2006/relationships/hyperlink" Target="https://doi.org/10.1177/0890334413491325" TargetMode="External" Id="rId27" /><Relationship Type="http://schemas.openxmlformats.org/officeDocument/2006/relationships/hyperlink" Target="https://www.ncbi.nlm.nih.gov/pubmed/23523198" TargetMode="External" Id="rId30" /><Relationship Type="http://schemas.openxmlformats.org/officeDocument/2006/relationships/theme" Target="theme/theme1.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32</TotalTime>
  <Pages>5</Pages>
  <Words>1428</Words>
  <Characters>10726</Characters>
  <Application>Microsoft Office Word</Application>
  <DocSecurity>0</DocSecurity>
  <Lines>89</Lines>
  <Paragraphs>24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12130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Kort tungband hos spädbarn</dc:title>
  <dc:subject/>
  <dc:creator>patrik.jens.johansson@vgregion.se</dc:creator>
  <keywords/>
  <lastModifiedBy>Ewelyn Persson</lastModifiedBy>
  <revision>10</revision>
  <lastPrinted>2016-03-31T10:56:00.0000000Z</lastPrinted>
  <dcterms:created xsi:type="dcterms:W3CDTF">2022-05-13T03:50:00.0000000Z</dcterms:created>
  <dcterms:modified xsi:type="dcterms:W3CDTF">2025-12-02T10:36:00.0000000Z</dcterms:modified>
</coreProperties>
</file>