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4973B" w14:textId="77777777" w:rsidR="006A0BA6" w:rsidRDefault="006A0BA6" w:rsidP="00F35B05">
      <w:pPr>
        <w:pStyle w:val="Rubrik2"/>
        <w:sectPr w:rsidR="006A0BA6" w:rsidSect="006A0BA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A2EF199" w14:textId="77777777" w:rsidR="006A0BA6" w:rsidRPr="006A0BA6" w:rsidRDefault="006A0BA6" w:rsidP="006A0BA6">
      <w:pPr>
        <w:spacing w:after="0" w:line="240" w:lineRule="auto"/>
        <w:ind w:left="0" w:right="0"/>
        <w:rPr>
          <w:szCs w:val="20"/>
        </w:rPr>
      </w:pPr>
    </w:p>
    <w:p w14:paraId="563BF110" w14:textId="77777777" w:rsidR="00F52BE0" w:rsidRDefault="00F52BE0" w:rsidP="00F52BE0">
      <w:pPr>
        <w:pStyle w:val="Rubrik1"/>
      </w:pPr>
    </w:p>
    <w:p w14:paraId="1D794E34" w14:textId="3E2B2959" w:rsidR="006A0BA6" w:rsidRPr="006A0BA6" w:rsidRDefault="00F52BE0" w:rsidP="00F52BE0">
      <w:pPr>
        <w:pStyle w:val="Rubrik1"/>
        <w:rPr>
          <w:szCs w:val="20"/>
        </w:rPr>
      </w:pPr>
      <w:r>
        <w:t>Immuniseringsfall</w:t>
      </w:r>
      <w:r w:rsidR="006A0BA6" w:rsidRPr="006A0BA6">
        <w:rPr>
          <w:noProof/>
          <w:szCs w:val="20"/>
        </w:rPr>
        <mc:AlternateContent>
          <mc:Choice Requires="wps">
            <w:drawing>
              <wp:anchor distT="0" distB="0" distL="114300" distR="114300" simplePos="0" relativeHeight="251660288" behindDoc="0" locked="0" layoutInCell="1" allowOverlap="1" wp14:anchorId="06FCEBD3" wp14:editId="3F08EF7F">
                <wp:simplePos x="0" y="0"/>
                <wp:positionH relativeFrom="column">
                  <wp:posOffset>6518275</wp:posOffset>
                </wp:positionH>
                <wp:positionV relativeFrom="paragraph">
                  <wp:posOffset>78740</wp:posOffset>
                </wp:positionV>
                <wp:extent cx="1244600" cy="222885"/>
                <wp:effectExtent l="0" t="3810" r="0"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C257D" w14:textId="77777777" w:rsidR="006A0BA6" w:rsidRPr="003D37FD" w:rsidRDefault="006A0BA6" w:rsidP="006A0B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28207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6FCEBD3" id="_x0000_t202" coordsize="21600,21600" o:spt="202" path="m,l,21600r21600,l21600,xe">
                <v:stroke joinstyle="miter"/>
                <v:path gradientshapeok="t" o:connecttype="rect"/>
              </v:shapetype>
              <v:shape id="Text Box 8" o:spid="_x0000_s1026" type="#_x0000_t202"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8CC257D" w14:textId="77777777" w:rsidR="006A0BA6" w:rsidRPr="003D37FD" w:rsidRDefault="006A0BA6" w:rsidP="006A0B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28207</w:t>
                      </w:r>
                      <w:proofErr w:type="gramEnd"/>
                      <w:r w:rsidRPr="003D37FD">
                        <w:rPr>
                          <w:rFonts w:ascii="Arial" w:hAnsi="Arial" w:cs="Arial"/>
                          <w:color w:val="FFFFFF"/>
                          <w:sz w:val="18"/>
                          <w:szCs w:val="18"/>
                        </w:rPr>
                        <w:fldChar w:fldCharType="end"/>
                      </w:r>
                    </w:p>
                  </w:txbxContent>
                </v:textbox>
              </v:shape>
            </w:pict>
          </mc:Fallback>
        </mc:AlternateContent>
      </w:r>
    </w:p>
    <w:p w14:paraId="31DA742E" w14:textId="77777777" w:rsidR="006A0BA6" w:rsidRPr="006A0BA6" w:rsidRDefault="006A0BA6" w:rsidP="00F52BE0">
      <w:pPr>
        <w:pStyle w:val="Rubrik3"/>
      </w:pPr>
      <w:bookmarkStart w:id="1" w:name="_1314629194"/>
      <w:bookmarkStart w:id="2" w:name="Rubrik"/>
      <w:bookmarkEnd w:id="1"/>
      <w:bookmarkEnd w:id="2"/>
      <w:r w:rsidRPr="006A0BA6">
        <w:t>Revidering i denna version</w:t>
      </w:r>
    </w:p>
    <w:p w14:paraId="24A7CAF3" w14:textId="73E9766E" w:rsidR="006A0BA6" w:rsidRPr="006A0BA6" w:rsidRDefault="007A737D" w:rsidP="00F52BE0">
      <w:pPr>
        <w:spacing w:after="0" w:line="240" w:lineRule="auto"/>
        <w:ind w:right="0"/>
        <w:rPr>
          <w:rFonts w:ascii="Calibri" w:hAnsi="Calibri" w:cs="Calibri"/>
          <w:i/>
          <w:iCs/>
        </w:rPr>
      </w:pPr>
      <w:r>
        <w:rPr>
          <w:rFonts w:ascii="Calibri" w:hAnsi="Calibri" w:cs="Calibri"/>
          <w:szCs w:val="20"/>
        </w:rPr>
        <w:t xml:space="preserve">Inga ändringar i denna version. </w:t>
      </w:r>
    </w:p>
    <w:p w14:paraId="08643114" w14:textId="77777777" w:rsidR="00F52BE0" w:rsidRDefault="006A0BA6" w:rsidP="00F52BE0">
      <w:pPr>
        <w:pStyle w:val="Rubrik2"/>
      </w:pPr>
      <w:r w:rsidRPr="006A0BA6">
        <w:t>Bakgrund</w:t>
      </w:r>
    </w:p>
    <w:p w14:paraId="27763B06" w14:textId="3B01071F" w:rsidR="006A0BA6" w:rsidRPr="00F52BE0" w:rsidRDefault="006A0BA6" w:rsidP="00A04433">
      <w:pPr>
        <w:spacing w:line="240" w:lineRule="auto"/>
        <w:ind w:right="-2"/>
        <w:rPr>
          <w:rFonts w:ascii="Calibri" w:hAnsi="Calibri" w:cs="Calibri"/>
          <w:b/>
          <w:bCs/>
          <w:sz w:val="28"/>
        </w:rPr>
      </w:pPr>
      <w:r w:rsidRPr="00F52BE0">
        <w:rPr>
          <w:rFonts w:ascii="Calibri" w:hAnsi="Calibri" w:cs="Calibri"/>
        </w:rPr>
        <w:t xml:space="preserve">På röda blodkroppar finns proteinstrukturer som har antigena egenskaper. Dessa utgör bakgrunden till blodgrupper. Det finns cirka 30 olika blodgrupper och dessa har i sin tur undergrupper. </w:t>
      </w:r>
      <w:r w:rsidR="00A04433">
        <w:rPr>
          <w:rFonts w:ascii="Calibri" w:hAnsi="Calibri" w:cs="Calibri"/>
        </w:rPr>
        <w:t xml:space="preserve">Kroppen kommer uppfatta blod med annan blodgrupp än sin egen som främmande och kommer försöka bryta ner dessa. </w:t>
      </w:r>
      <w:r w:rsidRPr="00F52BE0">
        <w:rPr>
          <w:rFonts w:ascii="Calibri" w:hAnsi="Calibri" w:cs="Calibri"/>
        </w:rPr>
        <w:t>Det bildas då antikroppar (immunsystemet gör närmast som vid vaccinering).</w:t>
      </w:r>
    </w:p>
    <w:p w14:paraId="7DC3207B" w14:textId="5BFB3431" w:rsidR="006A0BA6" w:rsidRPr="00F52BE0" w:rsidRDefault="006A0BA6" w:rsidP="00F52BE0">
      <w:pPr>
        <w:spacing w:after="0" w:line="240" w:lineRule="auto"/>
        <w:ind w:right="0"/>
        <w:rPr>
          <w:rFonts w:ascii="Calibri" w:hAnsi="Calibri" w:cs="Calibri"/>
        </w:rPr>
      </w:pPr>
      <w:r w:rsidRPr="00F52BE0">
        <w:rPr>
          <w:rFonts w:ascii="Calibri" w:hAnsi="Calibri" w:cs="Calibri"/>
        </w:rPr>
        <w:t xml:space="preserve">Om antikroppar finns och överförs till fostret kommer fostrets blodkroppar att brytas ned. Det ger fetal anemi och kallas </w:t>
      </w:r>
      <w:proofErr w:type="spellStart"/>
      <w:r w:rsidRPr="00F52BE0">
        <w:rPr>
          <w:rFonts w:ascii="Calibri" w:hAnsi="Calibri" w:cs="Calibri"/>
        </w:rPr>
        <w:t>Morbus</w:t>
      </w:r>
      <w:proofErr w:type="spellEnd"/>
      <w:r w:rsidRPr="00F52BE0">
        <w:rPr>
          <w:rFonts w:ascii="Calibri" w:hAnsi="Calibri" w:cs="Calibri"/>
        </w:rPr>
        <w:t xml:space="preserve"> </w:t>
      </w:r>
      <w:proofErr w:type="spellStart"/>
      <w:r w:rsidRPr="00F52BE0">
        <w:rPr>
          <w:rFonts w:ascii="Calibri" w:hAnsi="Calibri" w:cs="Calibri"/>
        </w:rPr>
        <w:t>Haemolyticum</w:t>
      </w:r>
      <w:proofErr w:type="spellEnd"/>
      <w:r w:rsidRPr="00F52BE0">
        <w:rPr>
          <w:rFonts w:ascii="Calibri" w:hAnsi="Calibri" w:cs="Calibri"/>
        </w:rPr>
        <w:t xml:space="preserve"> </w:t>
      </w:r>
      <w:proofErr w:type="spellStart"/>
      <w:r w:rsidRPr="00F52BE0">
        <w:rPr>
          <w:rFonts w:ascii="Calibri" w:hAnsi="Calibri" w:cs="Calibri"/>
        </w:rPr>
        <w:t>Neonatorum</w:t>
      </w:r>
      <w:proofErr w:type="spellEnd"/>
      <w:r w:rsidRPr="00F52BE0">
        <w:rPr>
          <w:rFonts w:ascii="Calibri" w:hAnsi="Calibri" w:cs="Calibri"/>
        </w:rPr>
        <w:t xml:space="preserve"> (MHN). </w:t>
      </w:r>
      <w:r w:rsidRPr="00F52BE0">
        <w:rPr>
          <w:rFonts w:ascii="Calibri" w:hAnsi="Calibri" w:cs="Calibri"/>
        </w:rPr>
        <w:br/>
        <w:t>Antikroppar kan typbestämmas och mängd kan anges som en titer (</w:t>
      </w:r>
      <w:r w:rsidR="00A04433">
        <w:rPr>
          <w:rFonts w:ascii="Calibri" w:hAnsi="Calibri" w:cs="Calibri"/>
        </w:rPr>
        <w:t xml:space="preserve">blodet </w:t>
      </w:r>
      <w:r w:rsidRPr="00F52BE0">
        <w:rPr>
          <w:rFonts w:ascii="Calibri" w:hAnsi="Calibri" w:cs="Calibri"/>
        </w:rPr>
        <w:t>förtunna</w:t>
      </w:r>
      <w:r w:rsidR="00A04433">
        <w:rPr>
          <w:rFonts w:ascii="Calibri" w:hAnsi="Calibri" w:cs="Calibri"/>
        </w:rPr>
        <w:t>s</w:t>
      </w:r>
      <w:r w:rsidRPr="00F52BE0">
        <w:rPr>
          <w:rFonts w:ascii="Calibri" w:hAnsi="Calibri" w:cs="Calibri"/>
        </w:rPr>
        <w:t xml:space="preserve"> då till</w:t>
      </w:r>
      <w:r w:rsidR="00A04433">
        <w:rPr>
          <w:rFonts w:ascii="Calibri" w:hAnsi="Calibri" w:cs="Calibri"/>
        </w:rPr>
        <w:t>s</w:t>
      </w:r>
      <w:r w:rsidRPr="00F52BE0">
        <w:rPr>
          <w:rFonts w:ascii="Calibri" w:hAnsi="Calibri" w:cs="Calibri"/>
        </w:rPr>
        <w:t xml:space="preserve"> ingen reaktion uppkommer längre). Det går också an att kvantifiera antikroppsnivån. Nu finns också möjligheten med NIPT att fastslå fostrets </w:t>
      </w:r>
      <w:proofErr w:type="spellStart"/>
      <w:r w:rsidRPr="00F52BE0">
        <w:rPr>
          <w:rFonts w:ascii="Calibri" w:hAnsi="Calibri" w:cs="Calibri"/>
        </w:rPr>
        <w:t>Rh</w:t>
      </w:r>
      <w:proofErr w:type="spellEnd"/>
      <w:r w:rsidRPr="00F52BE0">
        <w:rPr>
          <w:rFonts w:ascii="Calibri" w:hAnsi="Calibri" w:cs="Calibri"/>
        </w:rPr>
        <w:t xml:space="preserve">-D egenskap. </w:t>
      </w:r>
    </w:p>
    <w:p w14:paraId="1B4CFC75" w14:textId="77777777" w:rsidR="000800C2" w:rsidRDefault="006A0BA6" w:rsidP="000800C2">
      <w:pPr>
        <w:pStyle w:val="Rubrik3"/>
      </w:pPr>
      <w:r w:rsidRPr="006A0BA6">
        <w:t>Åtgärder</w:t>
      </w:r>
    </w:p>
    <w:p w14:paraId="41C1FD94" w14:textId="75EE15CC" w:rsidR="006A0BA6" w:rsidRPr="006A0BA6" w:rsidRDefault="006A0BA6" w:rsidP="000800C2">
      <w:pPr>
        <w:pStyle w:val="MellanrubrikVGR"/>
        <w:spacing w:before="0" w:after="0"/>
        <w:rPr>
          <w:sz w:val="28"/>
        </w:rPr>
      </w:pPr>
      <w:r w:rsidRPr="006A0BA6">
        <w:t>MHV handläggning</w:t>
      </w:r>
    </w:p>
    <w:p w14:paraId="4A29EA03"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Alla gravida får via basprogrammet utfört blodgruppsbestämning vid graviditetsvecka 10 – 12 och 28 – 30. Vid blodgruppering undersöks om irreguljära antikroppar föreligger (detta kallas IAT – indirekt antiglobulin test). I de fall irreguljära antikroppar påvisas kommer dessa beskrivas, dels vilken antikropp som föreligger, dels hur starkt denna uttrycks; titerbestämning. </w:t>
      </w:r>
    </w:p>
    <w:p w14:paraId="4503475C"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I graviditetsvecka 10 – 12 tas ytterligare ett blodprov hos patienter som är </w:t>
      </w:r>
      <w:proofErr w:type="spellStart"/>
      <w:r w:rsidRPr="006A0BA6">
        <w:rPr>
          <w:rFonts w:ascii="Calibri" w:hAnsi="Calibri" w:cs="Calibri"/>
        </w:rPr>
        <w:t>Rh</w:t>
      </w:r>
      <w:proofErr w:type="spellEnd"/>
      <w:r w:rsidRPr="006A0BA6">
        <w:rPr>
          <w:rFonts w:ascii="Calibri" w:hAnsi="Calibri" w:cs="Calibri"/>
        </w:rPr>
        <w:t xml:space="preserve">-D negativa för NIPT med hänsyn till </w:t>
      </w:r>
      <w:proofErr w:type="spellStart"/>
      <w:r w:rsidRPr="006A0BA6">
        <w:rPr>
          <w:rFonts w:ascii="Calibri" w:hAnsi="Calibri" w:cs="Calibri"/>
        </w:rPr>
        <w:t>Rh</w:t>
      </w:r>
      <w:proofErr w:type="spellEnd"/>
      <w:r w:rsidRPr="006A0BA6">
        <w:rPr>
          <w:rFonts w:ascii="Calibri" w:hAnsi="Calibri" w:cs="Calibri"/>
        </w:rPr>
        <w:t xml:space="preserve">-D faktor hos fostret (visar det sig vid senare datering att </w:t>
      </w:r>
      <w:proofErr w:type="spellStart"/>
      <w:r w:rsidRPr="006A0BA6">
        <w:rPr>
          <w:rFonts w:ascii="Calibri" w:hAnsi="Calibri" w:cs="Calibri"/>
        </w:rPr>
        <w:t>gestationsåldern</w:t>
      </w:r>
      <w:proofErr w:type="spellEnd"/>
      <w:r w:rsidRPr="006A0BA6">
        <w:rPr>
          <w:rFonts w:ascii="Calibri" w:hAnsi="Calibri" w:cs="Calibri"/>
        </w:rPr>
        <w:t xml:space="preserve"> vid provtagning var &lt;10+0 graviditetsveckor tas provet om på grund av risk för falskt negativt fetalt </w:t>
      </w:r>
      <w:proofErr w:type="spellStart"/>
      <w:r w:rsidRPr="006A0BA6">
        <w:rPr>
          <w:rFonts w:ascii="Calibri" w:hAnsi="Calibri" w:cs="Calibri"/>
        </w:rPr>
        <w:t>Rh</w:t>
      </w:r>
      <w:proofErr w:type="spellEnd"/>
      <w:r w:rsidRPr="006A0BA6">
        <w:rPr>
          <w:rFonts w:ascii="Calibri" w:hAnsi="Calibri" w:cs="Calibri"/>
        </w:rPr>
        <w:t xml:space="preserve">-D svar). </w:t>
      </w:r>
    </w:p>
    <w:p w14:paraId="758E39CA" w14:textId="77777777" w:rsidR="002F7646" w:rsidRDefault="002F7646" w:rsidP="000800C2">
      <w:pPr>
        <w:spacing w:after="0"/>
        <w:rPr>
          <w:rFonts w:ascii="Calibri" w:hAnsi="Calibri" w:cs="Calibri"/>
          <w:b/>
          <w:bCs/>
        </w:rPr>
      </w:pPr>
    </w:p>
    <w:p w14:paraId="29D57F32" w14:textId="4E783B78" w:rsidR="006A0BA6" w:rsidRPr="000800C2" w:rsidRDefault="006A0BA6" w:rsidP="000800C2">
      <w:pPr>
        <w:spacing w:after="0"/>
        <w:rPr>
          <w:rFonts w:ascii="Calibri" w:hAnsi="Calibri" w:cs="Calibri"/>
          <w:b/>
          <w:bCs/>
        </w:rPr>
      </w:pPr>
      <w:r w:rsidRPr="000800C2">
        <w:rPr>
          <w:rFonts w:ascii="Calibri" w:hAnsi="Calibri" w:cs="Calibri"/>
          <w:b/>
          <w:bCs/>
        </w:rPr>
        <w:lastRenderedPageBreak/>
        <w:t>Antikroppar är påvisade</w:t>
      </w:r>
    </w:p>
    <w:p w14:paraId="7E7D74C8"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Se då vilka antikroppar som är påvisade. De antikroppar som är viktigast och allvarligast inom </w:t>
      </w:r>
      <w:proofErr w:type="spellStart"/>
      <w:r w:rsidRPr="006A0BA6">
        <w:rPr>
          <w:rFonts w:ascii="Calibri" w:hAnsi="Calibri" w:cs="Calibri"/>
        </w:rPr>
        <w:t>Rhesus</w:t>
      </w:r>
      <w:proofErr w:type="spellEnd"/>
      <w:r w:rsidRPr="006A0BA6">
        <w:rPr>
          <w:rFonts w:ascii="Calibri" w:hAnsi="Calibri" w:cs="Calibri"/>
        </w:rPr>
        <w:t xml:space="preserve">-systemet är </w:t>
      </w:r>
      <w:proofErr w:type="spellStart"/>
      <w:r w:rsidRPr="006A0BA6">
        <w:rPr>
          <w:rFonts w:ascii="Calibri" w:hAnsi="Calibri" w:cs="Calibri"/>
        </w:rPr>
        <w:t>Rh</w:t>
      </w:r>
      <w:proofErr w:type="spellEnd"/>
      <w:r w:rsidRPr="006A0BA6">
        <w:rPr>
          <w:rFonts w:ascii="Calibri" w:hAnsi="Calibri" w:cs="Calibri"/>
        </w:rPr>
        <w:t xml:space="preserve">-D och </w:t>
      </w:r>
      <w:proofErr w:type="spellStart"/>
      <w:r w:rsidRPr="006A0BA6">
        <w:rPr>
          <w:rFonts w:ascii="Calibri" w:hAnsi="Calibri" w:cs="Calibri"/>
        </w:rPr>
        <w:t>Rh</w:t>
      </w:r>
      <w:proofErr w:type="spellEnd"/>
      <w:r w:rsidRPr="006A0BA6">
        <w:rPr>
          <w:rFonts w:ascii="Calibri" w:hAnsi="Calibri" w:cs="Calibri"/>
        </w:rPr>
        <w:t xml:space="preserve">-c och inom Kell systemet K. </w:t>
      </w:r>
    </w:p>
    <w:p w14:paraId="2DF611C5"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Mindre vanligt men förekommande inom </w:t>
      </w:r>
      <w:proofErr w:type="spellStart"/>
      <w:r w:rsidRPr="006A0BA6">
        <w:rPr>
          <w:rFonts w:ascii="Calibri" w:hAnsi="Calibri" w:cs="Calibri"/>
        </w:rPr>
        <w:t>Rh</w:t>
      </w:r>
      <w:proofErr w:type="spellEnd"/>
      <w:r w:rsidRPr="006A0BA6">
        <w:rPr>
          <w:rFonts w:ascii="Calibri" w:hAnsi="Calibri" w:cs="Calibri"/>
        </w:rPr>
        <w:t xml:space="preserve">-systemet är </w:t>
      </w:r>
      <w:proofErr w:type="spellStart"/>
      <w:r w:rsidRPr="006A0BA6">
        <w:rPr>
          <w:rFonts w:ascii="Calibri" w:hAnsi="Calibri" w:cs="Calibri"/>
        </w:rPr>
        <w:t>Rh</w:t>
      </w:r>
      <w:proofErr w:type="spellEnd"/>
      <w:r w:rsidRPr="006A0BA6">
        <w:rPr>
          <w:rFonts w:ascii="Calibri" w:hAnsi="Calibri" w:cs="Calibri"/>
        </w:rPr>
        <w:t xml:space="preserve">-C, </w:t>
      </w:r>
      <w:proofErr w:type="spellStart"/>
      <w:r w:rsidRPr="006A0BA6">
        <w:rPr>
          <w:rFonts w:ascii="Calibri" w:hAnsi="Calibri" w:cs="Calibri"/>
        </w:rPr>
        <w:t>Rh</w:t>
      </w:r>
      <w:proofErr w:type="spellEnd"/>
      <w:r w:rsidRPr="006A0BA6">
        <w:rPr>
          <w:rFonts w:ascii="Calibri" w:hAnsi="Calibri" w:cs="Calibri"/>
        </w:rPr>
        <w:t xml:space="preserve">-E och </w:t>
      </w:r>
      <w:proofErr w:type="spellStart"/>
      <w:r w:rsidRPr="006A0BA6">
        <w:rPr>
          <w:rFonts w:ascii="Calibri" w:hAnsi="Calibri" w:cs="Calibri"/>
        </w:rPr>
        <w:t>Rh</w:t>
      </w:r>
      <w:proofErr w:type="spellEnd"/>
      <w:r w:rsidRPr="006A0BA6">
        <w:rPr>
          <w:rFonts w:ascii="Calibri" w:hAnsi="Calibri" w:cs="Calibri"/>
        </w:rPr>
        <w:t>-e</w:t>
      </w:r>
    </w:p>
    <w:p w14:paraId="541488CF"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och inom Kell systemet k.</w:t>
      </w:r>
    </w:p>
    <w:p w14:paraId="32D149A9"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Duffy systemet är mindre vanligt men förekommer; anti-Fyª, anti-</w:t>
      </w:r>
      <w:proofErr w:type="spellStart"/>
      <w:r w:rsidRPr="006A0BA6">
        <w:rPr>
          <w:rFonts w:ascii="Calibri" w:hAnsi="Calibri" w:cs="Calibri"/>
        </w:rPr>
        <w:t>Fy</w:t>
      </w:r>
      <w:r w:rsidRPr="006A0BA6">
        <w:rPr>
          <w:rFonts w:ascii="Calibri" w:hAnsi="Calibri" w:cs="Calibri"/>
          <w:vertAlign w:val="superscript"/>
        </w:rPr>
        <w:t>b</w:t>
      </w:r>
      <w:proofErr w:type="spellEnd"/>
      <w:r w:rsidRPr="006A0BA6">
        <w:rPr>
          <w:rFonts w:ascii="Calibri" w:hAnsi="Calibri" w:cs="Calibri"/>
        </w:rPr>
        <w:t>.</w:t>
      </w:r>
    </w:p>
    <w:p w14:paraId="2203B7C8"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Dessa antikroppar kan ge allvarlig immunisering och se då på titerbestämningen.</w:t>
      </w:r>
    </w:p>
    <w:p w14:paraId="03AE2FE7"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Vid titer till och med 1:32 så kan patienten följas på MHV. Dessa antikroppar följs med titerbestämning var fjärde vecka.</w:t>
      </w:r>
    </w:p>
    <w:p w14:paraId="4C7065E4"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Vid titer 1:64 eller högre, så remitteras patienten till specialistmödravården.</w:t>
      </w:r>
      <w:r w:rsidRPr="006A0BA6">
        <w:rPr>
          <w:rFonts w:ascii="Calibri" w:hAnsi="Calibri" w:cs="Calibri"/>
        </w:rPr>
        <w:br/>
        <w:t xml:space="preserve">Patienter som tidigare har haft allvarlig immunisering kan remitteras redan vid inskrivningsbesök på MHV.  </w:t>
      </w:r>
    </w:p>
    <w:p w14:paraId="0F01C5C8" w14:textId="77777777" w:rsidR="006A0BA6" w:rsidRPr="006A0BA6" w:rsidRDefault="006A0BA6" w:rsidP="00F52BE0">
      <w:pPr>
        <w:spacing w:after="0" w:line="240" w:lineRule="auto"/>
        <w:ind w:right="0"/>
        <w:rPr>
          <w:rFonts w:ascii="Arial" w:hAnsi="Arial" w:cs="Arial"/>
        </w:rPr>
      </w:pPr>
    </w:p>
    <w:p w14:paraId="520D36FD"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Antikroppar i andra blodgruppssystem är mindre benägna att ge allvarlig immunisering. Detta gäller till exempel </w:t>
      </w:r>
      <w:proofErr w:type="spellStart"/>
      <w:r w:rsidRPr="006A0BA6">
        <w:rPr>
          <w:rFonts w:ascii="Calibri" w:hAnsi="Calibri" w:cs="Calibri"/>
        </w:rPr>
        <w:t>Kidd</w:t>
      </w:r>
      <w:proofErr w:type="spellEnd"/>
      <w:r w:rsidRPr="006A0BA6">
        <w:rPr>
          <w:rFonts w:ascii="Calibri" w:hAnsi="Calibri" w:cs="Calibri"/>
        </w:rPr>
        <w:t xml:space="preserve">, MNS, Lutheran och P-systemet. Antikroppar i dessa system kan följas med titerbestämning var åttonde vecka. Remitteras från MHV till specialistmödravården på samma grunder som allvarliga antikroppar; alltså vid titer högre än 1:32. </w:t>
      </w:r>
    </w:p>
    <w:p w14:paraId="60035DA0" w14:textId="77777777" w:rsidR="006A0BA6" w:rsidRPr="006A0BA6" w:rsidRDefault="006A0BA6" w:rsidP="00F52BE0">
      <w:pPr>
        <w:spacing w:after="0" w:line="240" w:lineRule="auto"/>
        <w:ind w:right="0"/>
        <w:rPr>
          <w:rFonts w:ascii="Calibri" w:hAnsi="Calibri" w:cs="Calibri"/>
          <w:b/>
        </w:rPr>
      </w:pPr>
    </w:p>
    <w:p w14:paraId="7C2BBB88" w14:textId="24DF1B77" w:rsidR="006A0BA6" w:rsidRPr="006A0BA6" w:rsidRDefault="006A0BA6" w:rsidP="00F52BE0">
      <w:pPr>
        <w:spacing w:after="0" w:line="240" w:lineRule="auto"/>
        <w:ind w:right="0"/>
        <w:rPr>
          <w:rFonts w:ascii="Calibri" w:hAnsi="Calibri" w:cs="Calibri"/>
        </w:rPr>
      </w:pPr>
      <w:r w:rsidRPr="006A0BA6">
        <w:rPr>
          <w:rFonts w:ascii="Calibri" w:hAnsi="Calibri" w:cs="Calibri"/>
          <w:b/>
        </w:rPr>
        <w:t>AB0-systemet</w:t>
      </w:r>
      <w:r w:rsidRPr="006A0BA6">
        <w:rPr>
          <w:rFonts w:ascii="Calibri" w:hAnsi="Calibri" w:cs="Calibri"/>
        </w:rPr>
        <w:t xml:space="preserve"> ger inte risk för fetal </w:t>
      </w:r>
      <w:proofErr w:type="spellStart"/>
      <w:r w:rsidRPr="006A0BA6">
        <w:rPr>
          <w:rFonts w:ascii="Calibri" w:hAnsi="Calibri" w:cs="Calibri"/>
        </w:rPr>
        <w:t>erytroblastos</w:t>
      </w:r>
      <w:proofErr w:type="spellEnd"/>
      <w:r w:rsidRPr="006A0BA6">
        <w:rPr>
          <w:rFonts w:ascii="Calibri" w:hAnsi="Calibri" w:cs="Calibri"/>
        </w:rPr>
        <w:t xml:space="preserve"> eller anemi. Detta behöver därför inte följas under graviditeten. Dock finns liten ökad risk för neonatal </w:t>
      </w:r>
      <w:proofErr w:type="spellStart"/>
      <w:r w:rsidRPr="006A0BA6">
        <w:rPr>
          <w:rFonts w:ascii="Calibri" w:hAnsi="Calibri" w:cs="Calibri"/>
        </w:rPr>
        <w:t>hyperbilirubinemi</w:t>
      </w:r>
      <w:proofErr w:type="spellEnd"/>
      <w:r w:rsidRPr="006A0BA6">
        <w:rPr>
          <w:rFonts w:ascii="Calibri" w:hAnsi="Calibri" w:cs="Calibri"/>
        </w:rPr>
        <w:t xml:space="preserve">. Därför </w:t>
      </w:r>
      <w:r w:rsidR="00885088">
        <w:rPr>
          <w:rFonts w:ascii="Calibri" w:hAnsi="Calibri" w:cs="Calibri"/>
        </w:rPr>
        <w:t>ska</w:t>
      </w:r>
      <w:r w:rsidRPr="006A0BA6">
        <w:rPr>
          <w:rFonts w:ascii="Calibri" w:hAnsi="Calibri" w:cs="Calibri"/>
        </w:rPr>
        <w:t xml:space="preserve"> barnläkare informeras </w:t>
      </w:r>
      <w:proofErr w:type="spellStart"/>
      <w:r w:rsidRPr="006A0BA6">
        <w:rPr>
          <w:rFonts w:ascii="Calibri" w:hAnsi="Calibri" w:cs="Calibri"/>
        </w:rPr>
        <w:t>postpartum</w:t>
      </w:r>
      <w:proofErr w:type="spellEnd"/>
      <w:r w:rsidRPr="006A0BA6">
        <w:rPr>
          <w:rFonts w:ascii="Calibri" w:hAnsi="Calibri" w:cs="Calibri"/>
        </w:rPr>
        <w:t xml:space="preserve"> om att det föreligger känd, eller misstanke om, AB0-immunisering. </w:t>
      </w:r>
    </w:p>
    <w:p w14:paraId="34C64CA3"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(Lewis-systemet ger likaledes inte ökad fetal risk men möjlig neonatal risk.) </w:t>
      </w:r>
    </w:p>
    <w:p w14:paraId="6BEA4FF9" w14:textId="77777777" w:rsidR="000800C2" w:rsidRDefault="000800C2" w:rsidP="000800C2">
      <w:pPr>
        <w:spacing w:after="0"/>
        <w:rPr>
          <w:rFonts w:ascii="Calibri" w:hAnsi="Calibri" w:cs="Calibri"/>
          <w:b/>
          <w:bCs/>
        </w:rPr>
      </w:pPr>
    </w:p>
    <w:p w14:paraId="3676E959" w14:textId="46635615" w:rsidR="006A0BA6" w:rsidRPr="000800C2" w:rsidRDefault="006A0BA6" w:rsidP="000800C2">
      <w:pPr>
        <w:spacing w:after="0"/>
        <w:rPr>
          <w:rFonts w:ascii="Calibri" w:hAnsi="Calibri" w:cs="Calibri"/>
          <w:b/>
          <w:bCs/>
        </w:rPr>
      </w:pPr>
      <w:r w:rsidRPr="000800C2">
        <w:rPr>
          <w:rFonts w:ascii="Calibri" w:hAnsi="Calibri" w:cs="Calibri"/>
          <w:b/>
          <w:bCs/>
        </w:rPr>
        <w:t>Profylax</w:t>
      </w:r>
    </w:p>
    <w:p w14:paraId="0AE2D6E6" w14:textId="77777777" w:rsidR="006A0BA6" w:rsidRPr="006A0BA6" w:rsidRDefault="006A0BA6" w:rsidP="00F52BE0">
      <w:pPr>
        <w:spacing w:after="0" w:line="240" w:lineRule="auto"/>
        <w:ind w:right="0"/>
        <w:rPr>
          <w:rFonts w:ascii="Calibri" w:hAnsi="Calibri" w:cs="Calibri"/>
          <w:szCs w:val="20"/>
        </w:rPr>
      </w:pPr>
      <w:r w:rsidRPr="006A0BA6">
        <w:rPr>
          <w:rFonts w:ascii="Calibri" w:hAnsi="Calibri" w:cs="Calibri"/>
          <w:szCs w:val="20"/>
        </w:rPr>
        <w:t xml:space="preserve">De patienter som är </w:t>
      </w:r>
      <w:proofErr w:type="spellStart"/>
      <w:r w:rsidRPr="006A0BA6">
        <w:rPr>
          <w:rFonts w:ascii="Calibri" w:hAnsi="Calibri" w:cs="Calibri"/>
          <w:szCs w:val="20"/>
        </w:rPr>
        <w:t>Rh</w:t>
      </w:r>
      <w:proofErr w:type="spellEnd"/>
      <w:r w:rsidRPr="006A0BA6">
        <w:rPr>
          <w:rFonts w:ascii="Calibri" w:hAnsi="Calibri" w:cs="Calibri"/>
          <w:szCs w:val="20"/>
        </w:rPr>
        <w:t xml:space="preserve">-D negativa och har ett foster som är </w:t>
      </w:r>
      <w:proofErr w:type="spellStart"/>
      <w:r w:rsidRPr="006A0BA6">
        <w:rPr>
          <w:rFonts w:ascii="Calibri" w:hAnsi="Calibri" w:cs="Calibri"/>
          <w:szCs w:val="20"/>
        </w:rPr>
        <w:t>Rh</w:t>
      </w:r>
      <w:proofErr w:type="spellEnd"/>
      <w:r w:rsidRPr="006A0BA6">
        <w:rPr>
          <w:rFonts w:ascii="Calibri" w:hAnsi="Calibri" w:cs="Calibri"/>
          <w:szCs w:val="20"/>
        </w:rPr>
        <w:t xml:space="preserve">-D positivt och inte är immuniserade mot </w:t>
      </w:r>
      <w:proofErr w:type="spellStart"/>
      <w:r w:rsidRPr="006A0BA6">
        <w:rPr>
          <w:rFonts w:ascii="Calibri" w:hAnsi="Calibri" w:cs="Calibri"/>
          <w:szCs w:val="20"/>
        </w:rPr>
        <w:t>Rh</w:t>
      </w:r>
      <w:proofErr w:type="spellEnd"/>
      <w:r w:rsidRPr="006A0BA6">
        <w:rPr>
          <w:rFonts w:ascii="Calibri" w:hAnsi="Calibri" w:cs="Calibri"/>
          <w:szCs w:val="20"/>
        </w:rPr>
        <w:t xml:space="preserve">-D; dessa får profylax mot </w:t>
      </w:r>
      <w:proofErr w:type="spellStart"/>
      <w:r w:rsidRPr="006A0BA6">
        <w:rPr>
          <w:rFonts w:ascii="Calibri" w:hAnsi="Calibri" w:cs="Calibri"/>
          <w:szCs w:val="20"/>
        </w:rPr>
        <w:t>Rh</w:t>
      </w:r>
      <w:proofErr w:type="spellEnd"/>
      <w:r w:rsidRPr="006A0BA6">
        <w:rPr>
          <w:rFonts w:ascii="Calibri" w:hAnsi="Calibri" w:cs="Calibri"/>
          <w:szCs w:val="20"/>
        </w:rPr>
        <w:t xml:space="preserve">-D i graviditetsvecka 28 – 30. Profylax finns bara mot </w:t>
      </w:r>
      <w:proofErr w:type="spellStart"/>
      <w:r w:rsidRPr="006A0BA6">
        <w:rPr>
          <w:rFonts w:ascii="Calibri" w:hAnsi="Calibri" w:cs="Calibri"/>
          <w:szCs w:val="20"/>
        </w:rPr>
        <w:t>Rh</w:t>
      </w:r>
      <w:proofErr w:type="spellEnd"/>
      <w:r w:rsidRPr="006A0BA6">
        <w:rPr>
          <w:rFonts w:ascii="Calibri" w:hAnsi="Calibri" w:cs="Calibri"/>
          <w:szCs w:val="20"/>
        </w:rPr>
        <w:t xml:space="preserve">-D, inte övriga antikroppar. </w:t>
      </w:r>
    </w:p>
    <w:p w14:paraId="74A8B1A4" w14:textId="77777777" w:rsidR="000800C2" w:rsidRDefault="000800C2" w:rsidP="000800C2">
      <w:pPr>
        <w:pStyle w:val="MellanrubrikVGR"/>
        <w:spacing w:before="0" w:after="0"/>
      </w:pPr>
    </w:p>
    <w:p w14:paraId="3B5AE7AF" w14:textId="4F6BC671" w:rsidR="006A0BA6" w:rsidRDefault="006A0BA6" w:rsidP="000800C2">
      <w:pPr>
        <w:pStyle w:val="MellanrubrikVGR"/>
        <w:spacing w:before="0" w:after="0"/>
      </w:pPr>
      <w:r w:rsidRPr="006A0BA6">
        <w:t>SMVC – handläggning allvarlig immunisering</w:t>
      </w:r>
    </w:p>
    <w:p w14:paraId="2976EBE8"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Med detta menas påvisade irreguljära antikroppar och titerbestämning 1:64 eller högre. </w:t>
      </w:r>
    </w:p>
    <w:p w14:paraId="5244FA1F"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Dessa patienter följs på SMVC. </w:t>
      </w:r>
    </w:p>
    <w:p w14:paraId="3B3C651B" w14:textId="77777777" w:rsidR="006A0BA6" w:rsidRPr="006A0BA6" w:rsidRDefault="006A0BA6" w:rsidP="00F52BE0">
      <w:pPr>
        <w:numPr>
          <w:ilvl w:val="0"/>
          <w:numId w:val="20"/>
        </w:numPr>
        <w:spacing w:after="0" w:line="240" w:lineRule="auto"/>
        <w:ind w:left="1664" w:right="0"/>
        <w:rPr>
          <w:rFonts w:ascii="Calibri" w:hAnsi="Calibri" w:cs="Calibri"/>
        </w:rPr>
      </w:pPr>
      <w:r w:rsidRPr="006A0BA6">
        <w:rPr>
          <w:rFonts w:ascii="Calibri" w:hAnsi="Calibri" w:cs="Calibri"/>
        </w:rPr>
        <w:t>Titerbestämning görs var fjärde vecka men vid tilltagande titerstegring bör detta göras tätare, till exempel varannan vecka. Det finns inga säkra gränser för detta, så en individuell bedömning får göras.</w:t>
      </w:r>
    </w:p>
    <w:p w14:paraId="16FFA197" w14:textId="77777777" w:rsidR="006A0BA6" w:rsidRPr="006A0BA6" w:rsidRDefault="006A0BA6" w:rsidP="00F52BE0">
      <w:pPr>
        <w:numPr>
          <w:ilvl w:val="0"/>
          <w:numId w:val="20"/>
        </w:numPr>
        <w:spacing w:after="0" w:line="240" w:lineRule="auto"/>
        <w:ind w:left="1664" w:right="0"/>
        <w:rPr>
          <w:rFonts w:ascii="Calibri" w:hAnsi="Calibri" w:cs="Calibri"/>
        </w:rPr>
      </w:pPr>
      <w:r w:rsidRPr="006A0BA6">
        <w:rPr>
          <w:rFonts w:ascii="Calibri" w:hAnsi="Calibri" w:cs="Calibri"/>
        </w:rPr>
        <w:t>Ultraljud för tillväxt, fostervatten, fosterrörelser görs.</w:t>
      </w:r>
    </w:p>
    <w:p w14:paraId="67E6DD18" w14:textId="77777777" w:rsidR="006A0BA6" w:rsidRPr="006A0BA6" w:rsidRDefault="006A0BA6" w:rsidP="00F52BE0">
      <w:pPr>
        <w:numPr>
          <w:ilvl w:val="0"/>
          <w:numId w:val="20"/>
        </w:numPr>
        <w:spacing w:after="0" w:line="240" w:lineRule="auto"/>
        <w:ind w:left="1664" w:right="0"/>
        <w:rPr>
          <w:rFonts w:ascii="Calibri" w:hAnsi="Calibri" w:cs="Calibri"/>
        </w:rPr>
      </w:pPr>
      <w:r w:rsidRPr="006A0BA6">
        <w:rPr>
          <w:rFonts w:ascii="Calibri" w:hAnsi="Calibri" w:cs="Calibri"/>
        </w:rPr>
        <w:t xml:space="preserve">Ultraljud Doppler flödesmätning görs. Vanligt </w:t>
      </w:r>
      <w:proofErr w:type="spellStart"/>
      <w:r w:rsidRPr="006A0BA6">
        <w:rPr>
          <w:rFonts w:ascii="Calibri" w:hAnsi="Calibri" w:cs="Calibri"/>
          <w:b/>
        </w:rPr>
        <w:t>umbilikalartärflöde</w:t>
      </w:r>
      <w:proofErr w:type="spellEnd"/>
      <w:r w:rsidRPr="006A0BA6">
        <w:rPr>
          <w:rFonts w:ascii="Calibri" w:hAnsi="Calibri" w:cs="Calibri"/>
        </w:rPr>
        <w:t xml:space="preserve"> görs och sedan mäts </w:t>
      </w:r>
      <w:r w:rsidRPr="006A0BA6">
        <w:rPr>
          <w:rFonts w:ascii="Calibri" w:hAnsi="Calibri" w:cs="Calibri"/>
          <w:b/>
        </w:rPr>
        <w:t xml:space="preserve">max flödeshastighet i </w:t>
      </w:r>
      <w:proofErr w:type="spellStart"/>
      <w:r w:rsidRPr="006A0BA6">
        <w:rPr>
          <w:rFonts w:ascii="Calibri" w:hAnsi="Calibri" w:cs="Calibri"/>
          <w:b/>
        </w:rPr>
        <w:t>arteria</w:t>
      </w:r>
      <w:proofErr w:type="spellEnd"/>
      <w:r w:rsidRPr="006A0BA6">
        <w:rPr>
          <w:rFonts w:ascii="Calibri" w:hAnsi="Calibri" w:cs="Calibri"/>
          <w:b/>
        </w:rPr>
        <w:t xml:space="preserve"> </w:t>
      </w:r>
      <w:proofErr w:type="spellStart"/>
      <w:r w:rsidRPr="006A0BA6">
        <w:rPr>
          <w:rFonts w:ascii="Calibri" w:hAnsi="Calibri" w:cs="Calibri"/>
          <w:b/>
        </w:rPr>
        <w:t>cerebri</w:t>
      </w:r>
      <w:proofErr w:type="spellEnd"/>
      <w:r w:rsidRPr="006A0BA6">
        <w:rPr>
          <w:rFonts w:ascii="Calibri" w:hAnsi="Calibri" w:cs="Calibri"/>
          <w:b/>
        </w:rPr>
        <w:t xml:space="preserve"> media</w:t>
      </w:r>
      <w:r w:rsidRPr="006A0BA6">
        <w:rPr>
          <w:rFonts w:ascii="Calibri" w:hAnsi="Calibri" w:cs="Calibri"/>
        </w:rPr>
        <w:t xml:space="preserve">. Detta flöde är visat att korrelera med fetal anemi; ju högre maxhastighet desto högre risk för fetal anemi. Maximal flödeshastighet i </w:t>
      </w:r>
      <w:proofErr w:type="spellStart"/>
      <w:r w:rsidRPr="006A0BA6">
        <w:rPr>
          <w:rFonts w:ascii="Calibri" w:hAnsi="Calibri" w:cs="Calibri"/>
        </w:rPr>
        <w:t>arteria</w:t>
      </w:r>
      <w:proofErr w:type="spellEnd"/>
      <w:r w:rsidRPr="006A0BA6">
        <w:rPr>
          <w:rFonts w:ascii="Calibri" w:hAnsi="Calibri" w:cs="Calibri"/>
        </w:rPr>
        <w:t xml:space="preserve"> </w:t>
      </w:r>
      <w:proofErr w:type="spellStart"/>
      <w:r w:rsidRPr="006A0BA6">
        <w:rPr>
          <w:rFonts w:ascii="Calibri" w:hAnsi="Calibri" w:cs="Calibri"/>
        </w:rPr>
        <w:t>cerebri</w:t>
      </w:r>
      <w:proofErr w:type="spellEnd"/>
      <w:r w:rsidRPr="006A0BA6">
        <w:rPr>
          <w:rFonts w:ascii="Calibri" w:hAnsi="Calibri" w:cs="Calibri"/>
        </w:rPr>
        <w:t xml:space="preserve"> media ökar normalt med graviditetslängden. Se bifogad grafisk framställning av medelvärdet för de olika graviditetslängderna. (Gränsen för onormal högt flöde går ungefär vid 1,5 x MOM, se nästa avsnitt.)</w:t>
      </w:r>
    </w:p>
    <w:p w14:paraId="1EBCC740" w14:textId="1DFC96FE" w:rsidR="006A0BA6" w:rsidRDefault="006A0BA6" w:rsidP="000800C2">
      <w:pPr>
        <w:pStyle w:val="MellanrubrikVGR"/>
        <w:spacing w:before="0" w:after="0"/>
      </w:pPr>
      <w:r w:rsidRPr="006A0BA6">
        <w:lastRenderedPageBreak/>
        <w:t>Allvarlig immunisering och misstanke om fetal anemi</w:t>
      </w:r>
    </w:p>
    <w:p w14:paraId="4B349A72" w14:textId="77777777" w:rsidR="006A0BA6" w:rsidRPr="006A0BA6" w:rsidRDefault="006A0BA6" w:rsidP="00F52BE0">
      <w:pPr>
        <w:spacing w:after="0" w:line="240" w:lineRule="auto"/>
        <w:ind w:right="0"/>
        <w:rPr>
          <w:rFonts w:ascii="Calibri" w:hAnsi="Calibri" w:cs="Calibri"/>
        </w:rPr>
      </w:pPr>
      <w:r w:rsidRPr="006A0BA6">
        <w:rPr>
          <w:rFonts w:ascii="Calibri" w:hAnsi="Calibri" w:cs="Calibri"/>
        </w:rPr>
        <w:t xml:space="preserve">Vid påvisad immunisering, hög titer för den aktuella antikroppen, påvisad hög flödeshastighet i </w:t>
      </w:r>
      <w:proofErr w:type="spellStart"/>
      <w:r w:rsidRPr="006A0BA6">
        <w:rPr>
          <w:rFonts w:ascii="Calibri" w:hAnsi="Calibri" w:cs="Calibri"/>
        </w:rPr>
        <w:t>arteria</w:t>
      </w:r>
      <w:proofErr w:type="spellEnd"/>
      <w:r w:rsidRPr="006A0BA6">
        <w:rPr>
          <w:rFonts w:ascii="Calibri" w:hAnsi="Calibri" w:cs="Calibri"/>
        </w:rPr>
        <w:t xml:space="preserve"> </w:t>
      </w:r>
      <w:proofErr w:type="spellStart"/>
      <w:r w:rsidRPr="006A0BA6">
        <w:rPr>
          <w:rFonts w:ascii="Calibri" w:hAnsi="Calibri" w:cs="Calibri"/>
        </w:rPr>
        <w:t>cerebri</w:t>
      </w:r>
      <w:proofErr w:type="spellEnd"/>
      <w:r w:rsidRPr="006A0BA6">
        <w:rPr>
          <w:rFonts w:ascii="Calibri" w:hAnsi="Calibri" w:cs="Calibri"/>
        </w:rPr>
        <w:t xml:space="preserve"> media och/eller hög nivå av kvantifierad anti-D, så föreligger hög risk för fetal anemi. Då finns rikssjukvårdsbeslut. Detta innebär att dessa få patienter handläggs på ett center i Sverige; Centret för fostermedicin (CFM) vid Karolinska sjukhuset i Huddinge. </w:t>
      </w:r>
    </w:p>
    <w:p w14:paraId="3C15EA18" w14:textId="77777777" w:rsidR="006A0BA6" w:rsidRPr="00EB4B92" w:rsidRDefault="006A0BA6" w:rsidP="00EB4B92">
      <w:pPr>
        <w:pStyle w:val="Liststycke"/>
        <w:numPr>
          <w:ilvl w:val="0"/>
          <w:numId w:val="23"/>
        </w:numPr>
        <w:spacing w:after="0" w:line="240" w:lineRule="auto"/>
        <w:ind w:right="0"/>
        <w:rPr>
          <w:rFonts w:ascii="Calibri" w:hAnsi="Calibri" w:cs="Calibri"/>
        </w:rPr>
      </w:pPr>
      <w:r w:rsidRPr="00EB4B92">
        <w:rPr>
          <w:rFonts w:ascii="Calibri" w:hAnsi="Calibri" w:cs="Calibri"/>
        </w:rPr>
        <w:t>Ring jourhavande läkare vid CFM; 08-58 58 16 20</w:t>
      </w:r>
    </w:p>
    <w:p w14:paraId="2FC27D07" w14:textId="77777777" w:rsidR="006A0BA6" w:rsidRPr="00EC6F36" w:rsidRDefault="006A0BA6" w:rsidP="00EC6F36">
      <w:pPr>
        <w:pStyle w:val="Liststycke"/>
        <w:numPr>
          <w:ilvl w:val="0"/>
          <w:numId w:val="23"/>
        </w:numPr>
        <w:spacing w:after="0" w:line="240" w:lineRule="auto"/>
        <w:ind w:right="0"/>
        <w:rPr>
          <w:rFonts w:ascii="Calibri" w:hAnsi="Calibri" w:cs="Calibri"/>
        </w:rPr>
      </w:pPr>
      <w:r w:rsidRPr="00EC6F36">
        <w:rPr>
          <w:rFonts w:ascii="Calibri" w:hAnsi="Calibri" w:cs="Calibri"/>
        </w:rPr>
        <w:t xml:space="preserve">Skriv remiss och ange rikssjukvårdsbeslut och faxa/skicka denna. </w:t>
      </w:r>
    </w:p>
    <w:p w14:paraId="53433502" w14:textId="69571C24" w:rsidR="006A0BA6" w:rsidRPr="00EC6F36" w:rsidRDefault="006A0BA6" w:rsidP="00EC6F36">
      <w:pPr>
        <w:pStyle w:val="Liststycke"/>
        <w:numPr>
          <w:ilvl w:val="0"/>
          <w:numId w:val="23"/>
        </w:numPr>
        <w:spacing w:after="0" w:line="240" w:lineRule="auto"/>
        <w:ind w:right="0"/>
        <w:rPr>
          <w:rFonts w:ascii="Calibri" w:hAnsi="Calibri" w:cs="Calibri"/>
        </w:rPr>
      </w:pPr>
      <w:r w:rsidRPr="00EC6F36">
        <w:rPr>
          <w:rFonts w:ascii="Calibri" w:hAnsi="Calibri" w:cs="Calibri"/>
        </w:rPr>
        <w:t>Skriv också remiss till KKÖ för kännedom. Detta bland annat för registrering av dessa fall i VGR och då KKÖ har betalningsansvaret för dessa patienter (patienten behöver inte personligen komma till KKÖ innan h</w:t>
      </w:r>
      <w:r w:rsidR="00EC6F36">
        <w:rPr>
          <w:rFonts w:ascii="Calibri" w:hAnsi="Calibri" w:cs="Calibri"/>
        </w:rPr>
        <w:t>e</w:t>
      </w:r>
      <w:r w:rsidRPr="00EC6F36">
        <w:rPr>
          <w:rFonts w:ascii="Calibri" w:hAnsi="Calibri" w:cs="Calibri"/>
        </w:rPr>
        <w:t xml:space="preserve">n remitteras till CFM). </w:t>
      </w:r>
    </w:p>
    <w:p w14:paraId="7D5B00DF" w14:textId="77777777" w:rsidR="000800C2" w:rsidRDefault="000800C2" w:rsidP="000800C2">
      <w:pPr>
        <w:pStyle w:val="MellanrubrikVGR"/>
        <w:spacing w:before="0" w:after="0"/>
      </w:pPr>
    </w:p>
    <w:p w14:paraId="545561CC" w14:textId="0E44B832" w:rsidR="006A0BA6" w:rsidRPr="006A0BA6" w:rsidRDefault="006A0BA6" w:rsidP="000800C2">
      <w:pPr>
        <w:pStyle w:val="MellanrubrikVGR"/>
        <w:spacing w:before="0" w:after="0"/>
      </w:pPr>
      <w:r w:rsidRPr="006A0BA6">
        <w:t xml:space="preserve">Förlossningsplanering </w:t>
      </w:r>
    </w:p>
    <w:p w14:paraId="6A95A14E" w14:textId="77777777" w:rsidR="006A0BA6" w:rsidRPr="006A0BA6" w:rsidRDefault="006A0BA6" w:rsidP="00E44D77">
      <w:pPr>
        <w:numPr>
          <w:ilvl w:val="0"/>
          <w:numId w:val="22"/>
        </w:numPr>
        <w:spacing w:after="0" w:line="240" w:lineRule="auto"/>
        <w:ind w:left="1664" w:right="0"/>
        <w:rPr>
          <w:rFonts w:ascii="Calibri" w:hAnsi="Calibri" w:cs="Calibri"/>
        </w:rPr>
      </w:pPr>
      <w:r w:rsidRPr="006A0BA6">
        <w:rPr>
          <w:rFonts w:ascii="Calibri" w:hAnsi="Calibri" w:cs="Calibri"/>
        </w:rPr>
        <w:t xml:space="preserve">Påvisas inga antikroppar eller irreguljära antikroppar, men i så låg grad att ingen titer anges, så handläggs patienten normalt, som övriga patienter. </w:t>
      </w:r>
    </w:p>
    <w:p w14:paraId="095A1125" w14:textId="77777777" w:rsidR="006A0BA6" w:rsidRPr="006A0BA6" w:rsidRDefault="006A0BA6" w:rsidP="00E44D77">
      <w:pPr>
        <w:numPr>
          <w:ilvl w:val="0"/>
          <w:numId w:val="21"/>
        </w:numPr>
        <w:spacing w:after="0" w:line="240" w:lineRule="auto"/>
        <w:ind w:left="1664" w:right="0"/>
        <w:rPr>
          <w:rFonts w:ascii="Calibri" w:hAnsi="Calibri" w:cs="Calibri"/>
        </w:rPr>
      </w:pPr>
      <w:r w:rsidRPr="006A0BA6">
        <w:rPr>
          <w:rFonts w:ascii="Calibri" w:hAnsi="Calibri" w:cs="Calibri"/>
        </w:rPr>
        <w:t xml:space="preserve">Vid mild immunisering och stabilt låg titer, kan patienten avvakta till BPU och även gå över detta, om det är stabilt låg titer och normalt CTG. Vid tveksamhet kan induktion göras från BPU. </w:t>
      </w:r>
    </w:p>
    <w:p w14:paraId="5F5069D1" w14:textId="77777777" w:rsidR="006A0BA6" w:rsidRPr="006A0BA6" w:rsidRDefault="006A0BA6" w:rsidP="00E44D77">
      <w:pPr>
        <w:numPr>
          <w:ilvl w:val="0"/>
          <w:numId w:val="21"/>
        </w:numPr>
        <w:spacing w:after="0" w:line="240" w:lineRule="auto"/>
        <w:ind w:left="1664" w:right="0"/>
        <w:rPr>
          <w:rFonts w:ascii="Calibri" w:hAnsi="Calibri" w:cs="Calibri"/>
        </w:rPr>
      </w:pPr>
      <w:r w:rsidRPr="006A0BA6">
        <w:rPr>
          <w:rFonts w:ascii="Calibri" w:hAnsi="Calibri" w:cs="Calibri"/>
        </w:rPr>
        <w:t xml:space="preserve">Vid allvarlig immunisering, men utan tecken till fetal anemi, kan patienten erbjudas induktion i graviditetsvecka 37 – 38. </w:t>
      </w:r>
    </w:p>
    <w:p w14:paraId="2AF86BAA" w14:textId="2BAB6D63" w:rsidR="006A0BA6" w:rsidRPr="006A0BA6" w:rsidRDefault="006A0BA6" w:rsidP="00E44D77">
      <w:pPr>
        <w:numPr>
          <w:ilvl w:val="0"/>
          <w:numId w:val="21"/>
        </w:numPr>
        <w:spacing w:after="0" w:line="240" w:lineRule="auto"/>
        <w:ind w:left="1664" w:right="0"/>
        <w:rPr>
          <w:rFonts w:ascii="Calibri" w:hAnsi="Calibri" w:cs="Calibri"/>
        </w:rPr>
      </w:pPr>
      <w:r w:rsidRPr="006A0BA6">
        <w:rPr>
          <w:rFonts w:ascii="Calibri" w:hAnsi="Calibri" w:cs="Calibri"/>
        </w:rPr>
        <w:t xml:space="preserve">Vid allvarlig immunisering och misstanke om fetal anemi, görs en individuell bedömning och </w:t>
      </w:r>
      <w:r w:rsidR="00A04433">
        <w:rPr>
          <w:rFonts w:ascii="Calibri" w:hAnsi="Calibri" w:cs="Calibri"/>
        </w:rPr>
        <w:t>vi</w:t>
      </w:r>
      <w:r w:rsidRPr="006A0BA6">
        <w:rPr>
          <w:rFonts w:ascii="Calibri" w:hAnsi="Calibri" w:cs="Calibri"/>
        </w:rPr>
        <w:t xml:space="preserve"> samråd</w:t>
      </w:r>
      <w:r w:rsidR="00A04433">
        <w:rPr>
          <w:rFonts w:ascii="Calibri" w:hAnsi="Calibri" w:cs="Calibri"/>
        </w:rPr>
        <w:t xml:space="preserve">er </w:t>
      </w:r>
      <w:r w:rsidRPr="006A0BA6">
        <w:rPr>
          <w:rFonts w:ascii="Calibri" w:hAnsi="Calibri" w:cs="Calibri"/>
        </w:rPr>
        <w:t xml:space="preserve">med Center för fostermedicin och KKÖ. Normalt kommer det innan graviditetsvecka 34 ges </w:t>
      </w:r>
      <w:proofErr w:type="spellStart"/>
      <w:r w:rsidRPr="006A0BA6">
        <w:rPr>
          <w:rFonts w:ascii="Calibri" w:hAnsi="Calibri" w:cs="Calibri"/>
        </w:rPr>
        <w:t>intrauterina</w:t>
      </w:r>
      <w:proofErr w:type="spellEnd"/>
      <w:r w:rsidRPr="006A0BA6">
        <w:rPr>
          <w:rFonts w:ascii="Calibri" w:hAnsi="Calibri" w:cs="Calibri"/>
        </w:rPr>
        <w:t xml:space="preserve"> transfusioner och </w:t>
      </w:r>
      <w:r w:rsidR="00A04433">
        <w:rPr>
          <w:rFonts w:ascii="Calibri" w:hAnsi="Calibri" w:cs="Calibri"/>
        </w:rPr>
        <w:t xml:space="preserve">efter </w:t>
      </w:r>
      <w:r w:rsidRPr="006A0BA6">
        <w:rPr>
          <w:rFonts w:ascii="Calibri" w:hAnsi="Calibri" w:cs="Calibri"/>
        </w:rPr>
        <w:t xml:space="preserve">graviditetsvecka 36 är det rimligt att inducera. </w:t>
      </w:r>
    </w:p>
    <w:p w14:paraId="17473273" w14:textId="77777777" w:rsidR="006A0BA6" w:rsidRDefault="006A0BA6" w:rsidP="00E44D77">
      <w:pPr>
        <w:numPr>
          <w:ilvl w:val="0"/>
          <w:numId w:val="21"/>
        </w:numPr>
        <w:spacing w:after="0" w:line="240" w:lineRule="auto"/>
        <w:ind w:left="1664" w:right="0"/>
        <w:rPr>
          <w:rFonts w:ascii="Calibri" w:hAnsi="Calibri" w:cs="Calibri"/>
        </w:rPr>
      </w:pPr>
      <w:r w:rsidRPr="006A0BA6">
        <w:rPr>
          <w:rFonts w:ascii="Calibri" w:hAnsi="Calibri" w:cs="Calibri"/>
        </w:rPr>
        <w:t xml:space="preserve">Patienter som har fått </w:t>
      </w:r>
      <w:proofErr w:type="spellStart"/>
      <w:r w:rsidRPr="006A0BA6">
        <w:rPr>
          <w:rFonts w:ascii="Calibri" w:hAnsi="Calibri" w:cs="Calibri"/>
        </w:rPr>
        <w:t>intrauterina</w:t>
      </w:r>
      <w:proofErr w:type="spellEnd"/>
      <w:r w:rsidRPr="006A0BA6">
        <w:rPr>
          <w:rFonts w:ascii="Calibri" w:hAnsi="Calibri" w:cs="Calibri"/>
        </w:rPr>
        <w:t xml:space="preserve"> transfusioner ska förlösas på KKÖ, avdelning 314, detta för att ha tillgång till Sahlgrenska Universitetssjukhusets blodbank. </w:t>
      </w:r>
    </w:p>
    <w:p w14:paraId="229E56A4" w14:textId="3BD09DA1" w:rsidR="00075A65" w:rsidRDefault="00075A65" w:rsidP="00E44D77">
      <w:pPr>
        <w:numPr>
          <w:ilvl w:val="0"/>
          <w:numId w:val="21"/>
        </w:numPr>
        <w:spacing w:after="0" w:line="240" w:lineRule="auto"/>
        <w:ind w:left="1664" w:right="0"/>
        <w:rPr>
          <w:rFonts w:ascii="Calibri" w:hAnsi="Calibri" w:cs="Calibri"/>
        </w:rPr>
      </w:pPr>
      <w:r>
        <w:rPr>
          <w:rFonts w:ascii="Calibri" w:hAnsi="Calibri" w:cs="Calibri"/>
        </w:rPr>
        <w:t xml:space="preserve">Rutinmässig blodgruppskontroll av nyfött barn till </w:t>
      </w:r>
      <w:proofErr w:type="spellStart"/>
      <w:r>
        <w:rPr>
          <w:rFonts w:ascii="Calibri" w:hAnsi="Calibri" w:cs="Calibri"/>
        </w:rPr>
        <w:t>RhD</w:t>
      </w:r>
      <w:proofErr w:type="spellEnd"/>
      <w:r>
        <w:rPr>
          <w:rFonts w:ascii="Calibri" w:hAnsi="Calibri" w:cs="Calibri"/>
        </w:rPr>
        <w:t xml:space="preserve">-negativa </w:t>
      </w:r>
      <w:r w:rsidR="00737102">
        <w:rPr>
          <w:rFonts w:ascii="Calibri" w:hAnsi="Calibri" w:cs="Calibri"/>
        </w:rPr>
        <w:t>mödrar</w:t>
      </w:r>
      <w:r w:rsidR="007E4800">
        <w:rPr>
          <w:rFonts w:ascii="Calibri" w:hAnsi="Calibri" w:cs="Calibri"/>
        </w:rPr>
        <w:t xml:space="preserve"> är inte indicerad utom i särskilda fall. Blodgruppering hos nyfödd ska utföras</w:t>
      </w:r>
    </w:p>
    <w:p w14:paraId="110DEE10" w14:textId="55591FF8" w:rsidR="007E4800" w:rsidRPr="006A0BA6" w:rsidRDefault="00F7390C" w:rsidP="007E4800">
      <w:pPr>
        <w:numPr>
          <w:ilvl w:val="3"/>
          <w:numId w:val="21"/>
        </w:numPr>
        <w:spacing w:after="0" w:line="240" w:lineRule="auto"/>
        <w:ind w:right="0"/>
        <w:rPr>
          <w:rFonts w:ascii="Calibri" w:hAnsi="Calibri" w:cs="Calibri"/>
        </w:rPr>
      </w:pPr>
      <w:r>
        <w:rPr>
          <w:rFonts w:ascii="Calibri" w:hAnsi="Calibri" w:cs="Calibri"/>
        </w:rPr>
        <w:t>O</w:t>
      </w:r>
      <w:r w:rsidR="007E4800">
        <w:rPr>
          <w:rFonts w:ascii="Calibri" w:hAnsi="Calibri" w:cs="Calibri"/>
        </w:rPr>
        <w:t>m</w:t>
      </w:r>
      <w:r>
        <w:rPr>
          <w:rFonts w:ascii="Calibri" w:hAnsi="Calibri" w:cs="Calibri"/>
        </w:rPr>
        <w:t xml:space="preserve"> fetal RHD-typ inte är känd eller inte är bedömba</w:t>
      </w:r>
      <w:r w:rsidR="00784AD3">
        <w:rPr>
          <w:rFonts w:ascii="Calibri" w:hAnsi="Calibri" w:cs="Calibri"/>
        </w:rPr>
        <w:t>r under aktuell graviditet.</w:t>
      </w:r>
    </w:p>
    <w:p w14:paraId="0DB0683A" w14:textId="77777777" w:rsidR="006A0BA6" w:rsidRPr="006A0BA6" w:rsidRDefault="006A0BA6" w:rsidP="00E44D77">
      <w:pPr>
        <w:numPr>
          <w:ilvl w:val="0"/>
          <w:numId w:val="21"/>
        </w:numPr>
        <w:spacing w:after="0" w:line="240" w:lineRule="auto"/>
        <w:ind w:left="1664" w:right="0"/>
        <w:rPr>
          <w:rFonts w:ascii="Calibri" w:hAnsi="Calibri" w:cs="Calibri"/>
        </w:rPr>
      </w:pPr>
      <w:r w:rsidRPr="006A0BA6">
        <w:rPr>
          <w:rFonts w:ascii="Calibri" w:hAnsi="Calibri" w:cs="Calibri"/>
        </w:rPr>
        <w:t xml:space="preserve">I navelsträngsblodet kontrolleras som vanligt </w:t>
      </w:r>
      <w:proofErr w:type="spellStart"/>
      <w:r w:rsidRPr="006A0BA6">
        <w:rPr>
          <w:rFonts w:ascii="Calibri" w:hAnsi="Calibri" w:cs="Calibri"/>
        </w:rPr>
        <w:t>syrabasstatus</w:t>
      </w:r>
      <w:proofErr w:type="spellEnd"/>
      <w:r w:rsidRPr="006A0BA6">
        <w:rPr>
          <w:rFonts w:ascii="Calibri" w:hAnsi="Calibri" w:cs="Calibri"/>
        </w:rPr>
        <w:t xml:space="preserve"> men lägg även till Hb och </w:t>
      </w:r>
      <w:proofErr w:type="spellStart"/>
      <w:r w:rsidRPr="006A0BA6">
        <w:rPr>
          <w:rFonts w:ascii="Calibri" w:hAnsi="Calibri" w:cs="Calibri"/>
        </w:rPr>
        <w:t>bilirubin</w:t>
      </w:r>
      <w:proofErr w:type="spellEnd"/>
    </w:p>
    <w:p w14:paraId="439B202F" w14:textId="77777777" w:rsidR="006A0BA6" w:rsidRPr="006A0BA6" w:rsidRDefault="006A0BA6" w:rsidP="00F52BE0">
      <w:pPr>
        <w:spacing w:after="0" w:line="240" w:lineRule="auto"/>
        <w:ind w:right="0"/>
        <w:rPr>
          <w:rFonts w:ascii="Arial" w:hAnsi="Arial" w:cs="Arial"/>
        </w:rPr>
      </w:pPr>
    </w:p>
    <w:p w14:paraId="312E7DDF" w14:textId="77777777" w:rsidR="006A0BA6" w:rsidRPr="006A0BA6" w:rsidRDefault="006A0BA6" w:rsidP="00F52BE0">
      <w:pPr>
        <w:spacing w:after="0" w:line="240" w:lineRule="auto"/>
        <w:ind w:left="3260" w:right="0" w:hanging="2268"/>
        <w:rPr>
          <w:szCs w:val="20"/>
        </w:rPr>
      </w:pPr>
    </w:p>
    <w:p w14:paraId="50CCBFD5" w14:textId="77777777" w:rsidR="00A32280" w:rsidRDefault="00A32280">
      <w:r>
        <w:br w:type="page"/>
      </w:r>
    </w:p>
    <w:tbl>
      <w:tblPr>
        <w:tblW w:w="9210"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237"/>
        <w:gridCol w:w="2903"/>
      </w:tblGrid>
      <w:tr w:rsidR="006A0BA6" w:rsidRPr="000800C2" w14:paraId="11F9E30E" w14:textId="77777777" w:rsidTr="00F52BE0">
        <w:tc>
          <w:tcPr>
            <w:tcW w:w="3070" w:type="dxa"/>
            <w:tcBorders>
              <w:top w:val="single" w:sz="4" w:space="0" w:color="auto"/>
              <w:left w:val="single" w:sz="4" w:space="0" w:color="auto"/>
              <w:bottom w:val="nil"/>
              <w:right w:val="nil"/>
            </w:tcBorders>
          </w:tcPr>
          <w:p w14:paraId="5F9FA2D6" w14:textId="372CE7FE"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lastRenderedPageBreak/>
              <w:t>Antikroppsspecificitet</w:t>
            </w:r>
          </w:p>
        </w:tc>
        <w:tc>
          <w:tcPr>
            <w:tcW w:w="3237" w:type="dxa"/>
            <w:tcBorders>
              <w:top w:val="single" w:sz="4" w:space="0" w:color="auto"/>
              <w:left w:val="nil"/>
              <w:bottom w:val="nil"/>
              <w:right w:val="nil"/>
            </w:tcBorders>
          </w:tcPr>
          <w:p w14:paraId="0A36C8E2"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Betydelse vid blodtransfusion</w:t>
            </w:r>
          </w:p>
        </w:tc>
        <w:tc>
          <w:tcPr>
            <w:tcW w:w="2903" w:type="dxa"/>
            <w:tcBorders>
              <w:top w:val="single" w:sz="4" w:space="0" w:color="auto"/>
              <w:left w:val="nil"/>
              <w:bottom w:val="nil"/>
              <w:right w:val="single" w:sz="4" w:space="0" w:color="auto"/>
            </w:tcBorders>
          </w:tcPr>
          <w:p w14:paraId="72C5311C" w14:textId="77777777" w:rsidR="006A0BA6" w:rsidRPr="000800C2" w:rsidRDefault="006A0BA6" w:rsidP="006A0BA6">
            <w:pPr>
              <w:keepNext/>
              <w:spacing w:after="0" w:line="240" w:lineRule="auto"/>
              <w:ind w:left="0" w:right="0"/>
              <w:outlineLvl w:val="0"/>
              <w:rPr>
                <w:rFonts w:ascii="Calibri" w:hAnsi="Calibri" w:cs="Calibri"/>
                <w:bCs/>
                <w:kern w:val="32"/>
              </w:rPr>
            </w:pPr>
            <w:r w:rsidRPr="000800C2">
              <w:rPr>
                <w:rFonts w:ascii="Calibri" w:hAnsi="Calibri" w:cs="Calibri"/>
                <w:b/>
                <w:bCs/>
                <w:kern w:val="32"/>
              </w:rPr>
              <w:t>Betydelse för väntat barn</w:t>
            </w:r>
          </w:p>
        </w:tc>
      </w:tr>
      <w:tr w:rsidR="006A0BA6" w:rsidRPr="000800C2" w14:paraId="38FBBACC" w14:textId="77777777" w:rsidTr="00F52BE0">
        <w:tc>
          <w:tcPr>
            <w:tcW w:w="3070" w:type="dxa"/>
            <w:tcBorders>
              <w:top w:val="single" w:sz="4" w:space="0" w:color="auto"/>
              <w:left w:val="single" w:sz="4" w:space="0" w:color="auto"/>
              <w:bottom w:val="nil"/>
              <w:right w:val="nil"/>
            </w:tcBorders>
          </w:tcPr>
          <w:p w14:paraId="3A884882" w14:textId="77777777" w:rsidR="006A0BA6" w:rsidRPr="000800C2" w:rsidRDefault="006A0BA6" w:rsidP="006A0BA6">
            <w:pPr>
              <w:keepNext/>
              <w:spacing w:after="0" w:line="240" w:lineRule="auto"/>
              <w:ind w:left="0" w:right="0"/>
              <w:outlineLvl w:val="0"/>
              <w:rPr>
                <w:rFonts w:ascii="Calibri" w:hAnsi="Calibri" w:cs="Calibri"/>
                <w:b/>
                <w:bCs/>
                <w:kern w:val="32"/>
              </w:rPr>
            </w:pPr>
          </w:p>
        </w:tc>
        <w:tc>
          <w:tcPr>
            <w:tcW w:w="3237" w:type="dxa"/>
            <w:tcBorders>
              <w:top w:val="single" w:sz="4" w:space="0" w:color="auto"/>
              <w:left w:val="nil"/>
              <w:bottom w:val="nil"/>
              <w:right w:val="nil"/>
            </w:tcBorders>
          </w:tcPr>
          <w:p w14:paraId="19527474" w14:textId="77777777" w:rsidR="006A0BA6" w:rsidRPr="000800C2" w:rsidRDefault="006A0BA6" w:rsidP="006A0BA6">
            <w:pPr>
              <w:spacing w:after="0" w:line="240" w:lineRule="auto"/>
              <w:ind w:left="0" w:right="0"/>
              <w:rPr>
                <w:rFonts w:ascii="Calibri" w:hAnsi="Calibri" w:cs="Calibri"/>
                <w:b/>
              </w:rPr>
            </w:pPr>
          </w:p>
        </w:tc>
        <w:tc>
          <w:tcPr>
            <w:tcW w:w="2903" w:type="dxa"/>
            <w:tcBorders>
              <w:top w:val="single" w:sz="4" w:space="0" w:color="auto"/>
              <w:left w:val="nil"/>
              <w:bottom w:val="nil"/>
              <w:right w:val="single" w:sz="4" w:space="0" w:color="auto"/>
            </w:tcBorders>
          </w:tcPr>
          <w:p w14:paraId="0B4A35B9" w14:textId="77777777" w:rsidR="006A0BA6" w:rsidRPr="000800C2" w:rsidRDefault="006A0BA6" w:rsidP="006A0BA6">
            <w:pPr>
              <w:keepNext/>
              <w:spacing w:after="0" w:line="240" w:lineRule="auto"/>
              <w:ind w:left="0" w:right="0"/>
              <w:outlineLvl w:val="0"/>
              <w:rPr>
                <w:rFonts w:ascii="Calibri" w:hAnsi="Calibri" w:cs="Calibri"/>
                <w:b/>
                <w:bCs/>
                <w:kern w:val="32"/>
              </w:rPr>
            </w:pPr>
          </w:p>
        </w:tc>
      </w:tr>
      <w:tr w:rsidR="006A0BA6" w:rsidRPr="000800C2" w14:paraId="5F65A34E" w14:textId="77777777" w:rsidTr="00F52BE0">
        <w:tc>
          <w:tcPr>
            <w:tcW w:w="3070" w:type="dxa"/>
            <w:tcBorders>
              <w:top w:val="nil"/>
              <w:left w:val="single" w:sz="4" w:space="0" w:color="auto"/>
              <w:bottom w:val="nil"/>
              <w:right w:val="nil"/>
            </w:tcBorders>
          </w:tcPr>
          <w:p w14:paraId="2C39ED9E"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Anti-D (ofta i kombination</w:t>
            </w:r>
          </w:p>
          <w:p w14:paraId="455D812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med anti-C och/el anti-E)</w:t>
            </w:r>
          </w:p>
        </w:tc>
        <w:tc>
          <w:tcPr>
            <w:tcW w:w="3237" w:type="dxa"/>
            <w:tcBorders>
              <w:top w:val="nil"/>
              <w:left w:val="nil"/>
              <w:bottom w:val="nil"/>
              <w:right w:val="nil"/>
            </w:tcBorders>
          </w:tcPr>
          <w:p w14:paraId="2F302B81" w14:textId="77777777" w:rsidR="006A0BA6" w:rsidRPr="000800C2" w:rsidRDefault="006A0BA6" w:rsidP="006A0BA6">
            <w:pPr>
              <w:spacing w:after="0" w:line="240" w:lineRule="auto"/>
              <w:ind w:left="0" w:right="0"/>
              <w:rPr>
                <w:rFonts w:ascii="Calibri" w:hAnsi="Calibri" w:cs="Calibri"/>
              </w:rPr>
            </w:pPr>
          </w:p>
          <w:p w14:paraId="6601BD2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6BC200A4" w14:textId="77777777" w:rsidR="006A0BA6" w:rsidRPr="000800C2" w:rsidRDefault="006A0BA6" w:rsidP="006A0BA6">
            <w:pPr>
              <w:spacing w:after="0" w:line="240" w:lineRule="auto"/>
              <w:ind w:left="0" w:right="0"/>
              <w:rPr>
                <w:rFonts w:ascii="Calibri" w:hAnsi="Calibri" w:cs="Calibri"/>
              </w:rPr>
            </w:pPr>
          </w:p>
          <w:p w14:paraId="0C9F895E"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2808512B" w14:textId="77777777" w:rsidTr="00F52BE0">
        <w:tc>
          <w:tcPr>
            <w:tcW w:w="3070" w:type="dxa"/>
            <w:tcBorders>
              <w:top w:val="nil"/>
              <w:left w:val="single" w:sz="4" w:space="0" w:color="auto"/>
              <w:bottom w:val="nil"/>
              <w:right w:val="nil"/>
            </w:tcBorders>
          </w:tcPr>
          <w:p w14:paraId="5936BE1A"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Anti-E</w:t>
            </w:r>
          </w:p>
        </w:tc>
        <w:tc>
          <w:tcPr>
            <w:tcW w:w="3237" w:type="dxa"/>
            <w:tcBorders>
              <w:top w:val="nil"/>
              <w:left w:val="nil"/>
              <w:bottom w:val="nil"/>
              <w:right w:val="nil"/>
            </w:tcBorders>
          </w:tcPr>
          <w:p w14:paraId="2427D253"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26BC7CB1"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57083740" w14:textId="77777777" w:rsidTr="00F52BE0">
        <w:tc>
          <w:tcPr>
            <w:tcW w:w="3070" w:type="dxa"/>
            <w:tcBorders>
              <w:top w:val="nil"/>
              <w:left w:val="single" w:sz="4" w:space="0" w:color="auto"/>
              <w:bottom w:val="nil"/>
              <w:right w:val="nil"/>
            </w:tcBorders>
          </w:tcPr>
          <w:p w14:paraId="621EA14E"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Anti-C</w:t>
            </w:r>
          </w:p>
        </w:tc>
        <w:tc>
          <w:tcPr>
            <w:tcW w:w="3237" w:type="dxa"/>
            <w:tcBorders>
              <w:top w:val="nil"/>
              <w:left w:val="nil"/>
              <w:bottom w:val="nil"/>
              <w:right w:val="nil"/>
            </w:tcBorders>
          </w:tcPr>
          <w:p w14:paraId="4C1F2080"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612EAF4E"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6878DFB7" w14:textId="77777777" w:rsidTr="00F52BE0">
        <w:tc>
          <w:tcPr>
            <w:tcW w:w="3070" w:type="dxa"/>
            <w:tcBorders>
              <w:top w:val="nil"/>
              <w:left w:val="single" w:sz="4" w:space="0" w:color="auto"/>
              <w:bottom w:val="nil"/>
              <w:right w:val="nil"/>
            </w:tcBorders>
          </w:tcPr>
          <w:p w14:paraId="713C6C03"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Anti-CW</w:t>
            </w:r>
          </w:p>
        </w:tc>
        <w:tc>
          <w:tcPr>
            <w:tcW w:w="3237" w:type="dxa"/>
            <w:tcBorders>
              <w:top w:val="nil"/>
              <w:left w:val="nil"/>
              <w:bottom w:val="nil"/>
              <w:right w:val="nil"/>
            </w:tcBorders>
          </w:tcPr>
          <w:p w14:paraId="3608A028"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03F4FC1F"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0116C8AB" w14:textId="77777777" w:rsidTr="00F52BE0">
        <w:tc>
          <w:tcPr>
            <w:tcW w:w="3070" w:type="dxa"/>
            <w:tcBorders>
              <w:top w:val="nil"/>
              <w:left w:val="single" w:sz="4" w:space="0" w:color="auto"/>
              <w:bottom w:val="nil"/>
              <w:right w:val="nil"/>
            </w:tcBorders>
          </w:tcPr>
          <w:p w14:paraId="002B6100"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Anti-c</w:t>
            </w:r>
          </w:p>
        </w:tc>
        <w:tc>
          <w:tcPr>
            <w:tcW w:w="3237" w:type="dxa"/>
            <w:tcBorders>
              <w:top w:val="nil"/>
              <w:left w:val="nil"/>
              <w:bottom w:val="nil"/>
              <w:right w:val="nil"/>
            </w:tcBorders>
          </w:tcPr>
          <w:p w14:paraId="1B34F799"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5A0B5DB5"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25D045E5" w14:textId="77777777" w:rsidTr="00F52BE0">
        <w:trPr>
          <w:cantSplit/>
        </w:trPr>
        <w:tc>
          <w:tcPr>
            <w:tcW w:w="3070" w:type="dxa"/>
            <w:tcBorders>
              <w:top w:val="nil"/>
              <w:left w:val="single" w:sz="4" w:space="0" w:color="auto"/>
              <w:bottom w:val="nil"/>
              <w:right w:val="nil"/>
            </w:tcBorders>
          </w:tcPr>
          <w:p w14:paraId="621CE86A"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Anti-e</w:t>
            </w:r>
          </w:p>
        </w:tc>
        <w:tc>
          <w:tcPr>
            <w:tcW w:w="3237" w:type="dxa"/>
            <w:tcBorders>
              <w:top w:val="nil"/>
              <w:left w:val="nil"/>
              <w:bottom w:val="nil"/>
              <w:right w:val="nil"/>
            </w:tcBorders>
          </w:tcPr>
          <w:p w14:paraId="0A0D0F5E"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32133475"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5AE61854" w14:textId="77777777" w:rsidTr="00F52BE0">
        <w:tc>
          <w:tcPr>
            <w:tcW w:w="3070" w:type="dxa"/>
            <w:tcBorders>
              <w:top w:val="nil"/>
              <w:left w:val="single" w:sz="4" w:space="0" w:color="auto"/>
              <w:bottom w:val="nil"/>
              <w:right w:val="nil"/>
            </w:tcBorders>
          </w:tcPr>
          <w:p w14:paraId="4216306B"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Anti-Kell</w:t>
            </w:r>
          </w:p>
        </w:tc>
        <w:tc>
          <w:tcPr>
            <w:tcW w:w="3237" w:type="dxa"/>
            <w:tcBorders>
              <w:top w:val="nil"/>
              <w:left w:val="nil"/>
              <w:bottom w:val="nil"/>
              <w:right w:val="nil"/>
            </w:tcBorders>
          </w:tcPr>
          <w:p w14:paraId="684C449F"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50F17A1A"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7BCBDEFA" w14:textId="77777777" w:rsidTr="00F52BE0">
        <w:tc>
          <w:tcPr>
            <w:tcW w:w="3070" w:type="dxa"/>
            <w:tcBorders>
              <w:top w:val="nil"/>
              <w:left w:val="single" w:sz="4" w:space="0" w:color="auto"/>
              <w:bottom w:val="nil"/>
              <w:right w:val="nil"/>
            </w:tcBorders>
          </w:tcPr>
          <w:p w14:paraId="48402309"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Anti-k</w:t>
            </w:r>
          </w:p>
        </w:tc>
        <w:tc>
          <w:tcPr>
            <w:tcW w:w="3237" w:type="dxa"/>
            <w:tcBorders>
              <w:top w:val="nil"/>
              <w:left w:val="nil"/>
              <w:bottom w:val="nil"/>
              <w:right w:val="nil"/>
            </w:tcBorders>
          </w:tcPr>
          <w:p w14:paraId="5F8CE5E9"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3B5D0D16"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02CE9C56" w14:textId="77777777" w:rsidTr="00F52BE0">
        <w:tc>
          <w:tcPr>
            <w:tcW w:w="3070" w:type="dxa"/>
            <w:tcBorders>
              <w:top w:val="nil"/>
              <w:left w:val="single" w:sz="4" w:space="0" w:color="auto"/>
              <w:bottom w:val="nil"/>
              <w:right w:val="nil"/>
            </w:tcBorders>
          </w:tcPr>
          <w:p w14:paraId="573622CA"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w:t>
            </w:r>
            <w:proofErr w:type="spellStart"/>
            <w:r w:rsidRPr="000800C2">
              <w:rPr>
                <w:rFonts w:ascii="Calibri" w:hAnsi="Calibri" w:cs="Calibri"/>
                <w:b/>
              </w:rPr>
              <w:t>Fy</w:t>
            </w:r>
            <w:r w:rsidRPr="000800C2">
              <w:rPr>
                <w:rFonts w:ascii="Calibri" w:hAnsi="Calibri" w:cs="Calibri"/>
                <w:b/>
                <w:vertAlign w:val="superscript"/>
              </w:rPr>
              <w:t>a</w:t>
            </w:r>
            <w:proofErr w:type="spellEnd"/>
          </w:p>
        </w:tc>
        <w:tc>
          <w:tcPr>
            <w:tcW w:w="3237" w:type="dxa"/>
            <w:tcBorders>
              <w:top w:val="nil"/>
              <w:left w:val="nil"/>
              <w:bottom w:val="nil"/>
              <w:right w:val="nil"/>
            </w:tcBorders>
          </w:tcPr>
          <w:p w14:paraId="52E196E5"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33669E2B"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447EE446" w14:textId="77777777" w:rsidTr="00F52BE0">
        <w:tc>
          <w:tcPr>
            <w:tcW w:w="3070" w:type="dxa"/>
            <w:tcBorders>
              <w:top w:val="nil"/>
              <w:left w:val="single" w:sz="4" w:space="0" w:color="auto"/>
              <w:bottom w:val="nil"/>
              <w:right w:val="nil"/>
            </w:tcBorders>
          </w:tcPr>
          <w:p w14:paraId="4B503202"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w:t>
            </w:r>
            <w:proofErr w:type="spellStart"/>
            <w:r w:rsidRPr="000800C2">
              <w:rPr>
                <w:rFonts w:ascii="Calibri" w:hAnsi="Calibri" w:cs="Calibri"/>
                <w:b/>
              </w:rPr>
              <w:t>Fy</w:t>
            </w:r>
            <w:r w:rsidRPr="000800C2">
              <w:rPr>
                <w:rFonts w:ascii="Calibri" w:hAnsi="Calibri" w:cs="Calibri"/>
                <w:b/>
                <w:vertAlign w:val="superscript"/>
              </w:rPr>
              <w:t>b</w:t>
            </w:r>
            <w:proofErr w:type="spellEnd"/>
          </w:p>
        </w:tc>
        <w:tc>
          <w:tcPr>
            <w:tcW w:w="3237" w:type="dxa"/>
            <w:tcBorders>
              <w:top w:val="nil"/>
              <w:left w:val="nil"/>
              <w:bottom w:val="nil"/>
              <w:right w:val="nil"/>
            </w:tcBorders>
          </w:tcPr>
          <w:p w14:paraId="5E9B5B5B"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090CA0BB"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10170901" w14:textId="77777777" w:rsidTr="00F52BE0">
        <w:tc>
          <w:tcPr>
            <w:tcW w:w="3070" w:type="dxa"/>
            <w:tcBorders>
              <w:top w:val="nil"/>
              <w:left w:val="single" w:sz="4" w:space="0" w:color="auto"/>
              <w:bottom w:val="nil"/>
              <w:right w:val="nil"/>
            </w:tcBorders>
          </w:tcPr>
          <w:p w14:paraId="53083010"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w:t>
            </w:r>
            <w:proofErr w:type="spellStart"/>
            <w:r w:rsidRPr="000800C2">
              <w:rPr>
                <w:rFonts w:ascii="Calibri" w:hAnsi="Calibri" w:cs="Calibri"/>
                <w:b/>
              </w:rPr>
              <w:t>Jk</w:t>
            </w:r>
            <w:r w:rsidRPr="000800C2">
              <w:rPr>
                <w:rFonts w:ascii="Calibri" w:hAnsi="Calibri" w:cs="Calibri"/>
                <w:b/>
                <w:vertAlign w:val="superscript"/>
              </w:rPr>
              <w:t>a</w:t>
            </w:r>
            <w:proofErr w:type="spellEnd"/>
          </w:p>
        </w:tc>
        <w:tc>
          <w:tcPr>
            <w:tcW w:w="3237" w:type="dxa"/>
            <w:tcBorders>
              <w:top w:val="nil"/>
              <w:left w:val="nil"/>
              <w:bottom w:val="nil"/>
              <w:right w:val="nil"/>
            </w:tcBorders>
          </w:tcPr>
          <w:p w14:paraId="7C28BF75"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4245F00D"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29021784" w14:textId="77777777" w:rsidTr="00F52BE0">
        <w:tc>
          <w:tcPr>
            <w:tcW w:w="3070" w:type="dxa"/>
            <w:tcBorders>
              <w:top w:val="nil"/>
              <w:left w:val="single" w:sz="4" w:space="0" w:color="auto"/>
              <w:bottom w:val="nil"/>
              <w:right w:val="nil"/>
            </w:tcBorders>
          </w:tcPr>
          <w:p w14:paraId="5EC11C84" w14:textId="77777777" w:rsidR="006A0BA6" w:rsidRPr="000800C2" w:rsidRDefault="006A0BA6" w:rsidP="006A0BA6">
            <w:pPr>
              <w:spacing w:after="0" w:line="240" w:lineRule="auto"/>
              <w:ind w:left="0" w:right="0"/>
              <w:rPr>
                <w:rFonts w:ascii="Calibri" w:hAnsi="Calibri" w:cs="Calibri"/>
                <w:b/>
              </w:rPr>
            </w:pPr>
          </w:p>
        </w:tc>
        <w:tc>
          <w:tcPr>
            <w:tcW w:w="3237" w:type="dxa"/>
            <w:tcBorders>
              <w:top w:val="nil"/>
              <w:left w:val="nil"/>
              <w:bottom w:val="nil"/>
              <w:right w:val="nil"/>
            </w:tcBorders>
          </w:tcPr>
          <w:p w14:paraId="316FD3CA" w14:textId="77777777" w:rsidR="006A0BA6" w:rsidRPr="000800C2" w:rsidRDefault="006A0BA6" w:rsidP="006A0BA6">
            <w:pPr>
              <w:spacing w:after="0" w:line="240" w:lineRule="auto"/>
              <w:ind w:left="0" w:right="0"/>
              <w:rPr>
                <w:rFonts w:ascii="Calibri" w:hAnsi="Calibri" w:cs="Calibri"/>
                <w:b/>
              </w:rPr>
            </w:pPr>
          </w:p>
        </w:tc>
        <w:tc>
          <w:tcPr>
            <w:tcW w:w="2903" w:type="dxa"/>
            <w:tcBorders>
              <w:top w:val="nil"/>
              <w:left w:val="nil"/>
              <w:bottom w:val="nil"/>
              <w:right w:val="single" w:sz="4" w:space="0" w:color="auto"/>
            </w:tcBorders>
          </w:tcPr>
          <w:p w14:paraId="2A1CAC13" w14:textId="77777777" w:rsidR="006A0BA6" w:rsidRPr="000800C2" w:rsidRDefault="006A0BA6" w:rsidP="006A0BA6">
            <w:pPr>
              <w:spacing w:after="0" w:line="240" w:lineRule="auto"/>
              <w:ind w:left="0" w:right="0"/>
              <w:rPr>
                <w:rFonts w:ascii="Calibri" w:hAnsi="Calibri" w:cs="Calibri"/>
                <w:b/>
              </w:rPr>
            </w:pPr>
          </w:p>
        </w:tc>
      </w:tr>
      <w:tr w:rsidR="006A0BA6" w:rsidRPr="000800C2" w14:paraId="7BE61D6C" w14:textId="77777777" w:rsidTr="00F52BE0">
        <w:tc>
          <w:tcPr>
            <w:tcW w:w="3070" w:type="dxa"/>
            <w:tcBorders>
              <w:top w:val="nil"/>
              <w:left w:val="single" w:sz="4" w:space="0" w:color="auto"/>
              <w:bottom w:val="nil"/>
              <w:right w:val="nil"/>
            </w:tcBorders>
          </w:tcPr>
          <w:p w14:paraId="504CE8C9"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Anti-A</w:t>
            </w:r>
            <w:r w:rsidRPr="000800C2">
              <w:rPr>
                <w:rFonts w:ascii="Calibri" w:hAnsi="Calibri" w:cs="Calibri"/>
                <w:b/>
                <w:bCs/>
                <w:kern w:val="32"/>
                <w:vertAlign w:val="subscript"/>
              </w:rPr>
              <w:t>1</w:t>
            </w:r>
          </w:p>
        </w:tc>
        <w:tc>
          <w:tcPr>
            <w:tcW w:w="3237" w:type="dxa"/>
            <w:tcBorders>
              <w:top w:val="nil"/>
              <w:left w:val="nil"/>
              <w:bottom w:val="nil"/>
              <w:right w:val="nil"/>
            </w:tcBorders>
          </w:tcPr>
          <w:p w14:paraId="318B4BF3"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47ED767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516A3497" w14:textId="77777777" w:rsidTr="00F52BE0">
        <w:tc>
          <w:tcPr>
            <w:tcW w:w="3070" w:type="dxa"/>
            <w:tcBorders>
              <w:top w:val="nil"/>
              <w:left w:val="single" w:sz="4" w:space="0" w:color="auto"/>
              <w:bottom w:val="nil"/>
              <w:right w:val="nil"/>
            </w:tcBorders>
          </w:tcPr>
          <w:p w14:paraId="4603BDE8"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Anti-H</w:t>
            </w:r>
          </w:p>
        </w:tc>
        <w:tc>
          <w:tcPr>
            <w:tcW w:w="3237" w:type="dxa"/>
            <w:tcBorders>
              <w:top w:val="nil"/>
              <w:left w:val="nil"/>
              <w:bottom w:val="nil"/>
              <w:right w:val="nil"/>
            </w:tcBorders>
          </w:tcPr>
          <w:p w14:paraId="189948EC"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4B8F3ED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4DA40DDA" w14:textId="77777777" w:rsidTr="00F52BE0">
        <w:tc>
          <w:tcPr>
            <w:tcW w:w="3070" w:type="dxa"/>
            <w:tcBorders>
              <w:top w:val="nil"/>
              <w:left w:val="single" w:sz="4" w:space="0" w:color="auto"/>
              <w:bottom w:val="nil"/>
              <w:right w:val="nil"/>
            </w:tcBorders>
          </w:tcPr>
          <w:p w14:paraId="72705C12"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Anti-Le</w:t>
            </w:r>
            <w:r w:rsidRPr="000800C2">
              <w:rPr>
                <w:rFonts w:ascii="Calibri" w:hAnsi="Calibri" w:cs="Calibri"/>
                <w:b/>
                <w:vertAlign w:val="superscript"/>
              </w:rPr>
              <w:t>a</w:t>
            </w:r>
          </w:p>
        </w:tc>
        <w:tc>
          <w:tcPr>
            <w:tcW w:w="3237" w:type="dxa"/>
            <w:tcBorders>
              <w:top w:val="nil"/>
              <w:left w:val="nil"/>
              <w:bottom w:val="nil"/>
              <w:right w:val="nil"/>
            </w:tcBorders>
          </w:tcPr>
          <w:p w14:paraId="5B8908DC"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3325D689"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4AA27E9B" w14:textId="77777777" w:rsidTr="00F52BE0">
        <w:tc>
          <w:tcPr>
            <w:tcW w:w="3070" w:type="dxa"/>
            <w:tcBorders>
              <w:top w:val="nil"/>
              <w:left w:val="single" w:sz="4" w:space="0" w:color="auto"/>
              <w:bottom w:val="nil"/>
              <w:right w:val="nil"/>
            </w:tcBorders>
          </w:tcPr>
          <w:p w14:paraId="29B433FF"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w:t>
            </w:r>
            <w:proofErr w:type="spellStart"/>
            <w:r w:rsidRPr="000800C2">
              <w:rPr>
                <w:rFonts w:ascii="Calibri" w:hAnsi="Calibri" w:cs="Calibri"/>
                <w:b/>
              </w:rPr>
              <w:t>Le</w:t>
            </w:r>
            <w:r w:rsidRPr="000800C2">
              <w:rPr>
                <w:rFonts w:ascii="Calibri" w:hAnsi="Calibri" w:cs="Calibri"/>
                <w:b/>
                <w:vertAlign w:val="superscript"/>
              </w:rPr>
              <w:t>b</w:t>
            </w:r>
            <w:proofErr w:type="spellEnd"/>
          </w:p>
        </w:tc>
        <w:tc>
          <w:tcPr>
            <w:tcW w:w="3237" w:type="dxa"/>
            <w:tcBorders>
              <w:top w:val="nil"/>
              <w:left w:val="nil"/>
              <w:bottom w:val="nil"/>
              <w:right w:val="nil"/>
            </w:tcBorders>
          </w:tcPr>
          <w:p w14:paraId="013B8246"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63017997"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08C5767A" w14:textId="77777777" w:rsidTr="00F52BE0">
        <w:tc>
          <w:tcPr>
            <w:tcW w:w="3070" w:type="dxa"/>
            <w:tcBorders>
              <w:top w:val="nil"/>
              <w:left w:val="single" w:sz="4" w:space="0" w:color="auto"/>
              <w:bottom w:val="nil"/>
              <w:right w:val="nil"/>
            </w:tcBorders>
          </w:tcPr>
          <w:p w14:paraId="56DFE310" w14:textId="77777777" w:rsidR="006A0BA6" w:rsidRPr="000800C2" w:rsidRDefault="006A0BA6" w:rsidP="006A0BA6">
            <w:pPr>
              <w:spacing w:after="0" w:line="240" w:lineRule="auto"/>
              <w:ind w:left="0" w:right="0"/>
              <w:rPr>
                <w:rFonts w:ascii="Calibri" w:hAnsi="Calibri" w:cs="Calibri"/>
              </w:rPr>
            </w:pPr>
            <w:r w:rsidRPr="000800C2">
              <w:rPr>
                <w:rFonts w:ascii="Calibri" w:hAnsi="Calibri" w:cs="Calibri"/>
                <w:b/>
              </w:rPr>
              <w:t>Anti-P</w:t>
            </w:r>
            <w:r w:rsidRPr="000800C2">
              <w:rPr>
                <w:rFonts w:ascii="Calibri" w:hAnsi="Calibri" w:cs="Calibri"/>
                <w:b/>
                <w:vertAlign w:val="subscript"/>
              </w:rPr>
              <w:t>1</w:t>
            </w:r>
          </w:p>
        </w:tc>
        <w:tc>
          <w:tcPr>
            <w:tcW w:w="3237" w:type="dxa"/>
            <w:tcBorders>
              <w:top w:val="nil"/>
              <w:left w:val="nil"/>
              <w:bottom w:val="nil"/>
              <w:right w:val="nil"/>
            </w:tcBorders>
          </w:tcPr>
          <w:p w14:paraId="6616C616"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12BA1BB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1BE82E60" w14:textId="77777777" w:rsidTr="00F52BE0">
        <w:tc>
          <w:tcPr>
            <w:tcW w:w="3070" w:type="dxa"/>
            <w:tcBorders>
              <w:top w:val="nil"/>
              <w:left w:val="single" w:sz="4" w:space="0" w:color="auto"/>
              <w:bottom w:val="nil"/>
              <w:right w:val="nil"/>
            </w:tcBorders>
          </w:tcPr>
          <w:p w14:paraId="1A5ECEA2"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Anti-I</w:t>
            </w:r>
          </w:p>
        </w:tc>
        <w:tc>
          <w:tcPr>
            <w:tcW w:w="3237" w:type="dxa"/>
            <w:tcBorders>
              <w:top w:val="nil"/>
              <w:left w:val="nil"/>
              <w:bottom w:val="nil"/>
              <w:right w:val="nil"/>
            </w:tcBorders>
          </w:tcPr>
          <w:p w14:paraId="4229EC0D"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5D518856"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2ACE5999" w14:textId="77777777" w:rsidTr="00F52BE0">
        <w:tc>
          <w:tcPr>
            <w:tcW w:w="3070" w:type="dxa"/>
            <w:tcBorders>
              <w:top w:val="nil"/>
              <w:left w:val="single" w:sz="4" w:space="0" w:color="auto"/>
              <w:bottom w:val="nil"/>
              <w:right w:val="nil"/>
            </w:tcBorders>
          </w:tcPr>
          <w:p w14:paraId="3547D844"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Anti-M</w:t>
            </w:r>
          </w:p>
        </w:tc>
        <w:tc>
          <w:tcPr>
            <w:tcW w:w="3237" w:type="dxa"/>
            <w:tcBorders>
              <w:top w:val="nil"/>
              <w:left w:val="nil"/>
              <w:bottom w:val="nil"/>
              <w:right w:val="nil"/>
            </w:tcBorders>
          </w:tcPr>
          <w:p w14:paraId="204075CE"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63F43627"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16A01D91" w14:textId="77777777" w:rsidTr="00F52BE0">
        <w:tc>
          <w:tcPr>
            <w:tcW w:w="3070" w:type="dxa"/>
            <w:tcBorders>
              <w:top w:val="nil"/>
              <w:left w:val="single" w:sz="4" w:space="0" w:color="auto"/>
              <w:bottom w:val="nil"/>
              <w:right w:val="nil"/>
            </w:tcBorders>
          </w:tcPr>
          <w:p w14:paraId="49501DD8"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Anti-N</w:t>
            </w:r>
          </w:p>
        </w:tc>
        <w:tc>
          <w:tcPr>
            <w:tcW w:w="3237" w:type="dxa"/>
            <w:tcBorders>
              <w:top w:val="nil"/>
              <w:left w:val="nil"/>
              <w:bottom w:val="nil"/>
              <w:right w:val="nil"/>
            </w:tcBorders>
          </w:tcPr>
          <w:p w14:paraId="2195CA74"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0A847599"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2A71ABCE" w14:textId="77777777" w:rsidTr="00F52BE0">
        <w:tc>
          <w:tcPr>
            <w:tcW w:w="3070" w:type="dxa"/>
            <w:tcBorders>
              <w:top w:val="nil"/>
              <w:left w:val="single" w:sz="4" w:space="0" w:color="auto"/>
              <w:bottom w:val="nil"/>
              <w:right w:val="nil"/>
            </w:tcBorders>
          </w:tcPr>
          <w:p w14:paraId="179AF2E2" w14:textId="77777777" w:rsidR="006A0BA6" w:rsidRPr="000800C2" w:rsidRDefault="006A0BA6" w:rsidP="006A0BA6">
            <w:pPr>
              <w:keepNext/>
              <w:spacing w:after="0" w:line="240" w:lineRule="auto"/>
              <w:ind w:left="0" w:right="0"/>
              <w:outlineLvl w:val="0"/>
              <w:rPr>
                <w:rFonts w:ascii="Calibri" w:hAnsi="Calibri" w:cs="Calibri"/>
                <w:b/>
                <w:bCs/>
                <w:kern w:val="32"/>
              </w:rPr>
            </w:pPr>
            <w:r w:rsidRPr="000800C2">
              <w:rPr>
                <w:rFonts w:ascii="Calibri" w:hAnsi="Calibri" w:cs="Calibri"/>
                <w:b/>
                <w:bCs/>
                <w:kern w:val="32"/>
              </w:rPr>
              <w:t xml:space="preserve">”Allmänna </w:t>
            </w:r>
            <w:proofErr w:type="spellStart"/>
            <w:r w:rsidRPr="000800C2">
              <w:rPr>
                <w:rFonts w:ascii="Calibri" w:hAnsi="Calibri" w:cs="Calibri"/>
                <w:b/>
                <w:bCs/>
                <w:kern w:val="32"/>
              </w:rPr>
              <w:t>köldaggl</w:t>
            </w:r>
            <w:proofErr w:type="spellEnd"/>
            <w:r w:rsidRPr="000800C2">
              <w:rPr>
                <w:rFonts w:ascii="Calibri" w:hAnsi="Calibri" w:cs="Calibri"/>
                <w:b/>
                <w:bCs/>
                <w:kern w:val="32"/>
              </w:rPr>
              <w:t>”</w:t>
            </w:r>
          </w:p>
        </w:tc>
        <w:tc>
          <w:tcPr>
            <w:tcW w:w="3237" w:type="dxa"/>
            <w:tcBorders>
              <w:top w:val="nil"/>
              <w:left w:val="nil"/>
              <w:bottom w:val="nil"/>
              <w:right w:val="nil"/>
            </w:tcBorders>
          </w:tcPr>
          <w:p w14:paraId="2E648C36"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c>
          <w:tcPr>
            <w:tcW w:w="2903" w:type="dxa"/>
            <w:tcBorders>
              <w:top w:val="nil"/>
              <w:left w:val="nil"/>
              <w:bottom w:val="nil"/>
              <w:right w:val="single" w:sz="4" w:space="0" w:color="auto"/>
            </w:tcBorders>
          </w:tcPr>
          <w:p w14:paraId="6263D1BA"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w:t>
            </w:r>
          </w:p>
        </w:tc>
      </w:tr>
      <w:tr w:rsidR="006A0BA6" w:rsidRPr="000800C2" w14:paraId="37EDFBFD" w14:textId="77777777" w:rsidTr="00F52BE0">
        <w:tc>
          <w:tcPr>
            <w:tcW w:w="3070" w:type="dxa"/>
            <w:tcBorders>
              <w:top w:val="nil"/>
              <w:left w:val="single" w:sz="4" w:space="0" w:color="auto"/>
              <w:bottom w:val="nil"/>
              <w:right w:val="nil"/>
            </w:tcBorders>
          </w:tcPr>
          <w:p w14:paraId="65D8D281" w14:textId="77777777" w:rsidR="006A0BA6" w:rsidRPr="000800C2" w:rsidRDefault="006A0BA6" w:rsidP="006A0BA6">
            <w:pPr>
              <w:spacing w:after="0" w:line="240" w:lineRule="auto"/>
              <w:ind w:left="0" w:right="0"/>
              <w:rPr>
                <w:rFonts w:ascii="Calibri" w:hAnsi="Calibri" w:cs="Calibri"/>
              </w:rPr>
            </w:pPr>
          </w:p>
        </w:tc>
        <w:tc>
          <w:tcPr>
            <w:tcW w:w="3237" w:type="dxa"/>
            <w:tcBorders>
              <w:top w:val="nil"/>
              <w:left w:val="nil"/>
              <w:bottom w:val="nil"/>
              <w:right w:val="nil"/>
            </w:tcBorders>
          </w:tcPr>
          <w:p w14:paraId="4A108271" w14:textId="77777777" w:rsidR="006A0BA6" w:rsidRPr="000800C2" w:rsidRDefault="006A0BA6" w:rsidP="006A0BA6">
            <w:pPr>
              <w:spacing w:after="0" w:line="240" w:lineRule="auto"/>
              <w:ind w:left="0" w:right="0"/>
              <w:rPr>
                <w:rFonts w:ascii="Calibri" w:hAnsi="Calibri" w:cs="Calibri"/>
                <w:b/>
              </w:rPr>
            </w:pPr>
            <w:r w:rsidRPr="000800C2">
              <w:rPr>
                <w:rFonts w:ascii="Calibri" w:hAnsi="Calibri" w:cs="Calibri"/>
                <w:b/>
              </w:rPr>
              <w:t>Endast antikroppar verksamma vid 37</w:t>
            </w:r>
            <w:r w:rsidRPr="000800C2">
              <w:rPr>
                <w:rFonts w:ascii="Calibri" w:hAnsi="Calibri" w:cs="Calibri"/>
                <w:b/>
                <w:vertAlign w:val="subscript"/>
              </w:rPr>
              <w:t>O</w:t>
            </w:r>
            <w:r w:rsidRPr="000800C2">
              <w:rPr>
                <w:rFonts w:ascii="Calibri" w:hAnsi="Calibri" w:cs="Calibri"/>
              </w:rPr>
              <w:t xml:space="preserve"> </w:t>
            </w:r>
            <w:r w:rsidRPr="000800C2">
              <w:rPr>
                <w:rFonts w:ascii="Calibri" w:hAnsi="Calibri" w:cs="Calibri"/>
                <w:b/>
              </w:rPr>
              <w:t>har betydelse vid transfusion</w:t>
            </w:r>
          </w:p>
        </w:tc>
        <w:tc>
          <w:tcPr>
            <w:tcW w:w="2903" w:type="dxa"/>
            <w:tcBorders>
              <w:top w:val="nil"/>
              <w:left w:val="nil"/>
              <w:bottom w:val="nil"/>
              <w:right w:val="single" w:sz="4" w:space="0" w:color="auto"/>
            </w:tcBorders>
          </w:tcPr>
          <w:p w14:paraId="7669123F" w14:textId="77777777" w:rsidR="006A0BA6" w:rsidRPr="000800C2" w:rsidRDefault="006A0BA6" w:rsidP="006A0BA6">
            <w:pPr>
              <w:spacing w:after="0" w:line="240" w:lineRule="auto"/>
              <w:ind w:left="0" w:right="0"/>
              <w:rPr>
                <w:rFonts w:ascii="Calibri" w:hAnsi="Calibri" w:cs="Calibri"/>
              </w:rPr>
            </w:pPr>
          </w:p>
        </w:tc>
      </w:tr>
      <w:tr w:rsidR="006A0BA6" w:rsidRPr="000800C2" w14:paraId="72DAF61A" w14:textId="77777777" w:rsidTr="00F52BE0">
        <w:tc>
          <w:tcPr>
            <w:tcW w:w="3070" w:type="dxa"/>
            <w:tcBorders>
              <w:top w:val="nil"/>
              <w:left w:val="single" w:sz="4" w:space="0" w:color="auto"/>
              <w:bottom w:val="single" w:sz="4" w:space="0" w:color="auto"/>
              <w:right w:val="nil"/>
            </w:tcBorders>
          </w:tcPr>
          <w:p w14:paraId="3FE8F18D" w14:textId="77777777" w:rsidR="006A0BA6" w:rsidRPr="000800C2" w:rsidRDefault="006A0BA6" w:rsidP="006A0BA6">
            <w:pPr>
              <w:spacing w:after="0" w:line="240" w:lineRule="auto"/>
              <w:ind w:left="0" w:right="0"/>
              <w:rPr>
                <w:rFonts w:ascii="Calibri" w:hAnsi="Calibri" w:cs="Calibri"/>
              </w:rPr>
            </w:pPr>
          </w:p>
        </w:tc>
        <w:tc>
          <w:tcPr>
            <w:tcW w:w="3237" w:type="dxa"/>
            <w:tcBorders>
              <w:top w:val="nil"/>
              <w:left w:val="nil"/>
              <w:bottom w:val="single" w:sz="4" w:space="0" w:color="auto"/>
              <w:right w:val="nil"/>
            </w:tcBorders>
          </w:tcPr>
          <w:p w14:paraId="6687837D" w14:textId="77777777" w:rsidR="006A0BA6" w:rsidRPr="000800C2" w:rsidRDefault="006A0BA6" w:rsidP="006A0BA6">
            <w:pPr>
              <w:spacing w:after="0" w:line="240" w:lineRule="auto"/>
              <w:ind w:left="0" w:right="0"/>
              <w:rPr>
                <w:rFonts w:ascii="Calibri" w:hAnsi="Calibri" w:cs="Calibri"/>
                <w:b/>
              </w:rPr>
            </w:pPr>
          </w:p>
        </w:tc>
        <w:tc>
          <w:tcPr>
            <w:tcW w:w="2903" w:type="dxa"/>
            <w:tcBorders>
              <w:top w:val="nil"/>
              <w:left w:val="nil"/>
              <w:bottom w:val="single" w:sz="4" w:space="0" w:color="auto"/>
              <w:right w:val="single" w:sz="4" w:space="0" w:color="auto"/>
            </w:tcBorders>
          </w:tcPr>
          <w:p w14:paraId="77CC475F" w14:textId="77777777" w:rsidR="006A0BA6" w:rsidRPr="000800C2" w:rsidRDefault="006A0BA6" w:rsidP="006A0BA6">
            <w:pPr>
              <w:spacing w:after="0" w:line="240" w:lineRule="auto"/>
              <w:ind w:left="0" w:right="0"/>
              <w:rPr>
                <w:rFonts w:ascii="Calibri" w:hAnsi="Calibri" w:cs="Calibri"/>
              </w:rPr>
            </w:pPr>
          </w:p>
        </w:tc>
      </w:tr>
    </w:tbl>
    <w:p w14:paraId="5520478B" w14:textId="77777777" w:rsidR="006A0BA6" w:rsidRPr="006A0BA6" w:rsidRDefault="006A0BA6" w:rsidP="00F52BE0">
      <w:pPr>
        <w:spacing w:after="0" w:line="240" w:lineRule="auto"/>
        <w:ind w:right="0"/>
        <w:rPr>
          <w:szCs w:val="20"/>
        </w:rPr>
      </w:pPr>
    </w:p>
    <w:p w14:paraId="52658253" w14:textId="77777777" w:rsidR="006A0BA6" w:rsidRPr="006A0BA6" w:rsidRDefault="006A0BA6" w:rsidP="00F52BE0">
      <w:pPr>
        <w:spacing w:after="0" w:line="240" w:lineRule="auto"/>
        <w:ind w:right="0"/>
        <w:rPr>
          <w:szCs w:val="20"/>
        </w:rPr>
      </w:pPr>
    </w:p>
    <w:p w14:paraId="1B459A66" w14:textId="77777777" w:rsidR="006A0BA6" w:rsidRPr="006A0BA6" w:rsidRDefault="006A0BA6" w:rsidP="00F52BE0">
      <w:pPr>
        <w:spacing w:after="0" w:line="240" w:lineRule="auto"/>
        <w:ind w:right="0"/>
        <w:rPr>
          <w:szCs w:val="20"/>
        </w:rPr>
      </w:pPr>
    </w:p>
    <w:p w14:paraId="5840F247" w14:textId="1219E4DE" w:rsidR="006A0BA6" w:rsidRPr="006A0BA6" w:rsidRDefault="006A0BA6" w:rsidP="00F52BE0">
      <w:pPr>
        <w:spacing w:after="0" w:line="240" w:lineRule="auto"/>
        <w:ind w:right="0"/>
      </w:pPr>
      <w:r>
        <w:rPr>
          <w:noProof/>
        </w:rPr>
        <w:lastRenderedPageBreak/>
        <w:drawing>
          <wp:inline distT="0" distB="0" distL="0" distR="0" wp14:anchorId="3330E741" wp14:editId="2BA85DD2">
            <wp:extent cx="5669916" cy="7099301"/>
            <wp:effectExtent l="0" t="0" r="698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7">
                      <a:extLst>
                        <a:ext uri="{28A0092B-C50C-407E-A947-70E740481C1C}">
                          <a14:useLocalDpi xmlns:a14="http://schemas.microsoft.com/office/drawing/2010/main" val="0"/>
                        </a:ext>
                      </a:extLst>
                    </a:blip>
                    <a:srcRect t="9584"/>
                    <a:stretch>
                      <a:fillRect/>
                    </a:stretch>
                  </pic:blipFill>
                  <pic:spPr>
                    <a:xfrm>
                      <a:off x="0" y="0"/>
                      <a:ext cx="5669916" cy="7099301"/>
                    </a:xfrm>
                    <a:prstGeom prst="rect">
                      <a:avLst/>
                    </a:prstGeom>
                  </pic:spPr>
                </pic:pic>
              </a:graphicData>
            </a:graphic>
          </wp:inline>
        </w:drawing>
      </w:r>
    </w:p>
    <w:p w14:paraId="4E9B629C" w14:textId="77777777" w:rsidR="006A0BA6" w:rsidRPr="006A0BA6" w:rsidRDefault="006A0BA6" w:rsidP="00F52BE0">
      <w:pPr>
        <w:spacing w:after="0" w:line="240" w:lineRule="auto"/>
        <w:ind w:right="0"/>
        <w:rPr>
          <w:szCs w:val="20"/>
        </w:rPr>
      </w:pPr>
    </w:p>
    <w:p w14:paraId="3A22EC30" w14:textId="77777777" w:rsidR="006A0BA6" w:rsidRPr="006A0BA6" w:rsidRDefault="006A0BA6" w:rsidP="00F52BE0">
      <w:pPr>
        <w:spacing w:after="0" w:line="240" w:lineRule="auto"/>
        <w:ind w:right="0"/>
        <w:rPr>
          <w:szCs w:val="20"/>
        </w:rPr>
      </w:pPr>
    </w:p>
    <w:p w14:paraId="68CBCE64" w14:textId="77777777" w:rsidR="006A0BA6" w:rsidRPr="006A0BA6" w:rsidRDefault="006A0BA6" w:rsidP="00F52BE0">
      <w:pPr>
        <w:spacing w:after="0" w:line="240" w:lineRule="auto"/>
        <w:ind w:right="0"/>
        <w:rPr>
          <w:szCs w:val="20"/>
        </w:rPr>
      </w:pPr>
    </w:p>
    <w:p w14:paraId="6DB9D42D" w14:textId="57602907" w:rsidR="006A0BA6" w:rsidRPr="006A0BA6" w:rsidRDefault="006A0BA6" w:rsidP="00F52BE0">
      <w:pPr>
        <w:spacing w:after="0" w:line="240" w:lineRule="auto"/>
        <w:ind w:right="0"/>
        <w:rPr>
          <w:szCs w:val="20"/>
        </w:rPr>
      </w:pPr>
      <w:r w:rsidRPr="006A0BA6">
        <w:rPr>
          <w:noProof/>
          <w:szCs w:val="20"/>
        </w:rPr>
        <w:lastRenderedPageBreak/>
        <w:drawing>
          <wp:inline distT="0" distB="0" distL="0" distR="0" wp14:anchorId="76247F4D" wp14:editId="48F41897">
            <wp:extent cx="5339080" cy="77228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8">
                      <a:extLst>
                        <a:ext uri="{28A0092B-C50C-407E-A947-70E740481C1C}">
                          <a14:useLocalDpi xmlns:a14="http://schemas.microsoft.com/office/drawing/2010/main" val="0"/>
                        </a:ext>
                      </a:extLst>
                    </a:blip>
                    <a:srcRect t="10641"/>
                    <a:stretch>
                      <a:fillRect/>
                    </a:stretch>
                  </pic:blipFill>
                  <pic:spPr bwMode="auto">
                    <a:xfrm>
                      <a:off x="0" y="0"/>
                      <a:ext cx="5339080" cy="7722870"/>
                    </a:xfrm>
                    <a:prstGeom prst="rect">
                      <a:avLst/>
                    </a:prstGeom>
                    <a:noFill/>
                    <a:ln>
                      <a:noFill/>
                    </a:ln>
                  </pic:spPr>
                </pic:pic>
              </a:graphicData>
            </a:graphic>
          </wp:inline>
        </w:drawing>
      </w:r>
    </w:p>
    <w:p w14:paraId="0D0DBA3D" w14:textId="050C2329" w:rsidR="006A0BA6" w:rsidRPr="006A0BA6" w:rsidRDefault="006A0BA6" w:rsidP="00F52BE0">
      <w:pPr>
        <w:spacing w:after="0" w:line="240" w:lineRule="auto"/>
        <w:ind w:right="0"/>
        <w:rPr>
          <w:szCs w:val="20"/>
        </w:rPr>
      </w:pPr>
      <w:r w:rsidRPr="006A0BA6">
        <w:rPr>
          <w:noProof/>
          <w:szCs w:val="20"/>
        </w:rPr>
        <w:lastRenderedPageBreak/>
        <mc:AlternateContent>
          <mc:Choice Requires="wps">
            <w:drawing>
              <wp:anchor distT="0" distB="0" distL="114300" distR="114300" simplePos="0" relativeHeight="251659264" behindDoc="0" locked="0" layoutInCell="1" allowOverlap="1" wp14:anchorId="2FEFB780" wp14:editId="5DAB05D8">
                <wp:simplePos x="0" y="0"/>
                <wp:positionH relativeFrom="character">
                  <wp:posOffset>0</wp:posOffset>
                </wp:positionH>
                <wp:positionV relativeFrom="line">
                  <wp:posOffset>0</wp:posOffset>
                </wp:positionV>
                <wp:extent cx="5146675" cy="4785360"/>
                <wp:effectExtent l="9525" t="9525" r="6350" b="571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6675" cy="4785360"/>
                        </a:xfrm>
                        <a:prstGeom prst="rect">
                          <a:avLst/>
                        </a:prstGeom>
                        <a:solidFill>
                          <a:srgbClr val="FFFFFF"/>
                        </a:solidFill>
                        <a:ln w="9525">
                          <a:solidFill>
                            <a:srgbClr val="FFFFFF"/>
                          </a:solidFill>
                          <a:miter lim="800000"/>
                          <a:headEnd/>
                          <a:tailEnd/>
                        </a:ln>
                      </wps:spPr>
                      <wps:txbx>
                        <w:txbxContent>
                          <w:p w14:paraId="334FB401" w14:textId="1A073221" w:rsidR="006A0BA6" w:rsidRPr="00654134" w:rsidRDefault="006A0BA6" w:rsidP="006A0BA6">
                            <w:r>
                              <w:rPr>
                                <w:noProof/>
                              </w:rPr>
                              <w:drawing>
                                <wp:inline distT="0" distB="0" distL="0" distR="0" wp14:anchorId="7134B33E" wp14:editId="3994BC43">
                                  <wp:extent cx="4953000" cy="4686300"/>
                                  <wp:effectExtent l="0" t="0" r="0" b="0"/>
                                  <wp:docPr id="5" name="Picture 5"/>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4"/>
                                          <pic:cNvPicPr>
                                            <a:picLocks noRot="1" noChangeAspect="1" noMove="1" noResize="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3000" cy="46863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FEFB780" id="Text Box 7" o:spid="_x0000_s1027" type="#_x0000_t202" style="position:absolute;margin-left:0;margin-top:0;width:405.25pt;height:376.8pt;z-index:251659264;visibility:visible;mso-wrap-style:non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CVyFAIAADEEAAAOAAAAZHJzL2Uyb0RvYy54bWysU1Fv2yAQfp+0/4B4X5xkcZJacaouXaZJ&#10;7Tap3Q/AGNtomENAYme/fgd20qh7q8oD4jj47u677za3favIUVgnQed0NplSIjSHUuo6p7+f95/W&#10;lDjPdMkUaJHTk3D0dvvxw6YzmZhDA6oUliCIdllnctp4b7IkcbwRLXMTMEKjswLbMo+mrZPSsg7R&#10;W5XMp9Nl0oEtjQUunMPb+8FJtxG/qgT3P6vKCU9UTjE3H3cb9yLsyXbDstoy00g+psHekEXLpMag&#10;F6h75hk5WPkfVCu5BQeVn3BoE6gqyUWsAauZTV9V89QwI2ItSI4zF5rc+8HyH8cn88sS33+BHhsY&#10;i3DmAfgfRzTsGqZrcWctdI1gJQaeBcqSzrhs/BqodpkLIEX3CCU2mR08RKC+sm1gBeskiI4NOF1I&#10;F70nHC/T2WK5XKWUcPQtVuv08zK2JWHZ+buxzn8T0JJwyKnFrkZ4dnxwPqTDsvOTEM2BkuVeKhUN&#10;Wxc7ZcmRoQL2ccUKXj1TmnQ5vUnn6cDAGyBa6VHKSrY5XU/DGsQVePuqyyg0z6Qazpiy0iORgbuB&#10;Rd8XPZHlyHLgtYDyhMxaGJSLk4aHBuxfSjpUbU41jhUl6rvG3tzMFosg8mgs0tUcDXvtKa49THME&#10;yqmnZDju/DAYB2Nl3WCcsxrusJ97GZl+yWlMHnUZGzDOUBD+tR1fvUz69h8AAAD//wMAUEsDBBQA&#10;BgAIAAAAIQCX1lfY3gAAAAUBAAAPAAAAZHJzL2Rvd25yZXYueG1sTI9PT8JAEMXvJH6HzZh4gy0a&#10;/qR2SwgqiQcPohG8Dd2xbezONt0Byrd39SKXSV7ey3u/yRa9a9SRulB7NjAeJaCIC29rLg28vz0N&#10;56CCIFtsPJOBMwVY5FeDDFPrT/xKx42UKpZwSNFAJdKmWoeiIodh5Fvi6H35zqFE2ZXadniK5a7R&#10;t0ky1Q5rjgsVtrSqqPjeHJyB+uWzlY/t+vFh5dfb8w7DbvkcjLm57pf3oIR6+Q/DL35Ehzwy7f2B&#10;bVCNgfiI/N3ozcfJBNTewGxyNwWdZ/qSPv8BAAD//wMAUEsBAi0AFAAGAAgAAAAhALaDOJL+AAAA&#10;4QEAABMAAAAAAAAAAAAAAAAAAAAAAFtDb250ZW50X1R5cGVzXS54bWxQSwECLQAUAAYACAAAACEA&#10;OP0h/9YAAACUAQAACwAAAAAAAAAAAAAAAAAvAQAAX3JlbHMvLnJlbHNQSwECLQAUAAYACAAAACEA&#10;FcAlchQCAAAxBAAADgAAAAAAAAAAAAAAAAAuAgAAZHJzL2Uyb0RvYy54bWxQSwECLQAUAAYACAAA&#10;ACEAl9ZX2N4AAAAFAQAADwAAAAAAAAAAAAAAAABuBAAAZHJzL2Rvd25yZXYueG1sUEsFBgAAAAAE&#10;AAQA8wAAAHkFAAAAAA==&#10;" strokecolor="white">
                <v:textbox style="mso-fit-shape-to-text:t">
                  <w:txbxContent>
                    <w:p w14:paraId="334FB401" w14:textId="1A073221" w:rsidR="006A0BA6" w:rsidRPr="00654134" w:rsidRDefault="006A0BA6" w:rsidP="006A0BA6">
                      <w:r>
                        <w:rPr>
                          <w:noProof/>
                        </w:rPr>
                        <w:drawing>
                          <wp:inline distT="0" distB="0" distL="0" distR="0" wp14:anchorId="7134B33E" wp14:editId="3994BC43">
                            <wp:extent cx="4953000" cy="4686300"/>
                            <wp:effectExtent l="0" t="0" r="0" b="0"/>
                            <wp:docPr id="5" name="Picture 5"/>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4"/>
                                    <pic:cNvPicPr>
                                      <a:picLocks noRot="1" noChangeAspect="1" noMove="1" noResize="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3000" cy="4686300"/>
                                    </a:xfrm>
                                    <a:prstGeom prst="rect">
                                      <a:avLst/>
                                    </a:prstGeom>
                                    <a:noFill/>
                                    <a:ln>
                                      <a:noFill/>
                                    </a:ln>
                                  </pic:spPr>
                                </pic:pic>
                              </a:graphicData>
                            </a:graphic>
                          </wp:inline>
                        </w:drawing>
                      </w:r>
                    </w:p>
                  </w:txbxContent>
                </v:textbox>
                <w10:wrap anchory="line"/>
              </v:shape>
            </w:pict>
          </mc:Fallback>
        </mc:AlternateContent>
      </w:r>
      <w:r w:rsidRPr="006A0BA6">
        <w:rPr>
          <w:noProof/>
          <w:szCs w:val="20"/>
        </w:rPr>
        <mc:AlternateContent>
          <mc:Choice Requires="wps">
            <w:drawing>
              <wp:inline distT="0" distB="0" distL="0" distR="0" wp14:anchorId="1A5F65AC" wp14:editId="678ACF4A">
                <wp:extent cx="5143500" cy="478155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143500" cy="4781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a14="http://schemas.microsoft.com/office/drawing/2010/main" xmlns:pic="http://schemas.openxmlformats.org/drawingml/2006/picture">
            <w:pict w14:anchorId="35FFC538">
              <v:rect id="Rectangle 1" style="width:405pt;height:376.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7CE4BC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pO02gEAAKADAAAOAAAAZHJzL2Uyb0RvYy54bWysU9uO0zAQfUfiHyy/0yQlYZeo6Wq1q0VI&#10;C4u08AGu41xE4jEzbtPy9YydblvgDfFieWacM2fOnKxu9uMgdgapB1vJbJFKYayGurdtJb99fXhz&#10;LQV5ZWs1gDWVPBiSN+vXr1aTK80SOhhqg4JBLJWTq2TnvSuThHRnRkULcMZysQEclecQ26RGNTH6&#10;OCTLNH2XTIC1Q9CGiLP3c1GuI37TGO2fmoaMF0MlmZuPJ8ZzE85kvVJli8p1vT7SUP/AYlS95aYn&#10;qHvlldhi/xfU2GsEgsYvNIwJNE2vTZyBp8nSP6Z57pQzcRYWh9xJJvp/sPrz7tl9wUCd3CPo7yQs&#10;3HXKtuaWHMvHS5XnFCJMnVE1M8iCdsnkqDxhhIAYTWymT1DzttXWQ5Rl3+AYevDAYh/VP5zUN3sv&#10;NCeLLH9bpLwkzbX86joririfRJUvnzsk/8HAKMKlksj8IrzaPZIPdFT58iR0s/DQD0Nc8WB/S/DD&#10;kIn0A+PgFyo3UB+YPcJsE7Y1XzrAn1JMbJFK0o+tQiPF8NGyAu+zPA+eikFeXC05wMvK5rKirGao&#10;Snop5uudn324ddi3XRR65njLqjV9nOfM6kiWbRDHPFo2+Owyjq/OP9b6FwAAAP//AwBQSwMEFAAG&#10;AAgAAAAhAHBoVkLdAAAABQEAAA8AAABkcnMvZG93bnJldi54bWxMj0FLw0AQhe9C/8MyBS9id6uo&#10;JWZTSkEsIhRT7XmbHZPQ7Gya3Sbx3zt60cuDxxve+yZdjq4RPXah9qRhPlMgkApvayo1vO+erhcg&#10;QjRkTeMJNXxhgGU2uUhNYv1Ab9jnsRRcQiExGqoY20TKUFToTJj5FomzT985E9l2pbSdGbjcNfJG&#10;qXvpTE28UJkW1xUWx/zsNAzFtt/vXp/l9mq/8XTanNb5x4vWl9Nx9Qgi4hj/juEHn9EhY6aDP5MN&#10;otHAj8Rf5WwxV2wPGh7ubhXILJX/6bNvAAAA//8DAFBLAQItABQABgAIAAAAIQC2gziS/gAAAOEB&#10;AAATAAAAAAAAAAAAAAAAAAAAAABbQ29udGVudF9UeXBlc10ueG1sUEsBAi0AFAAGAAgAAAAhADj9&#10;If/WAAAAlAEAAAsAAAAAAAAAAAAAAAAALwEAAF9yZWxzLy5yZWxzUEsBAi0AFAAGAAgAAAAhAKMu&#10;k7TaAQAAoAMAAA4AAAAAAAAAAAAAAAAALgIAAGRycy9lMm9Eb2MueG1sUEsBAi0AFAAGAAgAAAAh&#10;AHBoVkLdAAAABQEAAA8AAAAAAAAAAAAAAAAANAQAAGRycy9kb3ducmV2LnhtbFBLBQYAAAAABAAE&#10;APMAAAA+BQAAAAA=&#10;">
                <o:lock v:ext="edit" aspectratio="t"/>
                <w10:anchorlock/>
              </v:rect>
            </w:pict>
          </mc:Fallback>
        </mc:AlternateContent>
      </w:r>
    </w:p>
    <w:p w14:paraId="62AE5B3F" w14:textId="77777777" w:rsidR="006A0BA6" w:rsidRPr="006A0BA6" w:rsidRDefault="006A0BA6" w:rsidP="00F52BE0">
      <w:pPr>
        <w:spacing w:after="0" w:line="240" w:lineRule="auto"/>
        <w:ind w:right="0"/>
        <w:rPr>
          <w:szCs w:val="20"/>
        </w:rPr>
      </w:pPr>
    </w:p>
    <w:p w14:paraId="55EF7CB7" w14:textId="77777777" w:rsidR="006A0BA6" w:rsidRPr="006A0BA6" w:rsidRDefault="006A0BA6" w:rsidP="00F52BE0">
      <w:pPr>
        <w:spacing w:after="0" w:line="240" w:lineRule="auto"/>
        <w:ind w:right="0"/>
        <w:rPr>
          <w:rFonts w:ascii="Arial" w:hAnsi="Arial" w:cs="Arial"/>
          <w:b/>
          <w:szCs w:val="20"/>
        </w:rPr>
      </w:pPr>
    </w:p>
    <w:p w14:paraId="5F9069D8" w14:textId="77777777" w:rsidR="006A0BA6" w:rsidRPr="006A0BA6" w:rsidRDefault="006A0BA6" w:rsidP="00F52BE0">
      <w:pPr>
        <w:spacing w:after="0" w:line="240" w:lineRule="auto"/>
        <w:ind w:right="0"/>
        <w:rPr>
          <w:rFonts w:ascii="Arial" w:hAnsi="Arial" w:cs="Arial"/>
          <w:b/>
          <w:szCs w:val="20"/>
        </w:rPr>
      </w:pPr>
    </w:p>
    <w:p w14:paraId="42397CDA" w14:textId="77777777" w:rsidR="006A0BA6" w:rsidRDefault="006A0BA6" w:rsidP="00F52BE0">
      <w:pPr>
        <w:spacing w:after="0" w:line="240" w:lineRule="auto"/>
        <w:ind w:right="0"/>
        <w:rPr>
          <w:rFonts w:ascii="Calibri" w:hAnsi="Calibri" w:cs="Calibri"/>
          <w:b/>
        </w:rPr>
      </w:pPr>
      <w:r w:rsidRPr="00B87402">
        <w:rPr>
          <w:rFonts w:ascii="Calibri" w:hAnsi="Calibri" w:cs="Calibri"/>
          <w:b/>
        </w:rPr>
        <w:t xml:space="preserve">Se ARG rapport Immunisering vid behov. </w:t>
      </w:r>
    </w:p>
    <w:p w14:paraId="3AEE254B" w14:textId="77777777" w:rsidR="00757445" w:rsidRDefault="00757445" w:rsidP="00F52BE0">
      <w:pPr>
        <w:spacing w:after="0" w:line="240" w:lineRule="auto"/>
        <w:ind w:right="0"/>
        <w:rPr>
          <w:rFonts w:ascii="Calibri" w:hAnsi="Calibri" w:cs="Calibri"/>
          <w:b/>
        </w:rPr>
      </w:pPr>
    </w:p>
    <w:p w14:paraId="2FDE206F" w14:textId="0748DB60" w:rsidR="00757445" w:rsidRPr="00B43DA4" w:rsidRDefault="00757445" w:rsidP="00F52BE0">
      <w:pPr>
        <w:spacing w:after="0" w:line="240" w:lineRule="auto"/>
        <w:ind w:right="0"/>
        <w:rPr>
          <w:rFonts w:ascii="Calibri" w:hAnsi="Calibri" w:cs="Calibri"/>
          <w:bCs/>
        </w:rPr>
      </w:pPr>
      <w:r w:rsidRPr="00B43DA4">
        <w:rPr>
          <w:rFonts w:ascii="Calibri" w:hAnsi="Calibri" w:cs="Calibri"/>
          <w:bCs/>
        </w:rPr>
        <w:t xml:space="preserve">Se </w:t>
      </w:r>
      <w:r w:rsidR="00B43DA4" w:rsidRPr="00B43DA4">
        <w:rPr>
          <w:rFonts w:ascii="Calibri" w:hAnsi="Calibri" w:cs="Calibri"/>
          <w:bCs/>
        </w:rPr>
        <w:t xml:space="preserve">även rutin </w:t>
      </w:r>
      <w:hyperlink r:id="rId20" w:history="1">
        <w:proofErr w:type="spellStart"/>
        <w:r w:rsidR="00B43DA4" w:rsidRPr="00B43DA4">
          <w:rPr>
            <w:rStyle w:val="Hyperlnk"/>
            <w:rFonts w:ascii="Calibri" w:hAnsi="Calibri" w:cs="Calibri"/>
            <w:bCs/>
          </w:rPr>
          <w:t>Rhesusimmunisering</w:t>
        </w:r>
        <w:proofErr w:type="spellEnd"/>
        <w:r w:rsidR="00B43DA4" w:rsidRPr="00B43DA4">
          <w:rPr>
            <w:rStyle w:val="Hyperlnk"/>
            <w:rFonts w:ascii="Calibri" w:hAnsi="Calibri" w:cs="Calibri"/>
            <w:bCs/>
          </w:rPr>
          <w:t xml:space="preserve"> - profylax</w:t>
        </w:r>
      </w:hyperlink>
    </w:p>
    <w:bookmarkEnd w:id="0"/>
    <w:p w14:paraId="76B9F95B" w14:textId="24513497" w:rsidR="00536A5A" w:rsidRPr="00536A5A" w:rsidRDefault="00536A5A" w:rsidP="00536A5A">
      <w:pPr>
        <w:spacing w:after="0" w:line="240" w:lineRule="auto"/>
        <w:ind w:left="0" w:right="0"/>
      </w:pPr>
    </w:p>
    <w:sectPr w:rsidR="00536A5A" w:rsidRPr="00536A5A" w:rsidSect="006A0BA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47EEB" w14:textId="77777777" w:rsidR="0096025C" w:rsidRDefault="0096025C">
      <w:r>
        <w:separator/>
      </w:r>
    </w:p>
  </w:endnote>
  <w:endnote w:type="continuationSeparator" w:id="0">
    <w:p w14:paraId="64B0F4B6" w14:textId="77777777" w:rsidR="0096025C" w:rsidRDefault="0096025C">
      <w:r>
        <w:continuationSeparator/>
      </w:r>
    </w:p>
  </w:endnote>
  <w:endnote w:type="continuationNotice" w:id="1">
    <w:p w14:paraId="3012D5E8" w14:textId="77777777" w:rsidR="0096025C" w:rsidRDefault="009602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D902BF" w14:textId="77777777" w:rsidR="0096025C" w:rsidRDefault="0096025C"/>
  </w:footnote>
  <w:footnote w:type="continuationSeparator" w:id="0">
    <w:p w14:paraId="781661FB" w14:textId="77777777" w:rsidR="0096025C" w:rsidRDefault="0096025C">
      <w:r>
        <w:continuationSeparator/>
      </w:r>
    </w:p>
  </w:footnote>
  <w:footnote w:type="continuationNotice" w:id="1">
    <w:p w14:paraId="2A4D0422" w14:textId="77777777" w:rsidR="0096025C" w:rsidRDefault="009602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E27A8"/>
    <w:multiLevelType w:val="hybridMultilevel"/>
    <w:tmpl w:val="91782798"/>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041D0003">
      <w:start w:val="1"/>
      <w:numFmt w:val="bullet"/>
      <w:lvlText w:val="o"/>
      <w:lvlJc w:val="left"/>
      <w:pPr>
        <w:ind w:left="2520" w:hanging="360"/>
      </w:pPr>
      <w:rPr>
        <w:rFonts w:ascii="Courier New" w:hAnsi="Courier New" w:cs="Courier New"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7A6AA0"/>
    <w:multiLevelType w:val="hybridMultilevel"/>
    <w:tmpl w:val="769259D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6D7CA9"/>
    <w:multiLevelType w:val="hybridMultilevel"/>
    <w:tmpl w:val="47E6A1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A10408"/>
    <w:multiLevelType w:val="hybridMultilevel"/>
    <w:tmpl w:val="7256C64C"/>
    <w:lvl w:ilvl="0" w:tplc="FFFFFFFF">
      <w:start w:val="1"/>
      <w:numFmt w:val="bullet"/>
      <w:lvlText w:val=""/>
      <w:lvlJc w:val="left"/>
      <w:pPr>
        <w:ind w:left="672" w:hanging="360"/>
      </w:pPr>
      <w:rPr>
        <w:rFonts w:ascii="Symbol" w:hAnsi="Symbol" w:hint="default"/>
      </w:rPr>
    </w:lvl>
    <w:lvl w:ilvl="1" w:tplc="FFFFFFFF" w:tentative="1">
      <w:start w:val="1"/>
      <w:numFmt w:val="bullet"/>
      <w:lvlText w:val="o"/>
      <w:lvlJc w:val="left"/>
      <w:pPr>
        <w:ind w:left="1392" w:hanging="360"/>
      </w:pPr>
      <w:rPr>
        <w:rFonts w:ascii="Courier New" w:hAnsi="Courier New" w:cs="Courier New" w:hint="default"/>
      </w:rPr>
    </w:lvl>
    <w:lvl w:ilvl="2" w:tplc="FFFFFFFF" w:tentative="1">
      <w:start w:val="1"/>
      <w:numFmt w:val="bullet"/>
      <w:lvlText w:val=""/>
      <w:lvlJc w:val="left"/>
      <w:pPr>
        <w:ind w:left="2112" w:hanging="360"/>
      </w:pPr>
      <w:rPr>
        <w:rFonts w:ascii="Wingdings" w:hAnsi="Wingdings" w:hint="default"/>
      </w:rPr>
    </w:lvl>
    <w:lvl w:ilvl="3" w:tplc="FFFFFFFF" w:tentative="1">
      <w:start w:val="1"/>
      <w:numFmt w:val="bullet"/>
      <w:lvlText w:val=""/>
      <w:lvlJc w:val="left"/>
      <w:pPr>
        <w:ind w:left="2832" w:hanging="360"/>
      </w:pPr>
      <w:rPr>
        <w:rFonts w:ascii="Symbol" w:hAnsi="Symbol" w:hint="default"/>
      </w:rPr>
    </w:lvl>
    <w:lvl w:ilvl="4" w:tplc="FFFFFFFF" w:tentative="1">
      <w:start w:val="1"/>
      <w:numFmt w:val="bullet"/>
      <w:lvlText w:val="o"/>
      <w:lvlJc w:val="left"/>
      <w:pPr>
        <w:ind w:left="3552" w:hanging="360"/>
      </w:pPr>
      <w:rPr>
        <w:rFonts w:ascii="Courier New" w:hAnsi="Courier New" w:cs="Courier New" w:hint="default"/>
      </w:rPr>
    </w:lvl>
    <w:lvl w:ilvl="5" w:tplc="FFFFFFFF" w:tentative="1">
      <w:start w:val="1"/>
      <w:numFmt w:val="bullet"/>
      <w:lvlText w:val=""/>
      <w:lvlJc w:val="left"/>
      <w:pPr>
        <w:ind w:left="4272" w:hanging="360"/>
      </w:pPr>
      <w:rPr>
        <w:rFonts w:ascii="Wingdings" w:hAnsi="Wingdings" w:hint="default"/>
      </w:rPr>
    </w:lvl>
    <w:lvl w:ilvl="6" w:tplc="FFFFFFFF" w:tentative="1">
      <w:start w:val="1"/>
      <w:numFmt w:val="bullet"/>
      <w:lvlText w:val=""/>
      <w:lvlJc w:val="left"/>
      <w:pPr>
        <w:ind w:left="4992" w:hanging="360"/>
      </w:pPr>
      <w:rPr>
        <w:rFonts w:ascii="Symbol" w:hAnsi="Symbol" w:hint="default"/>
      </w:rPr>
    </w:lvl>
    <w:lvl w:ilvl="7" w:tplc="FFFFFFFF" w:tentative="1">
      <w:start w:val="1"/>
      <w:numFmt w:val="bullet"/>
      <w:lvlText w:val="o"/>
      <w:lvlJc w:val="left"/>
      <w:pPr>
        <w:ind w:left="5712" w:hanging="360"/>
      </w:pPr>
      <w:rPr>
        <w:rFonts w:ascii="Courier New" w:hAnsi="Courier New" w:cs="Courier New" w:hint="default"/>
      </w:rPr>
    </w:lvl>
    <w:lvl w:ilvl="8" w:tplc="FFFFFFFF" w:tentative="1">
      <w:start w:val="1"/>
      <w:numFmt w:val="bullet"/>
      <w:lvlText w:val=""/>
      <w:lvlJc w:val="left"/>
      <w:pPr>
        <w:ind w:left="643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6230223">
    <w:abstractNumId w:val="21"/>
  </w:num>
  <w:num w:numId="2" w16cid:durableId="2053532089">
    <w:abstractNumId w:val="18"/>
  </w:num>
  <w:num w:numId="3" w16cid:durableId="1725255700">
    <w:abstractNumId w:val="0"/>
  </w:num>
  <w:num w:numId="4" w16cid:durableId="120271050">
    <w:abstractNumId w:val="8"/>
  </w:num>
  <w:num w:numId="5" w16cid:durableId="973948391">
    <w:abstractNumId w:val="19"/>
  </w:num>
  <w:num w:numId="6" w16cid:durableId="413209957">
    <w:abstractNumId w:val="3"/>
  </w:num>
  <w:num w:numId="7" w16cid:durableId="56170713">
    <w:abstractNumId w:val="15"/>
  </w:num>
  <w:num w:numId="8" w16cid:durableId="950818982">
    <w:abstractNumId w:val="12"/>
  </w:num>
  <w:num w:numId="9" w16cid:durableId="1200358630">
    <w:abstractNumId w:val="1"/>
  </w:num>
  <w:num w:numId="10" w16cid:durableId="700057308">
    <w:abstractNumId w:val="1"/>
  </w:num>
  <w:num w:numId="11" w16cid:durableId="2114474741">
    <w:abstractNumId w:val="4"/>
  </w:num>
  <w:num w:numId="12" w16cid:durableId="1212424698">
    <w:abstractNumId w:val="5"/>
  </w:num>
  <w:num w:numId="13" w16cid:durableId="332224552">
    <w:abstractNumId w:val="17"/>
  </w:num>
  <w:num w:numId="14" w16cid:durableId="326641121">
    <w:abstractNumId w:val="13"/>
  </w:num>
  <w:num w:numId="15" w16cid:durableId="575478770">
    <w:abstractNumId w:val="9"/>
  </w:num>
  <w:num w:numId="16" w16cid:durableId="1832064547">
    <w:abstractNumId w:val="16"/>
  </w:num>
  <w:num w:numId="17" w16cid:durableId="1547451790">
    <w:abstractNumId w:val="6"/>
  </w:num>
  <w:num w:numId="18" w16cid:durableId="457726757">
    <w:abstractNumId w:val="14"/>
  </w:num>
  <w:num w:numId="19" w16cid:durableId="2122912924">
    <w:abstractNumId w:val="20"/>
  </w:num>
  <w:num w:numId="20" w16cid:durableId="1923876597">
    <w:abstractNumId w:val="11"/>
  </w:num>
  <w:num w:numId="21" w16cid:durableId="677581866">
    <w:abstractNumId w:val="2"/>
  </w:num>
  <w:num w:numId="22" w16cid:durableId="1185830779">
    <w:abstractNumId w:val="7"/>
  </w:num>
  <w:num w:numId="23" w16cid:durableId="8681807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5A65"/>
    <w:rsid w:val="000800C2"/>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646"/>
    <w:rsid w:val="002F7818"/>
    <w:rsid w:val="003066D0"/>
    <w:rsid w:val="00311401"/>
    <w:rsid w:val="003203D7"/>
    <w:rsid w:val="00320F86"/>
    <w:rsid w:val="00324171"/>
    <w:rsid w:val="00324C4A"/>
    <w:rsid w:val="00326C24"/>
    <w:rsid w:val="00337F99"/>
    <w:rsid w:val="0034307B"/>
    <w:rsid w:val="00345EB1"/>
    <w:rsid w:val="00350CC4"/>
    <w:rsid w:val="00360E0D"/>
    <w:rsid w:val="0036357D"/>
    <w:rsid w:val="00363B23"/>
    <w:rsid w:val="00364774"/>
    <w:rsid w:val="0036594C"/>
    <w:rsid w:val="00367D19"/>
    <w:rsid w:val="00371BED"/>
    <w:rsid w:val="00373838"/>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6EC5"/>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0BA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102"/>
    <w:rsid w:val="00737215"/>
    <w:rsid w:val="00742D3A"/>
    <w:rsid w:val="00754905"/>
    <w:rsid w:val="00757445"/>
    <w:rsid w:val="00760038"/>
    <w:rsid w:val="00762EE0"/>
    <w:rsid w:val="00765C41"/>
    <w:rsid w:val="00771100"/>
    <w:rsid w:val="007759DD"/>
    <w:rsid w:val="00784AD3"/>
    <w:rsid w:val="0078609F"/>
    <w:rsid w:val="007917BA"/>
    <w:rsid w:val="007A5C6F"/>
    <w:rsid w:val="007A737D"/>
    <w:rsid w:val="007D4241"/>
    <w:rsid w:val="007D4317"/>
    <w:rsid w:val="007D4EA3"/>
    <w:rsid w:val="007E4800"/>
    <w:rsid w:val="007F1CFF"/>
    <w:rsid w:val="007F5DD5"/>
    <w:rsid w:val="00816A44"/>
    <w:rsid w:val="00821A1B"/>
    <w:rsid w:val="008262E9"/>
    <w:rsid w:val="00827E69"/>
    <w:rsid w:val="008337C8"/>
    <w:rsid w:val="00835C4D"/>
    <w:rsid w:val="00843F48"/>
    <w:rsid w:val="00851423"/>
    <w:rsid w:val="00857848"/>
    <w:rsid w:val="008654B6"/>
    <w:rsid w:val="0087139C"/>
    <w:rsid w:val="00880E83"/>
    <w:rsid w:val="00885088"/>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25C"/>
    <w:rsid w:val="00971D93"/>
    <w:rsid w:val="009B1F6B"/>
    <w:rsid w:val="009C0D12"/>
    <w:rsid w:val="009C192E"/>
    <w:rsid w:val="009D239D"/>
    <w:rsid w:val="009D6819"/>
    <w:rsid w:val="009D6D1C"/>
    <w:rsid w:val="009D7D73"/>
    <w:rsid w:val="009E0CF9"/>
    <w:rsid w:val="009E531B"/>
    <w:rsid w:val="009E6C56"/>
    <w:rsid w:val="009E7DCF"/>
    <w:rsid w:val="009F4A56"/>
    <w:rsid w:val="009F4E65"/>
    <w:rsid w:val="00A006A5"/>
    <w:rsid w:val="00A04433"/>
    <w:rsid w:val="00A05942"/>
    <w:rsid w:val="00A07BEC"/>
    <w:rsid w:val="00A264BE"/>
    <w:rsid w:val="00A272CA"/>
    <w:rsid w:val="00A32280"/>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ECF"/>
    <w:rsid w:val="00AB614B"/>
    <w:rsid w:val="00AC3FF6"/>
    <w:rsid w:val="00AD73EC"/>
    <w:rsid w:val="00AE5BC7"/>
    <w:rsid w:val="00AF5AAF"/>
    <w:rsid w:val="00B046D8"/>
    <w:rsid w:val="00B13F4C"/>
    <w:rsid w:val="00B16219"/>
    <w:rsid w:val="00B16C59"/>
    <w:rsid w:val="00B33FDD"/>
    <w:rsid w:val="00B359CC"/>
    <w:rsid w:val="00B36107"/>
    <w:rsid w:val="00B41789"/>
    <w:rsid w:val="00B43DA4"/>
    <w:rsid w:val="00B46C03"/>
    <w:rsid w:val="00B60C6C"/>
    <w:rsid w:val="00B619A9"/>
    <w:rsid w:val="00B65A9D"/>
    <w:rsid w:val="00B66D60"/>
    <w:rsid w:val="00B75EDE"/>
    <w:rsid w:val="00B77D88"/>
    <w:rsid w:val="00B77FAF"/>
    <w:rsid w:val="00B84336"/>
    <w:rsid w:val="00B851B9"/>
    <w:rsid w:val="00B86453"/>
    <w:rsid w:val="00B87402"/>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4D77"/>
    <w:rsid w:val="00E52A86"/>
    <w:rsid w:val="00E54B47"/>
    <w:rsid w:val="00E553BF"/>
    <w:rsid w:val="00E55D93"/>
    <w:rsid w:val="00E61294"/>
    <w:rsid w:val="00E7237C"/>
    <w:rsid w:val="00E77C46"/>
    <w:rsid w:val="00E86CE8"/>
    <w:rsid w:val="00E90E82"/>
    <w:rsid w:val="00E921AC"/>
    <w:rsid w:val="00EA00CB"/>
    <w:rsid w:val="00EA1BAA"/>
    <w:rsid w:val="00EA3FCD"/>
    <w:rsid w:val="00EA42A0"/>
    <w:rsid w:val="00EB4B92"/>
    <w:rsid w:val="00EB6714"/>
    <w:rsid w:val="00EC0A68"/>
    <w:rsid w:val="00EC5006"/>
    <w:rsid w:val="00EC6F36"/>
    <w:rsid w:val="00ED49C3"/>
    <w:rsid w:val="00ED6CE8"/>
    <w:rsid w:val="00ED7AA6"/>
    <w:rsid w:val="00EE2A56"/>
    <w:rsid w:val="00EE3818"/>
    <w:rsid w:val="00F22264"/>
    <w:rsid w:val="00F2564D"/>
    <w:rsid w:val="00F35B05"/>
    <w:rsid w:val="00F413D9"/>
    <w:rsid w:val="00F5135F"/>
    <w:rsid w:val="00F51F78"/>
    <w:rsid w:val="00F52BE0"/>
    <w:rsid w:val="00F7390C"/>
    <w:rsid w:val="00F86F47"/>
    <w:rsid w:val="00F90B64"/>
    <w:rsid w:val="00FB2F0F"/>
    <w:rsid w:val="00FB5086"/>
    <w:rsid w:val="00FB5411"/>
    <w:rsid w:val="00FB6392"/>
    <w:rsid w:val="00FD3C70"/>
    <w:rsid w:val="00FD6820"/>
    <w:rsid w:val="00FE12D8"/>
    <w:rsid w:val="00FF7C02"/>
    <w:rsid w:val="024801E3"/>
    <w:rsid w:val="06E01A4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43D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91-662869119-192/surrogate/Rhesusimmunisering%20-%20profylax.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58</TotalTime>
  <Pages>7</Pages>
  <Words>1111</Words>
  <Characters>5889</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Immuniseringsfall</vt:lpstr>
    </vt:vector>
  </TitlesOfParts>
  <Manager/>
  <Company/>
  <LinksUpToDate>false</LinksUpToDate>
  <CharactersWithSpaces>6987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Immuniseringsfall</dc:title>
  <dc:subject/>
  <dc:creator>patrik.jens.johansson@vgregion.se</dc:creator>
  <keywords/>
  <lastModifiedBy>Ewelyn Persson</lastModifiedBy>
  <revision>28</revision>
  <lastPrinted>2016-03-31T10:56:00.0000000Z</lastPrinted>
  <dcterms:created xsi:type="dcterms:W3CDTF">2022-05-13T03:45:00.0000000Z</dcterms:created>
  <dcterms:modified xsi:type="dcterms:W3CDTF">2025-12-16T13:13:00.0000000Z</dcterms:modified>
</coreProperties>
</file>