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BA50CF" w14:textId="77777777" w:rsidR="00232E0E" w:rsidRDefault="00232E0E" w:rsidP="00D80739">
      <w:pPr>
        <w:pStyle w:val="Normalefterlista"/>
        <w:spacing w:line="240" w:lineRule="auto"/>
        <w:rPr>
          <w:rFonts w:ascii="Verdana" w:hAnsi="Verdana"/>
          <w:b/>
          <w:bCs/>
          <w:sz w:val="44"/>
          <w:szCs w:val="44"/>
        </w:rPr>
      </w:pPr>
      <w:bookmarkStart w:id="0" w:name="_Toc321146591"/>
    </w:p>
    <w:p w14:paraId="0DABBCB1" w14:textId="54F1257F" w:rsidR="00E4110E" w:rsidRPr="000706A2" w:rsidRDefault="00E4110E" w:rsidP="00D80739">
      <w:pPr>
        <w:pStyle w:val="Normalefterlista"/>
        <w:spacing w:line="240" w:lineRule="auto"/>
        <w:rPr>
          <w:rFonts w:ascii="Verdana" w:hAnsi="Verdana"/>
          <w:sz w:val="44"/>
          <w:szCs w:val="44"/>
        </w:rPr>
      </w:pPr>
      <w:r w:rsidRPr="000706A2">
        <w:rPr>
          <w:rFonts w:ascii="Verdana" w:hAnsi="Verdana"/>
          <w:sz w:val="44"/>
          <w:szCs w:val="44"/>
        </w:rPr>
        <w:t>Administrering av intravenöst järn till gravid i andra och tredje trimestern</w:t>
      </w:r>
    </w:p>
    <w:sdt>
      <w:sdtPr>
        <w:rPr>
          <w:rFonts w:ascii="Georgia" w:eastAsia="Times New Roman" w:hAnsi="Georgia" w:cs="Times New Roman"/>
          <w:color w:val="auto"/>
          <w:sz w:val="24"/>
          <w:szCs w:val="24"/>
        </w:rPr>
        <w:id w:val="754165323"/>
        <w:docPartObj>
          <w:docPartGallery w:val="Table of Contents"/>
          <w:docPartUnique/>
        </w:docPartObj>
      </w:sdtPr>
      <w:sdtEndPr>
        <w:rPr>
          <w:b/>
          <w:bCs/>
        </w:rPr>
      </w:sdtEndPr>
      <w:sdtContent>
        <w:p w14:paraId="664D2DB1" w14:textId="41773D5B" w:rsidR="00E21184" w:rsidRDefault="00E21184">
          <w:pPr>
            <w:pStyle w:val="Innehllsfrteckningsrubrik"/>
          </w:pPr>
          <w:r>
            <w:t>Innehåll</w:t>
          </w:r>
        </w:p>
        <w:p w14:paraId="63B03BCE" w14:textId="7FF0D3D4" w:rsidR="00EE4DF8" w:rsidRPr="00EE4DF8" w:rsidRDefault="00E21184" w:rsidP="004F2CA9">
          <w:pPr>
            <w:pStyle w:val="Innehll2"/>
            <w:spacing w:line="276" w:lineRule="auto"/>
            <w:rPr>
              <w:rFonts w:ascii="Calibri" w:eastAsiaTheme="minorEastAsia" w:hAnsi="Calibri" w:cs="Calibri"/>
              <w:noProof/>
              <w:kern w:val="2"/>
              <w14:ligatures w14:val="standardContextual"/>
            </w:rPr>
          </w:pPr>
          <w:r w:rsidRPr="00EE4DF8">
            <w:rPr>
              <w:rFonts w:ascii="Calibri" w:hAnsi="Calibri" w:cs="Calibri"/>
            </w:rPr>
            <w:fldChar w:fldCharType="begin"/>
          </w:r>
          <w:r w:rsidRPr="00EE4DF8">
            <w:rPr>
              <w:rFonts w:ascii="Calibri" w:hAnsi="Calibri" w:cs="Calibri"/>
            </w:rPr>
            <w:instrText xml:space="preserve"> TOC \o "1-3" \h \z \u </w:instrText>
          </w:r>
          <w:r w:rsidRPr="00EE4DF8">
            <w:rPr>
              <w:rFonts w:ascii="Calibri" w:hAnsi="Calibri" w:cs="Calibri"/>
            </w:rPr>
            <w:fldChar w:fldCharType="separate"/>
          </w:r>
          <w:hyperlink w:anchor="_Toc216258997" w:history="1">
            <w:r w:rsidR="00EE4DF8" w:rsidRPr="00EE4DF8">
              <w:rPr>
                <w:rStyle w:val="Hyperlnk"/>
                <w:rFonts w:ascii="Calibri" w:eastAsia="MS Gothic" w:hAnsi="Calibri" w:cs="Calibri"/>
                <w:noProof/>
              </w:rPr>
              <w:t>Förändringar sedan föregående version</w:t>
            </w:r>
            <w:r w:rsidR="00EE4DF8" w:rsidRPr="00EE4DF8">
              <w:rPr>
                <w:rFonts w:ascii="Calibri" w:hAnsi="Calibri" w:cs="Calibri"/>
                <w:noProof/>
                <w:webHidden/>
              </w:rPr>
              <w:tab/>
            </w:r>
            <w:r w:rsidR="00EE4DF8" w:rsidRPr="00EE4DF8">
              <w:rPr>
                <w:rFonts w:ascii="Calibri" w:hAnsi="Calibri" w:cs="Calibri"/>
                <w:noProof/>
                <w:webHidden/>
              </w:rPr>
              <w:fldChar w:fldCharType="begin"/>
            </w:r>
            <w:r w:rsidR="00EE4DF8" w:rsidRPr="00EE4DF8">
              <w:rPr>
                <w:rFonts w:ascii="Calibri" w:hAnsi="Calibri" w:cs="Calibri"/>
                <w:noProof/>
                <w:webHidden/>
              </w:rPr>
              <w:instrText xml:space="preserve"> PAGEREF _Toc216258997 \h </w:instrText>
            </w:r>
            <w:r w:rsidR="00EE4DF8" w:rsidRPr="00EE4DF8">
              <w:rPr>
                <w:rFonts w:ascii="Calibri" w:hAnsi="Calibri" w:cs="Calibri"/>
                <w:noProof/>
                <w:webHidden/>
              </w:rPr>
            </w:r>
            <w:r w:rsidR="00EE4DF8" w:rsidRPr="00EE4DF8">
              <w:rPr>
                <w:rFonts w:ascii="Calibri" w:hAnsi="Calibri" w:cs="Calibri"/>
                <w:noProof/>
                <w:webHidden/>
              </w:rPr>
              <w:fldChar w:fldCharType="separate"/>
            </w:r>
            <w:r w:rsidR="00EE4DF8" w:rsidRPr="00EE4DF8">
              <w:rPr>
                <w:rFonts w:ascii="Calibri" w:hAnsi="Calibri" w:cs="Calibri"/>
                <w:noProof/>
                <w:webHidden/>
              </w:rPr>
              <w:t>2</w:t>
            </w:r>
            <w:r w:rsidR="00EE4DF8" w:rsidRPr="00EE4DF8">
              <w:rPr>
                <w:rFonts w:ascii="Calibri" w:hAnsi="Calibri" w:cs="Calibri"/>
                <w:noProof/>
                <w:webHidden/>
              </w:rPr>
              <w:fldChar w:fldCharType="end"/>
            </w:r>
          </w:hyperlink>
        </w:p>
        <w:p w14:paraId="7AF349B0" w14:textId="315ED1AE"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8998" w:history="1">
            <w:r w:rsidRPr="00EE4DF8">
              <w:rPr>
                <w:rStyle w:val="Hyperlnk"/>
                <w:rFonts w:ascii="Calibri" w:eastAsia="MS Gothic" w:hAnsi="Calibri" w:cs="Calibri"/>
                <w:noProof/>
              </w:rPr>
              <w:t>Bakgrund och syfte</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_Toc216258998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2</w:t>
            </w:r>
            <w:r w:rsidRPr="00EE4DF8">
              <w:rPr>
                <w:rFonts w:ascii="Calibri" w:hAnsi="Calibri" w:cs="Calibri"/>
                <w:noProof/>
                <w:webHidden/>
              </w:rPr>
              <w:fldChar w:fldCharType="end"/>
            </w:r>
          </w:hyperlink>
        </w:p>
        <w:p w14:paraId="625EEECE" w14:textId="4987ADE4"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8999" w:history="1">
            <w:r w:rsidRPr="00EE4DF8">
              <w:rPr>
                <w:rStyle w:val="Hyperlnk"/>
                <w:rFonts w:ascii="Calibri" w:eastAsia="MS Gothic" w:hAnsi="Calibri" w:cs="Calibri"/>
                <w:noProof/>
              </w:rPr>
              <w:t>Utförande</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_Toc216258999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2</w:t>
            </w:r>
            <w:r w:rsidRPr="00EE4DF8">
              <w:rPr>
                <w:rFonts w:ascii="Calibri" w:hAnsi="Calibri" w:cs="Calibri"/>
                <w:noProof/>
                <w:webHidden/>
              </w:rPr>
              <w:fldChar w:fldCharType="end"/>
            </w:r>
          </w:hyperlink>
        </w:p>
        <w:p w14:paraId="6EFC3710" w14:textId="56858F09"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9000" w:history="1">
            <w:r w:rsidRPr="00EE4DF8">
              <w:rPr>
                <w:rStyle w:val="Hyperlnk"/>
                <w:rFonts w:ascii="Calibri" w:eastAsia="MS Gothic" w:hAnsi="Calibri" w:cs="Calibri"/>
                <w:noProof/>
              </w:rPr>
              <w:t>Arbetsrutin Intravenöst järn på Mottagning för gravida och nyförlösta</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_Toc216259000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3</w:t>
            </w:r>
            <w:r w:rsidRPr="00EE4DF8">
              <w:rPr>
                <w:rFonts w:ascii="Calibri" w:hAnsi="Calibri" w:cs="Calibri"/>
                <w:noProof/>
                <w:webHidden/>
              </w:rPr>
              <w:fldChar w:fldCharType="end"/>
            </w:r>
          </w:hyperlink>
        </w:p>
        <w:p w14:paraId="5CD96609" w14:textId="67ED993B"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9001" w:history="1">
            <w:r w:rsidRPr="00EE4DF8">
              <w:rPr>
                <w:rStyle w:val="Hyperlnk"/>
                <w:rFonts w:ascii="Calibri" w:eastAsia="MS Gothic" w:hAnsi="Calibri" w:cs="Calibri"/>
                <w:noProof/>
              </w:rPr>
              <w:t>Dosering</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_Toc216259001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3</w:t>
            </w:r>
            <w:r w:rsidRPr="00EE4DF8">
              <w:rPr>
                <w:rFonts w:ascii="Calibri" w:hAnsi="Calibri" w:cs="Calibri"/>
                <w:noProof/>
                <w:webHidden/>
              </w:rPr>
              <w:fldChar w:fldCharType="end"/>
            </w:r>
          </w:hyperlink>
        </w:p>
        <w:p w14:paraId="1B2C3F9D" w14:textId="225258AC"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9002" w:history="1">
            <w:r w:rsidRPr="00EE4DF8">
              <w:rPr>
                <w:rStyle w:val="Hyperlnk"/>
                <w:rFonts w:ascii="Calibri" w:eastAsia="MS Gothic" w:hAnsi="Calibri" w:cs="Calibri"/>
                <w:noProof/>
              </w:rPr>
              <w:t>Administrering av läkemedel</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_Toc216259002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4</w:t>
            </w:r>
            <w:r w:rsidRPr="00EE4DF8">
              <w:rPr>
                <w:rFonts w:ascii="Calibri" w:hAnsi="Calibri" w:cs="Calibri"/>
                <w:noProof/>
                <w:webHidden/>
              </w:rPr>
              <w:fldChar w:fldCharType="end"/>
            </w:r>
          </w:hyperlink>
        </w:p>
        <w:p w14:paraId="0B91236F" w14:textId="386F741F"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9003" w:history="1">
            <w:r w:rsidRPr="00EE4DF8">
              <w:rPr>
                <w:rStyle w:val="Hyperlnk"/>
                <w:rFonts w:ascii="Calibri" w:eastAsia="MS Gothic" w:hAnsi="Calibri" w:cs="Calibri"/>
                <w:noProof/>
              </w:rPr>
              <w:t>Övervakning</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_Toc216259003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4</w:t>
            </w:r>
            <w:r w:rsidRPr="00EE4DF8">
              <w:rPr>
                <w:rFonts w:ascii="Calibri" w:hAnsi="Calibri" w:cs="Calibri"/>
                <w:noProof/>
                <w:webHidden/>
              </w:rPr>
              <w:fldChar w:fldCharType="end"/>
            </w:r>
          </w:hyperlink>
        </w:p>
        <w:p w14:paraId="5A09120B" w14:textId="756CF4B4" w:rsidR="00EE4DF8" w:rsidRPr="00EE4DF8" w:rsidRDefault="00EE4DF8" w:rsidP="004F2CA9">
          <w:pPr>
            <w:pStyle w:val="Innehll2"/>
            <w:spacing w:line="276" w:lineRule="auto"/>
            <w:rPr>
              <w:rFonts w:ascii="Calibri" w:eastAsiaTheme="minorEastAsia" w:hAnsi="Calibri" w:cs="Calibri"/>
              <w:noProof/>
              <w:kern w:val="2"/>
              <w14:ligatures w14:val="standardContextual"/>
            </w:rPr>
          </w:pPr>
          <w:hyperlink w:anchor="_Toc216259004" w:history="1">
            <w:r w:rsidRPr="00EE4DF8">
              <w:rPr>
                <w:rStyle w:val="Hyperlnk"/>
                <w:rFonts w:ascii="Calibri" w:eastAsia="MS Gothic" w:hAnsi="Calibri" w:cs="Calibri"/>
                <w:noProof/>
              </w:rPr>
              <w:t>Hantering av överkänslighetsreaktioner</w:t>
            </w:r>
            <w:r w:rsidRPr="00EE4DF8">
              <w:rPr>
                <w:rFonts w:ascii="Calibri" w:hAnsi="Calibri" w:cs="Calibri"/>
                <w:noProof/>
                <w:webHidden/>
              </w:rPr>
              <w:tab/>
            </w:r>
            <w:r w:rsidRPr="00EE4DF8">
              <w:rPr>
                <w:rFonts w:ascii="Calibri" w:hAnsi="Calibri" w:cs="Calibri"/>
                <w:noProof/>
                <w:webHidden/>
              </w:rPr>
              <w:fldChar w:fldCharType="begin"/>
            </w:r>
            <w:r w:rsidRPr="00EE4DF8">
              <w:rPr>
                <w:rFonts w:ascii="Calibri" w:hAnsi="Calibri" w:cs="Calibri"/>
                <w:noProof/>
                <w:webHidden/>
              </w:rPr>
              <w:instrText xml:space="preserve"> PAGEREF _Toc216259004 \h </w:instrText>
            </w:r>
            <w:r w:rsidRPr="00EE4DF8">
              <w:rPr>
                <w:rFonts w:ascii="Calibri" w:hAnsi="Calibri" w:cs="Calibri"/>
                <w:noProof/>
                <w:webHidden/>
              </w:rPr>
            </w:r>
            <w:r w:rsidRPr="00EE4DF8">
              <w:rPr>
                <w:rFonts w:ascii="Calibri" w:hAnsi="Calibri" w:cs="Calibri"/>
                <w:noProof/>
                <w:webHidden/>
              </w:rPr>
              <w:fldChar w:fldCharType="separate"/>
            </w:r>
            <w:r w:rsidRPr="00EE4DF8">
              <w:rPr>
                <w:rFonts w:ascii="Calibri" w:hAnsi="Calibri" w:cs="Calibri"/>
                <w:noProof/>
                <w:webHidden/>
              </w:rPr>
              <w:t>5</w:t>
            </w:r>
            <w:r w:rsidRPr="00EE4DF8">
              <w:rPr>
                <w:rFonts w:ascii="Calibri" w:hAnsi="Calibri" w:cs="Calibri"/>
                <w:noProof/>
                <w:webHidden/>
              </w:rPr>
              <w:fldChar w:fldCharType="end"/>
            </w:r>
          </w:hyperlink>
        </w:p>
        <w:p w14:paraId="39DED9CF" w14:textId="29061D18" w:rsidR="00E21184" w:rsidRDefault="00E21184">
          <w:r w:rsidRPr="00EE4DF8">
            <w:rPr>
              <w:rFonts w:ascii="Calibri" w:hAnsi="Calibri" w:cs="Calibri"/>
              <w:b/>
              <w:bCs/>
            </w:rPr>
            <w:fldChar w:fldCharType="end"/>
          </w:r>
        </w:p>
      </w:sdtContent>
    </w:sdt>
    <w:p w14:paraId="0F46E734" w14:textId="77777777" w:rsidR="00E21184" w:rsidRPr="00E21184" w:rsidRDefault="00E21184" w:rsidP="00E21184"/>
    <w:p w14:paraId="579DA051" w14:textId="77777777" w:rsidR="002656D2" w:rsidRDefault="002656D2" w:rsidP="002656D2"/>
    <w:p w14:paraId="3E1E129B" w14:textId="77777777" w:rsidR="008F5F30" w:rsidRDefault="008F5F30" w:rsidP="009A32ED">
      <w:pPr>
        <w:pStyle w:val="Rubrik2"/>
        <w:ind w:right="-143"/>
      </w:pPr>
      <w:bookmarkStart w:id="1" w:name="_Toc100327184"/>
      <w:bookmarkStart w:id="2" w:name="_Toc181866756"/>
      <w:bookmarkEnd w:id="0"/>
    </w:p>
    <w:p w14:paraId="14B11C3A" w14:textId="77777777" w:rsidR="008F5F30" w:rsidRDefault="008F5F30" w:rsidP="009A32ED">
      <w:pPr>
        <w:pStyle w:val="Rubrik2"/>
        <w:ind w:right="-143"/>
      </w:pPr>
    </w:p>
    <w:p w14:paraId="38EE12D0" w14:textId="77777777" w:rsidR="004F2CA9" w:rsidRPr="004F2CA9" w:rsidRDefault="004F2CA9" w:rsidP="004F2CA9"/>
    <w:p w14:paraId="71B3E2FB" w14:textId="77777777" w:rsidR="008F5F30" w:rsidRPr="008F5F30" w:rsidRDefault="008F5F30" w:rsidP="008F5F30"/>
    <w:p w14:paraId="11BC1DCA" w14:textId="487C1AB4" w:rsidR="009A32ED" w:rsidRDefault="009A32ED" w:rsidP="009A32ED">
      <w:pPr>
        <w:pStyle w:val="Rubrik2"/>
        <w:ind w:right="-143"/>
      </w:pPr>
      <w:bookmarkStart w:id="3" w:name="_Toc216258997"/>
      <w:r>
        <w:lastRenderedPageBreak/>
        <w:t>Förändringar sedan föregående version</w:t>
      </w:r>
      <w:bookmarkEnd w:id="1"/>
      <w:bookmarkEnd w:id="2"/>
      <w:bookmarkEnd w:id="3"/>
    </w:p>
    <w:p w14:paraId="4EA6C4B6" w14:textId="3B314F2E" w:rsidR="009A32ED" w:rsidRPr="009E3D1F" w:rsidRDefault="009E3D1F" w:rsidP="009E3D1F">
      <w:pPr>
        <w:spacing w:line="276" w:lineRule="auto"/>
        <w:ind w:right="-143"/>
        <w:rPr>
          <w:rFonts w:ascii="Calibri" w:hAnsi="Calibri" w:cs="Calibri"/>
        </w:rPr>
      </w:pPr>
      <w:r w:rsidRPr="009E3D1F">
        <w:rPr>
          <w:rFonts w:ascii="Calibri" w:hAnsi="Calibri" w:cs="Calibri"/>
        </w:rPr>
        <w:t>Nytt styrdokument som ersätter styrdokumentet ”Järn – intravenös behandling”.</w:t>
      </w:r>
    </w:p>
    <w:p w14:paraId="29B03EF5" w14:textId="77777777" w:rsidR="009A32ED" w:rsidRDefault="009A32ED" w:rsidP="009A32ED">
      <w:pPr>
        <w:pStyle w:val="Rubrik2"/>
        <w:ind w:right="-143"/>
      </w:pPr>
      <w:bookmarkStart w:id="4" w:name="_Toc100327186"/>
      <w:bookmarkStart w:id="5" w:name="_Toc181866759"/>
      <w:bookmarkStart w:id="6" w:name="_Toc216258998"/>
      <w:r>
        <w:t>Bakgrund och syfte</w:t>
      </w:r>
      <w:bookmarkEnd w:id="4"/>
      <w:bookmarkEnd w:id="5"/>
      <w:bookmarkEnd w:id="6"/>
      <w:r>
        <w:t xml:space="preserve"> </w:t>
      </w:r>
    </w:p>
    <w:p w14:paraId="4D9B467D" w14:textId="48DA7CF3" w:rsidR="009E0CF8" w:rsidRDefault="009E0CF8" w:rsidP="009E0CF8">
      <w:pPr>
        <w:spacing w:line="276" w:lineRule="auto"/>
        <w:ind w:right="424"/>
        <w:rPr>
          <w:rStyle w:val="Rubrik2Char"/>
        </w:rPr>
      </w:pPr>
      <w:bookmarkStart w:id="7" w:name="_Toc100327187"/>
      <w:bookmarkStart w:id="8" w:name="_Toc181866760"/>
      <w:r w:rsidRPr="00031031">
        <w:rPr>
          <w:rFonts w:ascii="Calibri" w:eastAsia="Georgia" w:hAnsi="Calibri" w:cs="Calibri"/>
        </w:rPr>
        <w:t>Intravenös järnbehandling är en effektiv metod vid järnbristanemi, men medför även risk för biverkningar såsom allergiska reaktioner och så kallad Fishbane-reaktion. Behandlingen kräver mer resurser jämfört med peroral järnterapi, vilket gör att patienturvalet måste ske med noggrann selektion. För gravida krävs särskild hänsyn till både den gravida och fostret. Därför ges intravenöst järn till gravida enbart i sjukhusmiljö.</w:t>
      </w:r>
    </w:p>
    <w:p w14:paraId="70B2A54A" w14:textId="4C9FAD6A" w:rsidR="009A32ED" w:rsidRDefault="009E0CF8" w:rsidP="009A32ED">
      <w:pPr>
        <w:pStyle w:val="Rubrik2"/>
        <w:ind w:right="-143"/>
      </w:pPr>
      <w:bookmarkStart w:id="9" w:name="_Toc216258999"/>
      <w:bookmarkEnd w:id="7"/>
      <w:bookmarkEnd w:id="8"/>
      <w:r>
        <w:t>Utförande</w:t>
      </w:r>
      <w:bookmarkEnd w:id="9"/>
    </w:p>
    <w:p w14:paraId="749176B1" w14:textId="77777777" w:rsidR="00C95293" w:rsidRDefault="00C95293" w:rsidP="00C95293">
      <w:pPr>
        <w:pStyle w:val="MellanrubrikVGR"/>
        <w:spacing w:before="0"/>
      </w:pPr>
      <w:bookmarkStart w:id="10" w:name="_Toc100327188"/>
      <w:r>
        <w:t xml:space="preserve">Indikation för intravenöst järn efter graviditetsvecka 20+0 och före graviditetsvecka 37+0 </w:t>
      </w:r>
    </w:p>
    <w:p w14:paraId="0B834D81"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 xml:space="preserve">Hb ≤ 95 </w:t>
      </w:r>
    </w:p>
    <w:p w14:paraId="4741023D"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 xml:space="preserve">Mikrocytär anemi </w:t>
      </w:r>
    </w:p>
    <w:p w14:paraId="23FFB6BA"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 xml:space="preserve">Ferritin lågt ≤ 15 </w:t>
      </w:r>
    </w:p>
    <w:p w14:paraId="2411CBDF"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Järnbrist är den mest sannolika orsaken till anemin</w:t>
      </w:r>
    </w:p>
    <w:p w14:paraId="59C6FCBB" w14:textId="6DC82866"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Möjligheterna till per oral järnbehandling är uttömda, d</w:t>
      </w:r>
      <w:r w:rsidR="009E5923">
        <w:rPr>
          <w:rFonts w:ascii="Calibri" w:eastAsia="Georgia" w:hAnsi="Calibri" w:cs="Calibri"/>
        </w:rPr>
        <w:t>et vill säga</w:t>
      </w:r>
      <w:r w:rsidRPr="00D33C1B">
        <w:rPr>
          <w:rFonts w:ascii="Calibri" w:eastAsia="Georgia" w:hAnsi="Calibri" w:cs="Calibri"/>
        </w:rPr>
        <w:t xml:space="preserve"> patienten har prövat flera olika sorter med god compliance. </w:t>
      </w:r>
    </w:p>
    <w:p w14:paraId="41DA8027"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 xml:space="preserve">Anemisymtom såsom trötthet, hjärtklappning och andfåddhet </w:t>
      </w:r>
    </w:p>
    <w:p w14:paraId="7673396C" w14:textId="7586EC5A"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Tiden till förväntad förlossning bör vara tillräckligt lång för att patienten ska kunna tillgodogöra sig intravenöst järn. För full effekt krävs c</w:t>
      </w:r>
      <w:r w:rsidR="009E5923">
        <w:rPr>
          <w:rFonts w:ascii="Calibri" w:eastAsia="Georgia" w:hAnsi="Calibri" w:cs="Calibri"/>
        </w:rPr>
        <w:t>irk</w:t>
      </w:r>
      <w:r w:rsidRPr="00D33C1B">
        <w:rPr>
          <w:rFonts w:ascii="Calibri" w:eastAsia="Georgia" w:hAnsi="Calibri" w:cs="Calibri"/>
        </w:rPr>
        <w:t>a 4 v</w:t>
      </w:r>
      <w:r w:rsidR="00751248">
        <w:rPr>
          <w:rFonts w:ascii="Calibri" w:eastAsia="Georgia" w:hAnsi="Calibri" w:cs="Calibri"/>
        </w:rPr>
        <w:t>eckor</w:t>
      </w:r>
      <w:r w:rsidRPr="00D33C1B">
        <w:rPr>
          <w:rFonts w:ascii="Calibri" w:eastAsia="Georgia" w:hAnsi="Calibri" w:cs="Calibri"/>
        </w:rPr>
        <w:t xml:space="preserve">. Behandling ges inte utan särskilt övervägande efter </w:t>
      </w:r>
      <w:r w:rsidR="00751248">
        <w:rPr>
          <w:rFonts w:ascii="Calibri" w:eastAsia="Georgia" w:hAnsi="Calibri" w:cs="Calibri"/>
        </w:rPr>
        <w:t>graviditets</w:t>
      </w:r>
      <w:r w:rsidRPr="00D33C1B">
        <w:rPr>
          <w:rFonts w:ascii="Calibri" w:eastAsia="Georgia" w:hAnsi="Calibri" w:cs="Calibri"/>
        </w:rPr>
        <w:t>v</w:t>
      </w:r>
      <w:r w:rsidR="00751248">
        <w:rPr>
          <w:rFonts w:ascii="Calibri" w:eastAsia="Georgia" w:hAnsi="Calibri" w:cs="Calibri"/>
        </w:rPr>
        <w:t>ecka</w:t>
      </w:r>
      <w:r w:rsidRPr="00D33C1B">
        <w:rPr>
          <w:rFonts w:ascii="Calibri" w:eastAsia="Georgia" w:hAnsi="Calibri" w:cs="Calibri"/>
        </w:rPr>
        <w:t xml:space="preserve"> 37+0 eftersom risken för att patienten kommer i värkarbete innan behandlingen haft effekt då är stor. I fall där </w:t>
      </w:r>
      <w:r w:rsidR="00150BF7">
        <w:rPr>
          <w:rFonts w:ascii="Calibri" w:eastAsia="Georgia" w:hAnsi="Calibri" w:cs="Calibri"/>
        </w:rPr>
        <w:t>det</w:t>
      </w:r>
      <w:r w:rsidRPr="00D33C1B">
        <w:rPr>
          <w:rFonts w:ascii="Calibri" w:eastAsia="Georgia" w:hAnsi="Calibri" w:cs="Calibri"/>
        </w:rPr>
        <w:t xml:space="preserve"> förvänta</w:t>
      </w:r>
      <w:r w:rsidR="00150BF7">
        <w:rPr>
          <w:rFonts w:ascii="Calibri" w:eastAsia="Georgia" w:hAnsi="Calibri" w:cs="Calibri"/>
        </w:rPr>
        <w:t>s</w:t>
      </w:r>
      <w:r w:rsidRPr="00D33C1B">
        <w:rPr>
          <w:rFonts w:ascii="Calibri" w:eastAsia="Georgia" w:hAnsi="Calibri" w:cs="Calibri"/>
        </w:rPr>
        <w:t xml:space="preserve"> att svårighet att ta per oralt järn kvarstår postpartum kan intravenöst järn ges på BB om inte blodtransfusion givits. </w:t>
      </w:r>
    </w:p>
    <w:p w14:paraId="3D6EDB98"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 xml:space="preserve">Patienten har fått information om risken för biverkningar i samband med intravenöst järn </w:t>
      </w:r>
    </w:p>
    <w:p w14:paraId="60EB3DB1" w14:textId="77777777" w:rsidR="00C95293" w:rsidRPr="00D33C1B" w:rsidRDefault="00C95293" w:rsidP="00570F26">
      <w:pPr>
        <w:pStyle w:val="Liststycke"/>
        <w:numPr>
          <w:ilvl w:val="0"/>
          <w:numId w:val="23"/>
        </w:numPr>
        <w:spacing w:line="276" w:lineRule="auto"/>
        <w:rPr>
          <w:rFonts w:ascii="Calibri" w:hAnsi="Calibri" w:cs="Calibri"/>
        </w:rPr>
      </w:pPr>
      <w:r w:rsidRPr="00D33C1B">
        <w:rPr>
          <w:rFonts w:ascii="Calibri" w:eastAsia="Georgia" w:hAnsi="Calibri" w:cs="Calibri"/>
        </w:rPr>
        <w:t>Patienten samtycker till att få intravenöst järn</w:t>
      </w:r>
      <w:r w:rsidRPr="00D33C1B">
        <w:rPr>
          <w:rFonts w:ascii="Calibri" w:hAnsi="Calibri" w:cs="Calibri"/>
        </w:rPr>
        <w:t>.</w:t>
      </w:r>
    </w:p>
    <w:p w14:paraId="3BAAA996" w14:textId="77777777" w:rsidR="00C95293" w:rsidRDefault="00C95293" w:rsidP="00C95293">
      <w:pPr>
        <w:pStyle w:val="MellanrubrikVGR"/>
        <w:ind w:right="424"/>
      </w:pPr>
      <w:r>
        <w:t xml:space="preserve">På remiss till MGN </w:t>
      </w:r>
    </w:p>
    <w:p w14:paraId="1D38A3C1" w14:textId="77777777" w:rsidR="00C95293" w:rsidRPr="00031031" w:rsidRDefault="00C95293" w:rsidP="00D33C1B">
      <w:pPr>
        <w:spacing w:line="276" w:lineRule="auto"/>
        <w:ind w:right="424"/>
        <w:rPr>
          <w:rFonts w:ascii="Calibri" w:hAnsi="Calibri" w:cs="Calibri"/>
        </w:rPr>
      </w:pPr>
      <w:r w:rsidRPr="00031031">
        <w:rPr>
          <w:rFonts w:ascii="Calibri" w:eastAsia="Georgia" w:hAnsi="Calibri" w:cs="Calibri"/>
        </w:rPr>
        <w:t xml:space="preserve">Barnmorska skriver remiss till KK (MGN). </w:t>
      </w:r>
    </w:p>
    <w:p w14:paraId="20EEE8CC" w14:textId="77777777" w:rsidR="00C95293" w:rsidRPr="00031031" w:rsidRDefault="00C95293" w:rsidP="00D33C1B">
      <w:pPr>
        <w:spacing w:after="0" w:line="276" w:lineRule="auto"/>
        <w:ind w:right="424"/>
        <w:rPr>
          <w:rFonts w:ascii="Calibri" w:hAnsi="Calibri" w:cs="Calibri"/>
        </w:rPr>
      </w:pPr>
      <w:r w:rsidRPr="00031031">
        <w:rPr>
          <w:rFonts w:ascii="Calibri" w:eastAsia="Georgia" w:hAnsi="Calibri" w:cs="Calibri"/>
        </w:rPr>
        <w:t xml:space="preserve">Information på remissen: </w:t>
      </w:r>
    </w:p>
    <w:p w14:paraId="0865B11B" w14:textId="77777777" w:rsidR="00C95293" w:rsidRPr="00031031" w:rsidRDefault="00C95293" w:rsidP="00C95293">
      <w:pPr>
        <w:pStyle w:val="Liststycke"/>
        <w:numPr>
          <w:ilvl w:val="0"/>
          <w:numId w:val="21"/>
        </w:numPr>
        <w:spacing w:line="276" w:lineRule="auto"/>
        <w:ind w:left="1287" w:right="424"/>
        <w:rPr>
          <w:rFonts w:ascii="Calibri" w:eastAsia="Georgia" w:hAnsi="Calibri" w:cs="Calibri"/>
        </w:rPr>
      </w:pPr>
      <w:r w:rsidRPr="00031031">
        <w:rPr>
          <w:rFonts w:ascii="Calibri" w:eastAsia="Georgia" w:hAnsi="Calibri" w:cs="Calibri"/>
        </w:rPr>
        <w:t xml:space="preserve">Vikt (pregravid), längd och BMI </w:t>
      </w:r>
    </w:p>
    <w:p w14:paraId="404807DD" w14:textId="77777777" w:rsidR="00C95293" w:rsidRPr="00031031" w:rsidRDefault="00C95293" w:rsidP="00C95293">
      <w:pPr>
        <w:pStyle w:val="Liststycke"/>
        <w:numPr>
          <w:ilvl w:val="0"/>
          <w:numId w:val="21"/>
        </w:numPr>
        <w:spacing w:line="276" w:lineRule="auto"/>
        <w:ind w:left="1287" w:right="424"/>
        <w:rPr>
          <w:rFonts w:ascii="Calibri" w:hAnsi="Calibri" w:cs="Calibri"/>
        </w:rPr>
      </w:pPr>
      <w:r w:rsidRPr="00031031">
        <w:rPr>
          <w:rFonts w:ascii="Calibri" w:eastAsia="Georgia" w:hAnsi="Calibri" w:cs="Calibri"/>
        </w:rPr>
        <w:t>BPU</w:t>
      </w:r>
    </w:p>
    <w:p w14:paraId="266285D3" w14:textId="77777777" w:rsidR="00C95293" w:rsidRPr="00031031" w:rsidRDefault="00C95293" w:rsidP="00C95293">
      <w:pPr>
        <w:pStyle w:val="Liststycke"/>
        <w:numPr>
          <w:ilvl w:val="0"/>
          <w:numId w:val="21"/>
        </w:numPr>
        <w:spacing w:line="276" w:lineRule="auto"/>
        <w:ind w:left="1287" w:right="424"/>
        <w:rPr>
          <w:rFonts w:ascii="Calibri" w:hAnsi="Calibri" w:cs="Calibri"/>
        </w:rPr>
      </w:pPr>
      <w:r w:rsidRPr="00031031">
        <w:rPr>
          <w:rFonts w:ascii="Calibri" w:eastAsia="Georgia" w:hAnsi="Calibri" w:cs="Calibri"/>
        </w:rPr>
        <w:t xml:space="preserve">Aktuellt Hb och ferritin - Information om att indikationerna för järn är uppfyllda. </w:t>
      </w:r>
    </w:p>
    <w:p w14:paraId="2CB4AFA5" w14:textId="2C9CC5B0" w:rsidR="00C95293" w:rsidRPr="00031031" w:rsidRDefault="00C95293" w:rsidP="00C95293">
      <w:pPr>
        <w:pStyle w:val="Liststycke"/>
        <w:numPr>
          <w:ilvl w:val="0"/>
          <w:numId w:val="21"/>
        </w:numPr>
        <w:spacing w:line="276" w:lineRule="auto"/>
        <w:ind w:left="1287" w:right="424"/>
        <w:rPr>
          <w:rFonts w:ascii="Calibri" w:hAnsi="Calibri" w:cs="Calibri"/>
        </w:rPr>
      </w:pPr>
      <w:r w:rsidRPr="00031031">
        <w:rPr>
          <w:rFonts w:ascii="Calibri" w:eastAsia="Georgia" w:hAnsi="Calibri" w:cs="Calibri"/>
        </w:rPr>
        <w:lastRenderedPageBreak/>
        <w:t>Riskfaktorer för allergisk reaktion: annan allergi, svår astma, atopiskt eksem eller annan kronisk/akut inflammation (t</w:t>
      </w:r>
      <w:r w:rsidR="00150BF7">
        <w:rPr>
          <w:rFonts w:ascii="Calibri" w:eastAsia="Georgia" w:hAnsi="Calibri" w:cs="Calibri"/>
        </w:rPr>
        <w:t>ill exempel</w:t>
      </w:r>
      <w:r w:rsidRPr="00031031">
        <w:rPr>
          <w:rFonts w:ascii="Calibri" w:eastAsia="Georgia" w:hAnsi="Calibri" w:cs="Calibri"/>
        </w:rPr>
        <w:t xml:space="preserve"> reumatisk sjukdom, SLE, M</w:t>
      </w:r>
      <w:r w:rsidR="00292ADD">
        <w:rPr>
          <w:rFonts w:ascii="Calibri" w:eastAsia="Georgia" w:hAnsi="Calibri" w:cs="Calibri"/>
        </w:rPr>
        <w:t>orbus</w:t>
      </w:r>
      <w:r w:rsidRPr="00031031">
        <w:rPr>
          <w:rFonts w:ascii="Calibri" w:eastAsia="Georgia" w:hAnsi="Calibri" w:cs="Calibri"/>
        </w:rPr>
        <w:t xml:space="preserve"> Crohn) samt vilken risk-nyttavärdering som gjorts i förhållande till dessa. </w:t>
      </w:r>
    </w:p>
    <w:p w14:paraId="2AC30510" w14:textId="77777777" w:rsidR="00C95293" w:rsidRPr="00031031" w:rsidRDefault="00C95293" w:rsidP="00C95293">
      <w:pPr>
        <w:pStyle w:val="Liststycke"/>
        <w:numPr>
          <w:ilvl w:val="0"/>
          <w:numId w:val="21"/>
        </w:numPr>
        <w:spacing w:line="276" w:lineRule="auto"/>
        <w:ind w:left="1287" w:right="424"/>
        <w:rPr>
          <w:rFonts w:ascii="Calibri" w:hAnsi="Calibri" w:cs="Calibri"/>
        </w:rPr>
      </w:pPr>
      <w:r w:rsidRPr="00031031">
        <w:rPr>
          <w:rFonts w:ascii="Calibri" w:eastAsia="Georgia" w:hAnsi="Calibri" w:cs="Calibri"/>
        </w:rPr>
        <w:t xml:space="preserve">Behov av tolk. </w:t>
      </w:r>
    </w:p>
    <w:p w14:paraId="16A61287" w14:textId="668CE28C" w:rsidR="00C95293" w:rsidRPr="00BC4C7A" w:rsidRDefault="00C95293" w:rsidP="00BC4C7A">
      <w:pPr>
        <w:spacing w:line="276" w:lineRule="auto"/>
        <w:ind w:right="424"/>
        <w:rPr>
          <w:rFonts w:ascii="Calibri" w:hAnsi="Calibri" w:cs="Calibri"/>
        </w:rPr>
      </w:pPr>
      <w:r w:rsidRPr="00BC4C7A">
        <w:rPr>
          <w:rFonts w:ascii="Calibri" w:eastAsia="Georgia" w:hAnsi="Calibri" w:cs="Calibri"/>
        </w:rPr>
        <w:t xml:space="preserve">Inga recept utfärdas av läkare på </w:t>
      </w:r>
      <w:r w:rsidR="00292ADD">
        <w:rPr>
          <w:rFonts w:ascii="Calibri" w:eastAsia="Georgia" w:hAnsi="Calibri" w:cs="Calibri"/>
        </w:rPr>
        <w:t>barnmorskemottagningen</w:t>
      </w:r>
      <w:r w:rsidRPr="00BC4C7A">
        <w:rPr>
          <w:rFonts w:ascii="Calibri" w:eastAsia="Georgia" w:hAnsi="Calibri" w:cs="Calibri"/>
        </w:rPr>
        <w:t xml:space="preserve"> </w:t>
      </w:r>
      <w:r w:rsidR="00292ADD">
        <w:rPr>
          <w:rFonts w:ascii="Calibri" w:eastAsia="Georgia" w:hAnsi="Calibri" w:cs="Calibri"/>
        </w:rPr>
        <w:t xml:space="preserve">(BMM) </w:t>
      </w:r>
      <w:r w:rsidRPr="00BC4C7A">
        <w:rPr>
          <w:rFonts w:ascii="Calibri" w:eastAsia="Georgia" w:hAnsi="Calibri" w:cs="Calibri"/>
        </w:rPr>
        <w:t xml:space="preserve">utan läkemedel tillhandahålls av </w:t>
      </w:r>
      <w:r w:rsidR="00292ADD">
        <w:rPr>
          <w:rFonts w:ascii="Calibri" w:eastAsia="Georgia" w:hAnsi="Calibri" w:cs="Calibri"/>
        </w:rPr>
        <w:t>Mottagning för gravida och nyförlösta (MGN)</w:t>
      </w:r>
    </w:p>
    <w:p w14:paraId="7C21851A" w14:textId="22F97DBB" w:rsidR="00C95293" w:rsidRPr="00BC4C7A" w:rsidRDefault="00C95293" w:rsidP="00BC4C7A">
      <w:pPr>
        <w:spacing w:line="276" w:lineRule="auto"/>
        <w:ind w:right="424"/>
        <w:rPr>
          <w:rFonts w:ascii="Calibri" w:hAnsi="Calibri" w:cs="Calibri"/>
        </w:rPr>
      </w:pPr>
      <w:r w:rsidRPr="00BC4C7A">
        <w:rPr>
          <w:rFonts w:ascii="Calibri" w:eastAsia="Georgia" w:hAnsi="Calibri" w:cs="Calibri"/>
        </w:rPr>
        <w:t>Pat</w:t>
      </w:r>
      <w:r w:rsidR="00292ADD">
        <w:rPr>
          <w:rFonts w:ascii="Calibri" w:eastAsia="Georgia" w:hAnsi="Calibri" w:cs="Calibri"/>
        </w:rPr>
        <w:t>ienten</w:t>
      </w:r>
      <w:r w:rsidRPr="00BC4C7A">
        <w:rPr>
          <w:rFonts w:ascii="Calibri" w:eastAsia="Georgia" w:hAnsi="Calibri" w:cs="Calibri"/>
        </w:rPr>
        <w:t xml:space="preserve"> ska ha fått muntlig och skriftlig information om behandlingen på BMM.</w:t>
      </w:r>
    </w:p>
    <w:p w14:paraId="2CFC4243" w14:textId="77777777" w:rsidR="00C95293" w:rsidRDefault="00C95293" w:rsidP="00C95293">
      <w:pPr>
        <w:pStyle w:val="MellanrubrikVGR"/>
        <w:ind w:right="424"/>
      </w:pPr>
      <w:r>
        <w:t xml:space="preserve">Behandling </w:t>
      </w:r>
    </w:p>
    <w:p w14:paraId="6486DC14" w14:textId="77777777" w:rsidR="00C95293" w:rsidRPr="00031031" w:rsidRDefault="00C95293" w:rsidP="00C95293">
      <w:pPr>
        <w:spacing w:line="276" w:lineRule="auto"/>
        <w:ind w:right="424"/>
        <w:rPr>
          <w:rFonts w:ascii="Calibri" w:hAnsi="Calibri" w:cs="Calibri"/>
        </w:rPr>
      </w:pPr>
      <w:r w:rsidRPr="00031031">
        <w:rPr>
          <w:rFonts w:ascii="Calibri" w:eastAsia="Georgia" w:hAnsi="Calibri" w:cs="Calibri"/>
        </w:rPr>
        <w:t>Intravenöst järn administreras som engångsdos om 1000 mg (om patienten inte väger mindre än 50 kg vid inskrivning, då krävs individuell dos, maxdos 20 mg/kg).</w:t>
      </w:r>
    </w:p>
    <w:p w14:paraId="24B5E002" w14:textId="77777777" w:rsidR="00C95293" w:rsidRDefault="00C95293" w:rsidP="00C95293">
      <w:pPr>
        <w:pStyle w:val="MellanrubrikVGR"/>
        <w:ind w:right="424"/>
      </w:pPr>
      <w:r>
        <w:t xml:space="preserve">Utvärdering av behandlingseffekt </w:t>
      </w:r>
    </w:p>
    <w:p w14:paraId="705F600D" w14:textId="5718CD7B" w:rsidR="00C95293" w:rsidRPr="00031031" w:rsidRDefault="00C95293" w:rsidP="00C95293">
      <w:pPr>
        <w:pStyle w:val="Liststycke"/>
        <w:numPr>
          <w:ilvl w:val="0"/>
          <w:numId w:val="22"/>
        </w:numPr>
        <w:spacing w:line="276" w:lineRule="auto"/>
        <w:ind w:left="1287" w:right="424"/>
        <w:rPr>
          <w:rFonts w:ascii="Calibri" w:eastAsia="Georgia" w:hAnsi="Calibri" w:cs="Calibri"/>
        </w:rPr>
      </w:pPr>
      <w:r w:rsidRPr="00031031">
        <w:rPr>
          <w:rFonts w:ascii="Calibri" w:eastAsia="Georgia" w:hAnsi="Calibri" w:cs="Calibri"/>
        </w:rPr>
        <w:t>Hb kontrolleras på BMM efter 10–14 dagar. Hb förväntas då ha stigit med 1 g/dag (d</w:t>
      </w:r>
      <w:r w:rsidR="00292ADD">
        <w:rPr>
          <w:rFonts w:ascii="Calibri" w:eastAsia="Georgia" w:hAnsi="Calibri" w:cs="Calibri"/>
        </w:rPr>
        <w:t>et vill säga</w:t>
      </w:r>
      <w:r w:rsidRPr="00031031">
        <w:rPr>
          <w:rFonts w:ascii="Calibri" w:eastAsia="Georgia" w:hAnsi="Calibri" w:cs="Calibri"/>
        </w:rPr>
        <w:t xml:space="preserve"> 10-14</w:t>
      </w:r>
      <w:r w:rsidR="00292ADD">
        <w:rPr>
          <w:rFonts w:ascii="Calibri" w:eastAsia="Georgia" w:hAnsi="Calibri" w:cs="Calibri"/>
        </w:rPr>
        <w:t xml:space="preserve"> </w:t>
      </w:r>
      <w:r w:rsidRPr="00031031">
        <w:rPr>
          <w:rFonts w:ascii="Calibri" w:eastAsia="Georgia" w:hAnsi="Calibri" w:cs="Calibri"/>
        </w:rPr>
        <w:t xml:space="preserve">g). </w:t>
      </w:r>
    </w:p>
    <w:p w14:paraId="15F4BCD3" w14:textId="77777777" w:rsidR="00C95293" w:rsidRPr="00570F26" w:rsidRDefault="00C95293" w:rsidP="00570F26">
      <w:pPr>
        <w:spacing w:line="276" w:lineRule="auto"/>
        <w:ind w:right="424"/>
        <w:rPr>
          <w:rFonts w:ascii="Calibri" w:eastAsia="Georgia" w:hAnsi="Calibri" w:cs="Calibri"/>
        </w:rPr>
      </w:pPr>
      <w:r w:rsidRPr="00570F26">
        <w:rPr>
          <w:rFonts w:ascii="Calibri" w:eastAsia="Georgia" w:hAnsi="Calibri" w:cs="Calibri"/>
        </w:rPr>
        <w:t xml:space="preserve">Om Hb stigit tas nytt Hb efter ytterligare 2 veckor. </w:t>
      </w:r>
    </w:p>
    <w:p w14:paraId="68FCA5EB" w14:textId="77777777" w:rsidR="00C95293" w:rsidRPr="00570F26" w:rsidRDefault="00C95293" w:rsidP="00570F26">
      <w:pPr>
        <w:spacing w:line="276" w:lineRule="auto"/>
        <w:ind w:right="424"/>
        <w:rPr>
          <w:rFonts w:ascii="Calibri" w:hAnsi="Calibri" w:cs="Calibri"/>
        </w:rPr>
      </w:pPr>
      <w:r w:rsidRPr="00570F26">
        <w:rPr>
          <w:rFonts w:ascii="Calibri" w:eastAsia="Georgia" w:hAnsi="Calibri" w:cs="Calibri"/>
        </w:rPr>
        <w:t>Om Hb inte stigit på förväntat sätt behöver läkare konsulteras för att utvidga provtagningen och omvärdera diagnosen alternativt fundera på om patienten förlorar blod någonstans.</w:t>
      </w:r>
    </w:p>
    <w:p w14:paraId="7CCE59AC" w14:textId="74A3DDFC" w:rsidR="009A32ED" w:rsidRDefault="009A32ED" w:rsidP="00EE4DF8">
      <w:pPr>
        <w:pStyle w:val="Rubrik2"/>
      </w:pPr>
      <w:bookmarkStart w:id="11" w:name="_Toc216259000"/>
      <w:r>
        <w:t>A</w:t>
      </w:r>
      <w:bookmarkEnd w:id="10"/>
      <w:r w:rsidR="004802E1">
        <w:t xml:space="preserve">rbetsrutin Intravenöst järn på </w:t>
      </w:r>
      <w:r w:rsidR="002F551C">
        <w:t>Mottagning för gravida och nyförlösta</w:t>
      </w:r>
      <w:bookmarkEnd w:id="11"/>
    </w:p>
    <w:p w14:paraId="581BDC6C" w14:textId="77777777" w:rsidR="00E03C06" w:rsidRDefault="00E03C06" w:rsidP="00E03C06">
      <w:pPr>
        <w:pStyle w:val="MellanrubrikVGR"/>
        <w:ind w:left="0" w:firstLine="567"/>
        <w:rPr>
          <w:rFonts w:ascii="Georgia" w:eastAsia="Georgia" w:hAnsi="Georgia" w:cs="Georgia"/>
        </w:rPr>
      </w:pPr>
      <w:bookmarkStart w:id="12" w:name="_Toc100327189"/>
      <w:r>
        <w:t xml:space="preserve">När patienten kommer </w:t>
      </w:r>
    </w:p>
    <w:p w14:paraId="3FE3F7D9" w14:textId="00471B85" w:rsidR="00E03C06" w:rsidRPr="00E03C06" w:rsidRDefault="00E03C06" w:rsidP="00E03C06">
      <w:pPr>
        <w:pStyle w:val="Liststycke"/>
        <w:numPr>
          <w:ilvl w:val="0"/>
          <w:numId w:val="25"/>
        </w:numPr>
        <w:spacing w:line="276" w:lineRule="auto"/>
        <w:ind w:right="424"/>
        <w:rPr>
          <w:rFonts w:ascii="Calibri" w:hAnsi="Calibri" w:cs="Calibri"/>
        </w:rPr>
      </w:pPr>
      <w:r w:rsidRPr="00E03C06">
        <w:rPr>
          <w:rFonts w:ascii="Calibri" w:hAnsi="Calibri" w:cs="Calibri"/>
        </w:rPr>
        <w:t>Läkaren på ant</w:t>
      </w:r>
      <w:r w:rsidR="000B2E86">
        <w:rPr>
          <w:rFonts w:ascii="Calibri" w:hAnsi="Calibri" w:cs="Calibri"/>
        </w:rPr>
        <w:t>enatal</w:t>
      </w:r>
      <w:r w:rsidRPr="00E03C06">
        <w:rPr>
          <w:rFonts w:ascii="Calibri" w:hAnsi="Calibri" w:cs="Calibri"/>
        </w:rPr>
        <w:t>mottagningen ordinerar läkemedlet i Melior</w:t>
      </w:r>
    </w:p>
    <w:p w14:paraId="27A806CA" w14:textId="77777777" w:rsidR="00E03C06" w:rsidRPr="00E03C06" w:rsidRDefault="00E03C06" w:rsidP="00E03C06">
      <w:pPr>
        <w:pStyle w:val="Liststycke"/>
        <w:numPr>
          <w:ilvl w:val="0"/>
          <w:numId w:val="25"/>
        </w:numPr>
        <w:spacing w:line="276" w:lineRule="auto"/>
        <w:ind w:right="424"/>
        <w:rPr>
          <w:rFonts w:ascii="Calibri" w:eastAsia="Georgia" w:hAnsi="Calibri" w:cs="Calibri"/>
        </w:rPr>
      </w:pPr>
      <w:r w:rsidRPr="00E03C06">
        <w:rPr>
          <w:rFonts w:ascii="Calibri" w:eastAsia="Georgia" w:hAnsi="Calibri" w:cs="Calibri"/>
        </w:rPr>
        <w:t xml:space="preserve">Kontrollera puls, POX och blodtryck (för att ha ett utgångsvärde i händelse av reaktion) </w:t>
      </w:r>
    </w:p>
    <w:p w14:paraId="74194DBE" w14:textId="77777777" w:rsidR="00E03C06" w:rsidRPr="00E03C06" w:rsidRDefault="00E03C06" w:rsidP="00E03C06">
      <w:pPr>
        <w:pStyle w:val="Liststycke"/>
        <w:numPr>
          <w:ilvl w:val="0"/>
          <w:numId w:val="25"/>
        </w:numPr>
        <w:spacing w:line="276" w:lineRule="auto"/>
        <w:ind w:right="424"/>
        <w:rPr>
          <w:rFonts w:ascii="Calibri" w:eastAsia="Georgia" w:hAnsi="Calibri" w:cs="Calibri"/>
        </w:rPr>
      </w:pPr>
      <w:r w:rsidRPr="00E03C06">
        <w:rPr>
          <w:rFonts w:ascii="Calibri" w:eastAsia="Georgia" w:hAnsi="Calibri" w:cs="Calibri"/>
        </w:rPr>
        <w:t xml:space="preserve">Sätt pvk i höger eller vänster armveck (ej handrygg). Kontrollera backflödet. Spola rikligt med NaCl. Kontrollera insticksstället flera gånger under tiden infusionen pågår. </w:t>
      </w:r>
    </w:p>
    <w:p w14:paraId="28DFF6BC" w14:textId="77777777" w:rsidR="000B2E86" w:rsidRDefault="000B2E86">
      <w:pPr>
        <w:spacing w:after="0" w:line="240" w:lineRule="auto"/>
        <w:ind w:left="0" w:right="0"/>
        <w:rPr>
          <w:rFonts w:ascii="Verdana" w:eastAsiaTheme="majorEastAsia" w:hAnsi="Verdana" w:cstheme="majorBidi"/>
          <w:bCs/>
          <w:color w:val="000000" w:themeColor="text1"/>
          <w:sz w:val="36"/>
          <w:szCs w:val="26"/>
        </w:rPr>
      </w:pPr>
      <w:bookmarkStart w:id="13" w:name="_Toc216259001"/>
      <w:bookmarkEnd w:id="12"/>
      <w:r>
        <w:br w:type="page"/>
      </w:r>
    </w:p>
    <w:p w14:paraId="730FC6A6" w14:textId="42F76B66" w:rsidR="009A32ED" w:rsidRPr="005218AA" w:rsidRDefault="00E03C06" w:rsidP="00EE4DF8">
      <w:pPr>
        <w:pStyle w:val="Rubrik2"/>
      </w:pPr>
      <w:r>
        <w:lastRenderedPageBreak/>
        <w:t>Dosering</w:t>
      </w:r>
      <w:bookmarkEnd w:id="13"/>
    </w:p>
    <w:p w14:paraId="05D5BC24" w14:textId="77777777" w:rsidR="0026095D" w:rsidRPr="00BD34D5" w:rsidRDefault="0026095D" w:rsidP="0026095D">
      <w:pPr>
        <w:ind w:left="0" w:right="1845" w:firstLine="567"/>
        <w:rPr>
          <w:rFonts w:ascii="Calibri" w:hAnsi="Calibri" w:cs="Calibri"/>
        </w:rPr>
      </w:pPr>
      <w:bookmarkStart w:id="14" w:name="_Toc100327190"/>
      <w:r w:rsidRPr="00BD34D5">
        <w:rPr>
          <w:rFonts w:ascii="Calibri" w:hAnsi="Calibri" w:cs="Calibri"/>
        </w:rPr>
        <w:t xml:space="preserve">Dosering baseras på pregravid vikt </w:t>
      </w:r>
    </w:p>
    <w:tbl>
      <w:tblPr>
        <w:tblStyle w:val="TableGrid"/>
        <w:tblW w:w="9066" w:type="dxa"/>
        <w:tblInd w:w="562" w:type="dxa"/>
        <w:tblCellMar>
          <w:left w:w="108" w:type="dxa"/>
          <w:bottom w:w="136" w:type="dxa"/>
          <w:right w:w="115" w:type="dxa"/>
        </w:tblCellMar>
        <w:tblLook w:val="04A0" w:firstRow="1" w:lastRow="0" w:firstColumn="1" w:lastColumn="0" w:noHBand="0" w:noVBand="1"/>
      </w:tblPr>
      <w:tblGrid>
        <w:gridCol w:w="3483"/>
        <w:gridCol w:w="5583"/>
      </w:tblGrid>
      <w:tr w:rsidR="0026095D" w14:paraId="423812D7" w14:textId="77777777" w:rsidTr="003A7FBB">
        <w:trPr>
          <w:trHeight w:val="650"/>
        </w:trPr>
        <w:tc>
          <w:tcPr>
            <w:tcW w:w="3483"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E7E6E6"/>
            <w:vAlign w:val="bottom"/>
          </w:tcPr>
          <w:p w14:paraId="739F6F31" w14:textId="77777777" w:rsidR="0026095D" w:rsidRPr="00BD34D5" w:rsidRDefault="0026095D" w:rsidP="00BE1C6B">
            <w:pPr>
              <w:spacing w:after="0" w:line="259" w:lineRule="auto"/>
              <w:ind w:left="0"/>
            </w:pPr>
            <w:r w:rsidRPr="00BD34D5">
              <w:rPr>
                <w:rFonts w:ascii="Calibri" w:eastAsia="Calibri" w:hAnsi="Calibri" w:cs="Calibri"/>
              </w:rPr>
              <w:t xml:space="preserve">Vikt  </w:t>
            </w:r>
          </w:p>
        </w:tc>
        <w:tc>
          <w:tcPr>
            <w:tcW w:w="5583"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E7E6E6"/>
            <w:vAlign w:val="bottom"/>
          </w:tcPr>
          <w:p w14:paraId="46799AE5" w14:textId="77777777" w:rsidR="0026095D" w:rsidRPr="00BD34D5" w:rsidRDefault="0026095D" w:rsidP="00BE1C6B">
            <w:pPr>
              <w:spacing w:after="0" w:line="259" w:lineRule="auto"/>
              <w:ind w:left="0"/>
            </w:pPr>
            <w:r w:rsidRPr="00BD34D5">
              <w:rPr>
                <w:rFonts w:ascii="Calibri" w:eastAsia="Calibri" w:hAnsi="Calibri" w:cs="Calibri"/>
              </w:rPr>
              <w:t xml:space="preserve">Dos järn(III)isomaltosid (Monofer®) </w:t>
            </w:r>
          </w:p>
        </w:tc>
      </w:tr>
      <w:tr w:rsidR="0026095D" w14:paraId="05017142" w14:textId="77777777" w:rsidTr="003A7FBB">
        <w:trPr>
          <w:trHeight w:val="654"/>
        </w:trPr>
        <w:tc>
          <w:tcPr>
            <w:tcW w:w="3483"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bottom"/>
          </w:tcPr>
          <w:p w14:paraId="7C379F2A" w14:textId="77777777" w:rsidR="0026095D" w:rsidRPr="00BD34D5" w:rsidRDefault="0026095D" w:rsidP="00BE1C6B">
            <w:pPr>
              <w:spacing w:after="0" w:line="259" w:lineRule="auto"/>
              <w:ind w:left="0"/>
            </w:pPr>
            <w:r w:rsidRPr="00BD34D5">
              <w:rPr>
                <w:rFonts w:ascii="Calibri" w:eastAsia="Calibri" w:hAnsi="Calibri" w:cs="Calibri"/>
              </w:rPr>
              <w:t xml:space="preserve">&lt;50 kg  </w:t>
            </w:r>
          </w:p>
        </w:tc>
        <w:tc>
          <w:tcPr>
            <w:tcW w:w="5583"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bottom"/>
          </w:tcPr>
          <w:p w14:paraId="7CE1FF06" w14:textId="77777777" w:rsidR="0026095D" w:rsidRPr="00BD34D5" w:rsidRDefault="0026095D" w:rsidP="00BE1C6B">
            <w:pPr>
              <w:spacing w:after="0" w:line="259" w:lineRule="auto"/>
              <w:ind w:left="0"/>
            </w:pPr>
            <w:r w:rsidRPr="00BD34D5">
              <w:rPr>
                <w:rFonts w:ascii="Calibri" w:eastAsia="Calibri" w:hAnsi="Calibri" w:cs="Calibri"/>
              </w:rPr>
              <w:t xml:space="preserve">Individuell dosering, max 20 mg/kg kroppsvikt  </w:t>
            </w:r>
          </w:p>
        </w:tc>
      </w:tr>
      <w:tr w:rsidR="0026095D" w14:paraId="3E99031D" w14:textId="77777777" w:rsidTr="003A7FBB">
        <w:trPr>
          <w:trHeight w:val="653"/>
        </w:trPr>
        <w:tc>
          <w:tcPr>
            <w:tcW w:w="3483"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bottom"/>
          </w:tcPr>
          <w:p w14:paraId="2362AFFE" w14:textId="77777777" w:rsidR="0026095D" w:rsidRPr="00BD34D5" w:rsidRDefault="0026095D" w:rsidP="00BE1C6B">
            <w:pPr>
              <w:spacing w:after="0" w:line="259" w:lineRule="auto"/>
              <w:ind w:left="0"/>
            </w:pPr>
            <w:r w:rsidRPr="00BD34D5">
              <w:rPr>
                <w:rFonts w:ascii="Calibri" w:eastAsia="Calibri" w:hAnsi="Calibri" w:cs="Calibri"/>
              </w:rPr>
              <w:t xml:space="preserve">50-70 kg </w:t>
            </w:r>
          </w:p>
        </w:tc>
        <w:tc>
          <w:tcPr>
            <w:tcW w:w="5583"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bottom"/>
          </w:tcPr>
          <w:p w14:paraId="1C0673E6" w14:textId="77777777" w:rsidR="0026095D" w:rsidRPr="00BD34D5" w:rsidRDefault="0026095D" w:rsidP="00BE1C6B">
            <w:pPr>
              <w:spacing w:after="0" w:line="259" w:lineRule="auto"/>
              <w:ind w:left="0"/>
            </w:pPr>
            <w:r w:rsidRPr="00BD34D5">
              <w:rPr>
                <w:rFonts w:ascii="Calibri" w:eastAsia="Calibri" w:hAnsi="Calibri" w:cs="Calibri"/>
              </w:rPr>
              <w:t xml:space="preserve">1000 mg (=10 ml Monofer® 100 mg/ml) </w:t>
            </w:r>
          </w:p>
        </w:tc>
      </w:tr>
      <w:tr w:rsidR="0026095D" w14:paraId="58CFA3FC" w14:textId="77777777" w:rsidTr="003A7FBB">
        <w:trPr>
          <w:trHeight w:val="655"/>
        </w:trPr>
        <w:tc>
          <w:tcPr>
            <w:tcW w:w="3483"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bottom"/>
          </w:tcPr>
          <w:p w14:paraId="0F195118" w14:textId="77777777" w:rsidR="0026095D" w:rsidRPr="00BD34D5" w:rsidRDefault="0026095D" w:rsidP="00BE1C6B">
            <w:pPr>
              <w:spacing w:after="0" w:line="259" w:lineRule="auto"/>
              <w:ind w:left="0"/>
            </w:pPr>
            <w:r w:rsidRPr="00BD34D5">
              <w:rPr>
                <w:rFonts w:ascii="Calibri" w:eastAsia="Calibri" w:hAnsi="Calibri" w:cs="Calibri"/>
              </w:rPr>
              <w:t xml:space="preserve">&gt;70 kg </w:t>
            </w:r>
          </w:p>
        </w:tc>
        <w:tc>
          <w:tcPr>
            <w:tcW w:w="5583"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bottom"/>
          </w:tcPr>
          <w:p w14:paraId="5948CC3A" w14:textId="77777777" w:rsidR="0026095D" w:rsidRPr="00BD34D5" w:rsidRDefault="0026095D" w:rsidP="00BE1C6B">
            <w:pPr>
              <w:spacing w:after="0" w:line="259" w:lineRule="auto"/>
              <w:ind w:left="0"/>
            </w:pPr>
            <w:r w:rsidRPr="00BD34D5">
              <w:rPr>
                <w:rFonts w:ascii="Calibri" w:eastAsia="Calibri" w:hAnsi="Calibri" w:cs="Calibri"/>
              </w:rPr>
              <w:t xml:space="preserve">1500 mg (=15 ml Monofer® 100 mg/ml) </w:t>
            </w:r>
          </w:p>
        </w:tc>
      </w:tr>
    </w:tbl>
    <w:p w14:paraId="4CB34E8F" w14:textId="623ACFF9" w:rsidR="009A32ED" w:rsidRPr="005218AA" w:rsidRDefault="0060527D" w:rsidP="00EE4DF8">
      <w:pPr>
        <w:pStyle w:val="Rubrik2"/>
      </w:pPr>
      <w:bookmarkStart w:id="15" w:name="_Toc216259002"/>
      <w:bookmarkEnd w:id="14"/>
      <w:r>
        <w:t>Administrering av läkemedel</w:t>
      </w:r>
      <w:bookmarkEnd w:id="15"/>
    </w:p>
    <w:p w14:paraId="73A7AD8D" w14:textId="77777777" w:rsidR="003277DB" w:rsidRPr="003277DB" w:rsidRDefault="003277DB" w:rsidP="003277DB">
      <w:pPr>
        <w:spacing w:line="276" w:lineRule="auto"/>
        <w:ind w:right="424"/>
        <w:rPr>
          <w:rFonts w:ascii="Calibri" w:eastAsia="Georgia" w:hAnsi="Calibri" w:cs="Calibri"/>
          <w:color w:val="FF0000"/>
        </w:rPr>
      </w:pPr>
      <w:bookmarkStart w:id="16" w:name="_Toc100327191"/>
      <w:r w:rsidRPr="003277DB">
        <w:rPr>
          <w:rFonts w:ascii="Calibri" w:eastAsia="Georgia" w:hAnsi="Calibri" w:cs="Calibri"/>
        </w:rPr>
        <w:t>Monofer ska ges i ett rum där det finns en brits</w:t>
      </w:r>
    </w:p>
    <w:p w14:paraId="02B9E1DA" w14:textId="7594434A"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 xml:space="preserve">Järndosen spädes i 100 ml NaCl 9 mg/ml (risken för biverkningar ökar om </w:t>
      </w:r>
      <w:r w:rsidR="003B3847">
        <w:rPr>
          <w:rFonts w:ascii="Calibri" w:eastAsia="Georgia" w:hAnsi="Calibri" w:cs="Calibri"/>
        </w:rPr>
        <w:t xml:space="preserve">du </w:t>
      </w:r>
      <w:r w:rsidRPr="003277DB">
        <w:rPr>
          <w:rFonts w:ascii="Calibri" w:eastAsia="Georgia" w:hAnsi="Calibri" w:cs="Calibri"/>
        </w:rPr>
        <w:t xml:space="preserve">späder i större mängd). </w:t>
      </w:r>
    </w:p>
    <w:p w14:paraId="301A23C4" w14:textId="77777777"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 xml:space="preserve">Förfyll inte aggregatet/slangen med NaCl utan anslut järnlösningen direkt, då högre spädningsfaktor minskar stabiliteten i järnkomplexet. Inga andra intravenösa spädningslösningar eller läkemedel får användas. </w:t>
      </w:r>
    </w:p>
    <w:p w14:paraId="75DAD930" w14:textId="77777777"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 xml:space="preserve">Starta infusionen långsamt och öka successivt hastigheten. </w:t>
      </w:r>
    </w:p>
    <w:p w14:paraId="67CB061D" w14:textId="7D51F8AC"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Vid dosering ≤1000 mg ges infusionen under minst 15 min</w:t>
      </w:r>
      <w:r w:rsidR="003B3847">
        <w:rPr>
          <w:rFonts w:ascii="Calibri" w:eastAsia="Georgia" w:hAnsi="Calibri" w:cs="Calibri"/>
        </w:rPr>
        <w:t>uter</w:t>
      </w:r>
      <w:r w:rsidRPr="003277DB">
        <w:rPr>
          <w:rFonts w:ascii="Calibri" w:eastAsia="Georgia" w:hAnsi="Calibri" w:cs="Calibri"/>
        </w:rPr>
        <w:t xml:space="preserve">. </w:t>
      </w:r>
    </w:p>
    <w:p w14:paraId="72B67427" w14:textId="0945A3C3"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Vid dosering &gt;1000 mg ges infusionen under minst 30 min</w:t>
      </w:r>
      <w:r w:rsidR="003B3847">
        <w:rPr>
          <w:rFonts w:ascii="Calibri" w:eastAsia="Georgia" w:hAnsi="Calibri" w:cs="Calibri"/>
        </w:rPr>
        <w:t>uter</w:t>
      </w:r>
      <w:r w:rsidRPr="003277DB">
        <w:rPr>
          <w:rFonts w:ascii="Calibri" w:eastAsia="Georgia" w:hAnsi="Calibri" w:cs="Calibri"/>
        </w:rPr>
        <w:t xml:space="preserve">. </w:t>
      </w:r>
    </w:p>
    <w:p w14:paraId="5C92F267" w14:textId="77777777"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Kontrollera insticksstället flera gånger under tiden infusionen pågår.</w:t>
      </w:r>
    </w:p>
    <w:p w14:paraId="0C6A4B8A" w14:textId="77777777" w:rsidR="003277DB" w:rsidRPr="003277DB" w:rsidRDefault="003277DB" w:rsidP="003277DB">
      <w:pPr>
        <w:spacing w:line="276" w:lineRule="auto"/>
        <w:ind w:right="424"/>
        <w:rPr>
          <w:rFonts w:ascii="Calibri" w:eastAsia="Georgia" w:hAnsi="Calibri" w:cs="Calibri"/>
        </w:rPr>
      </w:pPr>
      <w:r w:rsidRPr="003277DB">
        <w:rPr>
          <w:rFonts w:ascii="Calibri" w:eastAsia="Georgia" w:hAnsi="Calibri" w:cs="Calibri"/>
        </w:rPr>
        <w:t xml:space="preserve">Dokumentera noggrant – </w:t>
      </w:r>
      <w:r w:rsidRPr="003277DB">
        <w:rPr>
          <w:rFonts w:ascii="Calibri" w:hAnsi="Calibri" w:cs="Calibri"/>
        </w:rPr>
        <w:t>PVK satt i [höger/vänster] arm. Backflöde kontrollerat. Katetern spolad rikligt med NaCl. Insticksstället bedömt – utan rodnad, svullnad eller smärta.</w:t>
      </w:r>
    </w:p>
    <w:p w14:paraId="5805C5E0" w14:textId="38012E1E" w:rsidR="009A32ED" w:rsidRPr="005218AA" w:rsidRDefault="003277DB" w:rsidP="00EE4DF8">
      <w:pPr>
        <w:pStyle w:val="Rubrik2"/>
      </w:pPr>
      <w:bookmarkStart w:id="17" w:name="_Toc216259003"/>
      <w:bookmarkEnd w:id="16"/>
      <w:r>
        <w:t>Övervakning</w:t>
      </w:r>
      <w:bookmarkEnd w:id="17"/>
    </w:p>
    <w:p w14:paraId="63DE3AEB" w14:textId="0634DA40" w:rsidR="00314238" w:rsidRDefault="00314238" w:rsidP="00314238">
      <w:pPr>
        <w:spacing w:line="276" w:lineRule="auto"/>
        <w:ind w:right="424"/>
        <w:rPr>
          <w:rFonts w:ascii="Calibri" w:eastAsia="Georgia" w:hAnsi="Calibri" w:cs="Calibri"/>
        </w:rPr>
      </w:pPr>
      <w:bookmarkStart w:id="18" w:name="_Toc100327192"/>
      <w:bookmarkStart w:id="19" w:name="_Toc181866761"/>
      <w:r w:rsidRPr="00314238">
        <w:rPr>
          <w:rFonts w:ascii="Calibri" w:eastAsia="Georgia" w:hAnsi="Calibri" w:cs="Calibri"/>
        </w:rPr>
        <w:t>Alla patienter som fått intravenöst järn ska övervakas på avdelningen/</w:t>
      </w:r>
      <w:r>
        <w:rPr>
          <w:rFonts w:ascii="Calibri" w:eastAsia="Georgia" w:hAnsi="Calibri" w:cs="Calibri"/>
        </w:rPr>
        <w:t xml:space="preserve"> </w:t>
      </w:r>
      <w:r w:rsidRPr="00314238">
        <w:rPr>
          <w:rFonts w:ascii="Calibri" w:eastAsia="Georgia" w:hAnsi="Calibri" w:cs="Calibri"/>
        </w:rPr>
        <w:t>mottagningen minst 30 min</w:t>
      </w:r>
      <w:r w:rsidR="003B3847">
        <w:rPr>
          <w:rFonts w:ascii="Calibri" w:eastAsia="Georgia" w:hAnsi="Calibri" w:cs="Calibri"/>
        </w:rPr>
        <w:t>uter</w:t>
      </w:r>
      <w:r w:rsidRPr="00314238">
        <w:rPr>
          <w:rFonts w:ascii="Calibri" w:eastAsia="Georgia" w:hAnsi="Calibri" w:cs="Calibri"/>
        </w:rPr>
        <w:t xml:space="preserve"> efter avslutad infusion. Om patienten mår bra behövs inga kontroller</w:t>
      </w:r>
      <w:r>
        <w:rPr>
          <w:rFonts w:ascii="Calibri" w:eastAsia="Georgia" w:hAnsi="Calibri" w:cs="Calibri"/>
        </w:rPr>
        <w:t>.</w:t>
      </w:r>
    </w:p>
    <w:bookmarkEnd w:id="18"/>
    <w:bookmarkEnd w:id="19"/>
    <w:p w14:paraId="4364D614" w14:textId="77777777" w:rsidR="005E4049" w:rsidRDefault="005E4049">
      <w:r>
        <w:br w:type="page"/>
      </w:r>
    </w:p>
    <w:p w14:paraId="5E02FFA2" w14:textId="4D877B07" w:rsidR="00C853FF" w:rsidRPr="00C853FF" w:rsidRDefault="00B65BD8" w:rsidP="00C853FF">
      <w:pPr>
        <w:rPr>
          <w:rFonts w:eastAsia="Georgia"/>
        </w:rPr>
      </w:pPr>
      <w:r>
        <w:rPr>
          <w:rFonts w:eastAsia="Georgia"/>
          <w:noProof/>
        </w:rPr>
        <w:lastRenderedPageBreak/>
        <mc:AlternateContent>
          <mc:Choice Requires="wps">
            <w:drawing>
              <wp:anchor distT="0" distB="0" distL="114300" distR="114300" simplePos="0" relativeHeight="251658240" behindDoc="0" locked="0" layoutInCell="1" allowOverlap="1" wp14:anchorId="2DA1C600" wp14:editId="51C161CD">
                <wp:simplePos x="0" y="0"/>
                <wp:positionH relativeFrom="column">
                  <wp:posOffset>6085205</wp:posOffset>
                </wp:positionH>
                <wp:positionV relativeFrom="paragraph">
                  <wp:posOffset>1938020</wp:posOffset>
                </wp:positionV>
                <wp:extent cx="600075" cy="5753100"/>
                <wp:effectExtent l="0" t="0" r="9525" b="0"/>
                <wp:wrapNone/>
                <wp:docPr id="1571167068" name="Textruta 1"/>
                <wp:cNvGraphicFramePr/>
                <a:graphic xmlns:a="http://schemas.openxmlformats.org/drawingml/2006/main">
                  <a:graphicData uri="http://schemas.microsoft.com/office/word/2010/wordprocessingShape">
                    <wps:wsp>
                      <wps:cNvSpPr txBox="1"/>
                      <wps:spPr>
                        <a:xfrm>
                          <a:off x="0" y="0"/>
                          <a:ext cx="600075" cy="5753100"/>
                        </a:xfrm>
                        <a:prstGeom prst="rect">
                          <a:avLst/>
                        </a:prstGeom>
                        <a:solidFill>
                          <a:schemeClr val="lt1"/>
                        </a:solidFill>
                        <a:ln w="6350">
                          <a:noFill/>
                        </a:ln>
                      </wps:spPr>
                      <wps:txbx>
                        <w:txbxContent>
                          <w:p w14:paraId="020B81A4" w14:textId="66E84557" w:rsidR="00964C70" w:rsidRDefault="00964C70" w:rsidP="00964C70">
                            <w:pPr>
                              <w:pStyle w:val="Rubrik2"/>
                            </w:pPr>
                            <w:bookmarkStart w:id="20" w:name="_Toc216259004"/>
                            <w:r>
                              <w:t>Hantering av överkänslighetsreaktioner</w:t>
                            </w:r>
                            <w:bookmarkEnd w:id="20"/>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DA1C600" id="_x0000_t202" coordsize="21600,21600" o:spt="202" path="m,l,21600r21600,l21600,xe">
                <v:stroke joinstyle="miter"/>
                <v:path gradientshapeok="t" o:connecttype="rect"/>
              </v:shapetype>
              <v:shape id="Textruta 1" o:spid="_x0000_s1026" type="#_x0000_t202" style="position:absolute;left:0;text-align:left;margin-left:479.15pt;margin-top:152.6pt;width:47.25pt;height:453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" fillcolor="white [3201]" stroked="f" strokeweight=".5pt">
                <v:textbox style="layout-flow:vertical">
                  <w:txbxContent>
                    <w:p w14:paraId="020B81A4" w14:textId="66E84557" w:rsidR="00964C70" w:rsidRDefault="00964C70" w:rsidP="00964C70">
                      <w:pPr>
                        <w:pStyle w:val="Rubrik2"/>
                      </w:pPr>
                      <w:bookmarkStart w:id="21" w:name="_Toc216259004"/>
                      <w:r>
                        <w:t>Hantering av överkänslighetsreaktioner</w:t>
                      </w:r>
                      <w:bookmarkEnd w:id="21"/>
                    </w:p>
                  </w:txbxContent>
                </v:textbox>
              </v:shape>
            </w:pict>
          </mc:Fallback>
        </mc:AlternateContent>
      </w:r>
      <w:r>
        <w:rPr>
          <w:noProof/>
        </w:rPr>
        <w:drawing>
          <wp:inline distT="0" distB="0" distL="0" distR="0" wp14:anchorId="64DB31F0" wp14:editId="6E98FE91">
            <wp:extent cx="9163623" cy="5137225"/>
            <wp:effectExtent l="0" t="6350" r="0" b="0"/>
            <wp:docPr id="54818201" name="drawing" descr="En bild som visar text, skärmbild,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18201" name="drawing" descr="En bild som visar text, skärmbild, Teckensnitt, design&#10;&#10;AI-genererat innehåll kan vara felaktigt."/>
                    <pic:cNvPicPr/>
                  </pic:nvPicPr>
                  <pic:blipFill>
                    <a:blip r:embed="rId12">
                      <a:extLst>
                        <a:ext uri="{28A0092B-C50C-407E-A947-70E740481C1C}">
                          <a14:useLocalDpi xmlns:a14="http://schemas.microsoft.com/office/drawing/2010/main"/>
                        </a:ext>
                      </a:extLst>
                    </a:blip>
                    <a:stretch>
                      <a:fillRect/>
                    </a:stretch>
                  </pic:blipFill>
                  <pic:spPr>
                    <a:xfrm rot="5400000">
                      <a:off x="0" y="0"/>
                      <a:ext cx="9193279" cy="5153850"/>
                    </a:xfrm>
                    <a:prstGeom prst="rect">
                      <a:avLst/>
                    </a:prstGeom>
                  </pic:spPr>
                </pic:pic>
              </a:graphicData>
            </a:graphic>
          </wp:inline>
        </w:drawing>
      </w:r>
    </w:p>
    <w:sectPr w:rsidR="00C853FF" w:rsidRPr="00C853FF"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0884D4" w14:textId="77777777" w:rsidR="00A13B29" w:rsidRDefault="00A13B29">
      <w:r>
        <w:separator/>
      </w:r>
    </w:p>
  </w:endnote>
  <w:endnote w:type="continuationSeparator" w:id="0">
    <w:p w14:paraId="002D9182" w14:textId="77777777" w:rsidR="00A13B29" w:rsidRDefault="00A13B29">
      <w:r>
        <w:continuationSeparator/>
      </w:r>
    </w:p>
  </w:endnote>
  <w:endnote w:type="continuationNotice" w:id="1">
    <w:p w14:paraId="314CF36A" w14:textId="77777777" w:rsidR="00A13B29" w:rsidRDefault="00A13B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C26F9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2044784939"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BA5D1C" w14:textId="77777777" w:rsidR="00A13B29" w:rsidRDefault="00A13B29"/>
  </w:footnote>
  <w:footnote w:type="continuationSeparator" w:id="0">
    <w:p w14:paraId="1C4A0013" w14:textId="77777777" w:rsidR="00A13B29" w:rsidRDefault="00A13B29">
      <w:r>
        <w:continuationSeparator/>
      </w:r>
    </w:p>
  </w:footnote>
  <w:footnote w:type="continuationNotice" w:id="1">
    <w:p w14:paraId="1B40A1C2" w14:textId="77777777" w:rsidR="00A13B29" w:rsidRDefault="00A13B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877279"/>
    <w:multiLevelType w:val="hybridMultilevel"/>
    <w:tmpl w:val="AFFCF352"/>
    <w:lvl w:ilvl="0" w:tplc="37BA49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AD5C1D"/>
    <w:multiLevelType w:val="hybridMultilevel"/>
    <w:tmpl w:val="529A5096"/>
    <w:lvl w:ilvl="0" w:tplc="37BA49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39D33A2"/>
    <w:multiLevelType w:val="hybridMultilevel"/>
    <w:tmpl w:val="F4F4DC38"/>
    <w:lvl w:ilvl="0" w:tplc="37BA4962">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5401615"/>
    <w:multiLevelType w:val="hybridMultilevel"/>
    <w:tmpl w:val="C286075C"/>
    <w:lvl w:ilvl="0" w:tplc="37BA4962">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67737BDC"/>
    <w:multiLevelType w:val="hybridMultilevel"/>
    <w:tmpl w:val="F9001BBC"/>
    <w:lvl w:ilvl="0" w:tplc="37BA49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5BD25AC"/>
    <w:multiLevelType w:val="hybridMultilevel"/>
    <w:tmpl w:val="E2CAFCAE"/>
    <w:lvl w:ilvl="0" w:tplc="37BA49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7"/>
  </w:num>
  <w:num w:numId="3" w16cid:durableId="164058872">
    <w:abstractNumId w:val="0"/>
  </w:num>
  <w:num w:numId="4" w16cid:durableId="861477783">
    <w:abstractNumId w:val="8"/>
  </w:num>
  <w:num w:numId="5" w16cid:durableId="1280868239">
    <w:abstractNumId w:val="20"/>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6"/>
  </w:num>
  <w:num w:numId="14" w16cid:durableId="36130748">
    <w:abstractNumId w:val="11"/>
  </w:num>
  <w:num w:numId="15" w16cid:durableId="560679449">
    <w:abstractNumId w:val="9"/>
  </w:num>
  <w:num w:numId="16" w16cid:durableId="1420566503">
    <w:abstractNumId w:val="15"/>
  </w:num>
  <w:num w:numId="17" w16cid:durableId="256527698">
    <w:abstractNumId w:val="6"/>
  </w:num>
  <w:num w:numId="18" w16cid:durableId="1090539201">
    <w:abstractNumId w:val="12"/>
  </w:num>
  <w:num w:numId="19" w16cid:durableId="1846439597">
    <w:abstractNumId w:val="22"/>
  </w:num>
  <w:num w:numId="20" w16cid:durableId="872883241">
    <w:abstractNumId w:val="21"/>
  </w:num>
  <w:num w:numId="21" w16cid:durableId="1808743670">
    <w:abstractNumId w:val="19"/>
  </w:num>
  <w:num w:numId="22" w16cid:durableId="635062313">
    <w:abstractNumId w:val="7"/>
  </w:num>
  <w:num w:numId="23" w16cid:durableId="1623149744">
    <w:abstractNumId w:val="14"/>
  </w:num>
  <w:num w:numId="24" w16cid:durableId="2124572021">
    <w:abstractNumId w:val="2"/>
  </w:num>
  <w:num w:numId="25" w16cid:durableId="57832155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06A2"/>
    <w:rsid w:val="00084024"/>
    <w:rsid w:val="0009062C"/>
    <w:rsid w:val="00095368"/>
    <w:rsid w:val="000954C4"/>
    <w:rsid w:val="000A1CE4"/>
    <w:rsid w:val="000A611A"/>
    <w:rsid w:val="000B12D9"/>
    <w:rsid w:val="000B2E86"/>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2D2D"/>
    <w:rsid w:val="00150BF7"/>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0CAC"/>
    <w:rsid w:val="0022160C"/>
    <w:rsid w:val="002273C9"/>
    <w:rsid w:val="00232E0E"/>
    <w:rsid w:val="00235B57"/>
    <w:rsid w:val="00250F24"/>
    <w:rsid w:val="002523C5"/>
    <w:rsid w:val="0025380B"/>
    <w:rsid w:val="0025703A"/>
    <w:rsid w:val="0026095D"/>
    <w:rsid w:val="00262F3D"/>
    <w:rsid w:val="00263281"/>
    <w:rsid w:val="002651D6"/>
    <w:rsid w:val="0026551F"/>
    <w:rsid w:val="002656D2"/>
    <w:rsid w:val="00270FA8"/>
    <w:rsid w:val="00280A85"/>
    <w:rsid w:val="00284119"/>
    <w:rsid w:val="00290B5C"/>
    <w:rsid w:val="00292ADD"/>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51C"/>
    <w:rsid w:val="002F568B"/>
    <w:rsid w:val="002F7818"/>
    <w:rsid w:val="003066D0"/>
    <w:rsid w:val="00311401"/>
    <w:rsid w:val="00314238"/>
    <w:rsid w:val="0031776F"/>
    <w:rsid w:val="003203D7"/>
    <w:rsid w:val="00320F86"/>
    <w:rsid w:val="003211BB"/>
    <w:rsid w:val="00324171"/>
    <w:rsid w:val="00326C24"/>
    <w:rsid w:val="003277DB"/>
    <w:rsid w:val="00337F99"/>
    <w:rsid w:val="003410BD"/>
    <w:rsid w:val="0034307B"/>
    <w:rsid w:val="00345EB1"/>
    <w:rsid w:val="0034759B"/>
    <w:rsid w:val="00350CC4"/>
    <w:rsid w:val="00360E0D"/>
    <w:rsid w:val="0036357D"/>
    <w:rsid w:val="0036594C"/>
    <w:rsid w:val="00367D19"/>
    <w:rsid w:val="00371BED"/>
    <w:rsid w:val="00384019"/>
    <w:rsid w:val="003854F1"/>
    <w:rsid w:val="00386584"/>
    <w:rsid w:val="0039118E"/>
    <w:rsid w:val="00397F54"/>
    <w:rsid w:val="003A0D43"/>
    <w:rsid w:val="003A7FBB"/>
    <w:rsid w:val="003B2A4B"/>
    <w:rsid w:val="003B3847"/>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2E1"/>
    <w:rsid w:val="00480DC7"/>
    <w:rsid w:val="004876F6"/>
    <w:rsid w:val="0049236A"/>
    <w:rsid w:val="00492718"/>
    <w:rsid w:val="004A355D"/>
    <w:rsid w:val="004A4970"/>
    <w:rsid w:val="004B2183"/>
    <w:rsid w:val="004B2A01"/>
    <w:rsid w:val="004C3536"/>
    <w:rsid w:val="004D7BA3"/>
    <w:rsid w:val="004F2CA9"/>
    <w:rsid w:val="004F4518"/>
    <w:rsid w:val="004F4C62"/>
    <w:rsid w:val="00501433"/>
    <w:rsid w:val="00511CC4"/>
    <w:rsid w:val="0052769F"/>
    <w:rsid w:val="00531E60"/>
    <w:rsid w:val="00541D07"/>
    <w:rsid w:val="00544BAB"/>
    <w:rsid w:val="00545F31"/>
    <w:rsid w:val="005578FA"/>
    <w:rsid w:val="00557FBA"/>
    <w:rsid w:val="00565129"/>
    <w:rsid w:val="00565CD0"/>
    <w:rsid w:val="00567820"/>
    <w:rsid w:val="00570F26"/>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4049"/>
    <w:rsid w:val="005F7803"/>
    <w:rsid w:val="0060527D"/>
    <w:rsid w:val="00605390"/>
    <w:rsid w:val="0060596B"/>
    <w:rsid w:val="006062CC"/>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95168"/>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1248"/>
    <w:rsid w:val="00754905"/>
    <w:rsid w:val="00760038"/>
    <w:rsid w:val="00762EE0"/>
    <w:rsid w:val="00765C41"/>
    <w:rsid w:val="00771100"/>
    <w:rsid w:val="007730FA"/>
    <w:rsid w:val="00774944"/>
    <w:rsid w:val="007759DD"/>
    <w:rsid w:val="0078609F"/>
    <w:rsid w:val="007917BA"/>
    <w:rsid w:val="007A334E"/>
    <w:rsid w:val="007A5C6F"/>
    <w:rsid w:val="007D4241"/>
    <w:rsid w:val="007D4317"/>
    <w:rsid w:val="007D4EA3"/>
    <w:rsid w:val="007E038A"/>
    <w:rsid w:val="007E4E5C"/>
    <w:rsid w:val="007F1CFF"/>
    <w:rsid w:val="007F5DD5"/>
    <w:rsid w:val="007F7596"/>
    <w:rsid w:val="00821A1B"/>
    <w:rsid w:val="00823DB8"/>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8F5F30"/>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4236"/>
    <w:rsid w:val="00954AD8"/>
    <w:rsid w:val="00957D35"/>
    <w:rsid w:val="00964C70"/>
    <w:rsid w:val="00971D93"/>
    <w:rsid w:val="009726A5"/>
    <w:rsid w:val="009A07DC"/>
    <w:rsid w:val="009A32ED"/>
    <w:rsid w:val="009B1F6B"/>
    <w:rsid w:val="009C0D12"/>
    <w:rsid w:val="009C192E"/>
    <w:rsid w:val="009C2E3E"/>
    <w:rsid w:val="009C6C0C"/>
    <w:rsid w:val="009D0CAD"/>
    <w:rsid w:val="009D6819"/>
    <w:rsid w:val="009D6D1C"/>
    <w:rsid w:val="009E0CF8"/>
    <w:rsid w:val="009E0CF9"/>
    <w:rsid w:val="009E3D1F"/>
    <w:rsid w:val="009E531B"/>
    <w:rsid w:val="009E5923"/>
    <w:rsid w:val="009E6C56"/>
    <w:rsid w:val="009E7DCF"/>
    <w:rsid w:val="009F4A56"/>
    <w:rsid w:val="009F4E65"/>
    <w:rsid w:val="00A006A5"/>
    <w:rsid w:val="00A05942"/>
    <w:rsid w:val="00A07BEC"/>
    <w:rsid w:val="00A13B29"/>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5897"/>
    <w:rsid w:val="00B30C64"/>
    <w:rsid w:val="00B33FDD"/>
    <w:rsid w:val="00B359CC"/>
    <w:rsid w:val="00B36107"/>
    <w:rsid w:val="00B405A1"/>
    <w:rsid w:val="00B41571"/>
    <w:rsid w:val="00B41789"/>
    <w:rsid w:val="00B42699"/>
    <w:rsid w:val="00B46C03"/>
    <w:rsid w:val="00B60C6C"/>
    <w:rsid w:val="00B619A9"/>
    <w:rsid w:val="00B65A9D"/>
    <w:rsid w:val="00B65BD8"/>
    <w:rsid w:val="00B66D60"/>
    <w:rsid w:val="00B75EDE"/>
    <w:rsid w:val="00B7675E"/>
    <w:rsid w:val="00B77D88"/>
    <w:rsid w:val="00B77FAF"/>
    <w:rsid w:val="00B83715"/>
    <w:rsid w:val="00B84336"/>
    <w:rsid w:val="00B851B9"/>
    <w:rsid w:val="00B86453"/>
    <w:rsid w:val="00B90054"/>
    <w:rsid w:val="00B90C75"/>
    <w:rsid w:val="00B92C14"/>
    <w:rsid w:val="00B96AFF"/>
    <w:rsid w:val="00B97D4E"/>
    <w:rsid w:val="00BA0066"/>
    <w:rsid w:val="00BB69DB"/>
    <w:rsid w:val="00BC322E"/>
    <w:rsid w:val="00BC44CD"/>
    <w:rsid w:val="00BC48A6"/>
    <w:rsid w:val="00BC4C7A"/>
    <w:rsid w:val="00BC6590"/>
    <w:rsid w:val="00BE7978"/>
    <w:rsid w:val="00C01F0D"/>
    <w:rsid w:val="00C07C1B"/>
    <w:rsid w:val="00C07DDB"/>
    <w:rsid w:val="00C12932"/>
    <w:rsid w:val="00C26F9A"/>
    <w:rsid w:val="00C274DF"/>
    <w:rsid w:val="00C4115D"/>
    <w:rsid w:val="00C43BDD"/>
    <w:rsid w:val="00C47778"/>
    <w:rsid w:val="00C5011E"/>
    <w:rsid w:val="00C50EE5"/>
    <w:rsid w:val="00C5240A"/>
    <w:rsid w:val="00C53581"/>
    <w:rsid w:val="00C5398F"/>
    <w:rsid w:val="00C556F5"/>
    <w:rsid w:val="00C70AC8"/>
    <w:rsid w:val="00C70E19"/>
    <w:rsid w:val="00C72574"/>
    <w:rsid w:val="00C7430C"/>
    <w:rsid w:val="00C766E6"/>
    <w:rsid w:val="00C853FF"/>
    <w:rsid w:val="00C85DA1"/>
    <w:rsid w:val="00C9071C"/>
    <w:rsid w:val="00C908FF"/>
    <w:rsid w:val="00C95293"/>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3C1B"/>
    <w:rsid w:val="00D37E7F"/>
    <w:rsid w:val="00D47AD7"/>
    <w:rsid w:val="00D51529"/>
    <w:rsid w:val="00D62468"/>
    <w:rsid w:val="00D67C88"/>
    <w:rsid w:val="00D80739"/>
    <w:rsid w:val="00D85218"/>
    <w:rsid w:val="00D915B1"/>
    <w:rsid w:val="00DA299D"/>
    <w:rsid w:val="00DA65C4"/>
    <w:rsid w:val="00DD0135"/>
    <w:rsid w:val="00DE4447"/>
    <w:rsid w:val="00DE5DA2"/>
    <w:rsid w:val="00DE63C6"/>
    <w:rsid w:val="00DF0033"/>
    <w:rsid w:val="00E026BF"/>
    <w:rsid w:val="00E03C06"/>
    <w:rsid w:val="00E07B1B"/>
    <w:rsid w:val="00E11853"/>
    <w:rsid w:val="00E21184"/>
    <w:rsid w:val="00E22CDA"/>
    <w:rsid w:val="00E4110E"/>
    <w:rsid w:val="00E411B6"/>
    <w:rsid w:val="00E52A86"/>
    <w:rsid w:val="00E54B47"/>
    <w:rsid w:val="00E553BF"/>
    <w:rsid w:val="00E55D93"/>
    <w:rsid w:val="00E61294"/>
    <w:rsid w:val="00E7237C"/>
    <w:rsid w:val="00E765D9"/>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4DF8"/>
    <w:rsid w:val="00F22264"/>
    <w:rsid w:val="00F2564D"/>
    <w:rsid w:val="00F35B05"/>
    <w:rsid w:val="00F413D9"/>
    <w:rsid w:val="00F5135F"/>
    <w:rsid w:val="00F51F78"/>
    <w:rsid w:val="00F86F47"/>
    <w:rsid w:val="00F90B64"/>
    <w:rsid w:val="00FA7543"/>
    <w:rsid w:val="00FB2F0F"/>
    <w:rsid w:val="00FB5086"/>
    <w:rsid w:val="00FB5411"/>
    <w:rsid w:val="00FB6392"/>
    <w:rsid w:val="00FB6B31"/>
    <w:rsid w:val="00FC4F36"/>
    <w:rsid w:val="00FC7D5A"/>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E21184"/>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table" w:customStyle="1" w:styleId="TableGrid">
    <w:name w:val="TableGrid"/>
    <w:rsid w:val="0026095D"/>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691</Words>
  <Characters>4636</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Administrering av intravenöst järn till gravid i andra och tredje trimestern</dc:title>
  <dc:subject/>
  <dc:creator/>
  <keywords/>
  <lastModifiedBy/>
  <revision>1</revision>
  <dcterms:created xsi:type="dcterms:W3CDTF">2025-08-13T12:29:00.0000000Z</dcterms:created>
  <dcterms:modified xsi:type="dcterms:W3CDTF">2025-12-10T12:53:00.0000000Z</dcterms:modified>
</coreProperties>
</file>