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ED37CA" w14:textId="77777777" w:rsidR="00D553AB" w:rsidRDefault="00D553AB" w:rsidP="003617DD">
      <w:pPr>
        <w:pStyle w:val="Rubrik2"/>
        <w:ind w:left="0"/>
        <w:sectPr w:rsidR="00D553AB" w:rsidSect="00D553A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1549B9A" w14:textId="77777777" w:rsidR="003617DD" w:rsidRPr="003617DD" w:rsidRDefault="003617DD" w:rsidP="003617DD">
      <w:pPr>
        <w:pStyle w:val="Rubrik1"/>
      </w:pPr>
    </w:p>
    <w:p w14:paraId="3BDE0AAF" w14:textId="3708C39B" w:rsidR="00D553AB" w:rsidRPr="001D3276" w:rsidRDefault="003617DD" w:rsidP="001D3276">
      <w:pPr>
        <w:pStyle w:val="Rubrik1"/>
        <w:rPr>
          <w:rFonts w:ascii="Times" w:hAnsi="Times"/>
          <w:color w:val="000000"/>
          <w:spacing w:val="1"/>
          <w:szCs w:val="18"/>
        </w:rPr>
      </w:pPr>
      <w:r w:rsidRPr="003617DD">
        <w:t>Bisköldkörtelskintigrafi</w:t>
      </w:r>
    </w:p>
    <w:p w14:paraId="504CB231" w14:textId="77777777" w:rsidR="00D553AB" w:rsidRPr="00D553AB" w:rsidRDefault="00D553AB" w:rsidP="003617DD">
      <w:pPr>
        <w:pStyle w:val="Rubrik2"/>
      </w:pPr>
      <w:r w:rsidRPr="00D553AB">
        <w:t>Syfte</w:t>
      </w:r>
    </w:p>
    <w:p w14:paraId="6A4075CD" w14:textId="72C2FFEC" w:rsidR="00D553AB" w:rsidRPr="000525C8" w:rsidRDefault="00D553AB" w:rsidP="000525C8">
      <w:pPr>
        <w:rPr>
          <w:rFonts w:eastAsia="Calibri"/>
          <w:lang w:eastAsia="en-US"/>
        </w:rPr>
      </w:pPr>
      <w:r w:rsidRPr="00D553AB">
        <w:rPr>
          <w:rFonts w:eastAsia="Calibri"/>
          <w:lang w:eastAsia="en-US"/>
        </w:rPr>
        <w:t>Den främsta indikationen för bisköldkörtelskintigrafi är att preoperativt kartlägga och lokalisera hyperfunktionella paratyreoideor hos patienter med redan diagnosticerad hyperparatyreoidism (av primär/sekundär/tertiär typ) och på så sätt minimera operationen/ingreppet. Dessutom är en indikation lokalisation av eventuellt recidiv.</w:t>
      </w:r>
    </w:p>
    <w:p w14:paraId="45F41DF4" w14:textId="77777777" w:rsidR="00D553AB" w:rsidRPr="003617DD" w:rsidRDefault="00D553AB" w:rsidP="003617DD">
      <w:pPr>
        <w:pStyle w:val="Rubrik2"/>
      </w:pPr>
      <w:r w:rsidRPr="003617DD">
        <w:t>Inledning</w:t>
      </w:r>
    </w:p>
    <w:p w14:paraId="1878832A" w14:textId="1C44AFBB" w:rsidR="00D553AB" w:rsidRPr="000525C8" w:rsidRDefault="00D553AB" w:rsidP="000525C8">
      <w:pPr>
        <w:rPr>
          <w:rFonts w:eastAsia="Calibri"/>
          <w:lang w:eastAsia="en-US"/>
        </w:rPr>
      </w:pPr>
      <w:bookmarkStart w:id="1" w:name="_Hlk88125081"/>
      <w:r w:rsidRPr="00D553AB">
        <w:rPr>
          <w:rFonts w:eastAsia="Calibri"/>
          <w:lang w:eastAsia="en-US"/>
        </w:rPr>
        <w:t xml:space="preserve">Som radiofarmaka är </w:t>
      </w:r>
      <w:r w:rsidRPr="00D553AB">
        <w:rPr>
          <w:rFonts w:eastAsia="Calibri"/>
          <w:vertAlign w:val="superscript"/>
          <w:lang w:eastAsia="en-US"/>
        </w:rPr>
        <w:t>99m</w:t>
      </w:r>
      <w:r w:rsidRPr="00D553AB">
        <w:rPr>
          <w:rFonts w:eastAsia="Calibri"/>
          <w:lang w:eastAsia="en-US"/>
        </w:rPr>
        <w:t xml:space="preserve">Tc-sestamibi mest använt. Sestamibi ackumuleras i både tyreoidea och i paratyreoideaadenom. Undersökningen bygger på principen att utvaskningen är långsammare från adenomet. Därför görs undersökningen vid 2 tillfällen: 15 minuter efter injektion och 120 minuter efter injektion. Planara eller SPECT-bilder kan tas men SPECT-CT insamling är att föredra </w:t>
      </w:r>
      <w:bookmarkStart w:id="2" w:name="_Hlk90540666"/>
      <w:r w:rsidRPr="00D553AB">
        <w:rPr>
          <w:rFonts w:eastAsia="Calibri"/>
          <w:lang w:eastAsia="en-US"/>
        </w:rPr>
        <w:t xml:space="preserve">för bättre visualisering av överaktiva paratyreoideor med normal eller ektopisk lokalisation. </w:t>
      </w:r>
      <w:bookmarkEnd w:id="2"/>
      <w:r w:rsidRPr="00D553AB">
        <w:rPr>
          <w:rFonts w:eastAsia="Calibri"/>
          <w:lang w:eastAsia="en-US"/>
        </w:rPr>
        <w:t xml:space="preserve">Genom att köra en SPECT-CT undersökning kan man också utesluta artefakter så som ökat upptag i en hyperaktiv thymus, patologiska lymfkörtlar eller i tyreoideanoduli. </w:t>
      </w:r>
      <w:bookmarkEnd w:id="1"/>
    </w:p>
    <w:p w14:paraId="624C98F4" w14:textId="77777777" w:rsidR="00D553AB" w:rsidRPr="003617DD" w:rsidRDefault="00D553AB" w:rsidP="003617DD">
      <w:pPr>
        <w:pStyle w:val="Rubrik2"/>
      </w:pPr>
      <w:r w:rsidRPr="003617DD">
        <w:t>Absoluta kontraindikationer</w:t>
      </w:r>
    </w:p>
    <w:p w14:paraId="7799B2C7" w14:textId="197E602B" w:rsidR="00D553AB" w:rsidRPr="001D3276" w:rsidRDefault="00D553AB" w:rsidP="001D3276">
      <w:pPr>
        <w:pStyle w:val="Punktlista"/>
        <w:rPr>
          <w:rFonts w:eastAsia="Calibri"/>
          <w:lang w:eastAsia="en-US"/>
        </w:rPr>
      </w:pPr>
      <w:r w:rsidRPr="00D553AB">
        <w:rPr>
          <w:rFonts w:eastAsia="Calibri"/>
          <w:lang w:eastAsia="en-US"/>
        </w:rPr>
        <w:t xml:space="preserve">Inga. </w:t>
      </w:r>
    </w:p>
    <w:p w14:paraId="5E6C80FD" w14:textId="77777777" w:rsidR="00D553AB" w:rsidRPr="003617DD" w:rsidRDefault="00D553AB" w:rsidP="003617DD">
      <w:pPr>
        <w:pStyle w:val="Rubrik2"/>
      </w:pPr>
      <w:r w:rsidRPr="003617DD">
        <w:t>Relativa kontraindikationer</w:t>
      </w:r>
    </w:p>
    <w:p w14:paraId="039D5E21" w14:textId="77777777" w:rsidR="00D553AB" w:rsidRPr="00D553AB" w:rsidRDefault="00D553AB" w:rsidP="000525C8">
      <w:pPr>
        <w:pStyle w:val="Punktlista"/>
        <w:rPr>
          <w:lang w:eastAsia="ar-SA"/>
        </w:rPr>
      </w:pPr>
      <w:r w:rsidRPr="00D553AB">
        <w:rPr>
          <w:lang w:eastAsia="ar-SA"/>
        </w:rPr>
        <w:t xml:space="preserve"> Patient som genomgått annan nuklearmedicinsk undersökning/behandling:</w:t>
      </w:r>
    </w:p>
    <w:p w14:paraId="4730C0E6" w14:textId="77777777" w:rsidR="00D553AB" w:rsidRPr="00D553AB" w:rsidRDefault="00D553AB" w:rsidP="000525C8">
      <w:pPr>
        <w:numPr>
          <w:ilvl w:val="2"/>
          <w:numId w:val="22"/>
        </w:numPr>
        <w:suppressAutoHyphens/>
        <w:overflowPunct w:val="0"/>
        <w:autoSpaceDE w:val="0"/>
        <w:spacing w:after="0" w:line="240" w:lineRule="auto"/>
        <w:ind w:right="0"/>
        <w:textAlignment w:val="baseline"/>
        <w:rPr>
          <w:lang w:eastAsia="ar-SA"/>
        </w:rPr>
      </w:pPr>
      <w:r w:rsidRPr="00D553AB">
        <w:rPr>
          <w:lang w:eastAsia="ar-SA"/>
        </w:rPr>
        <w:t xml:space="preserve">de senaste 7 dygnen för </w:t>
      </w:r>
      <w:r w:rsidRPr="00D553AB">
        <w:rPr>
          <w:vertAlign w:val="superscript"/>
          <w:lang w:eastAsia="ar-SA"/>
        </w:rPr>
        <w:t>111</w:t>
      </w:r>
      <w:r w:rsidRPr="00D553AB">
        <w:rPr>
          <w:lang w:eastAsia="ar-SA"/>
        </w:rPr>
        <w:t xml:space="preserve">In och </w:t>
      </w:r>
      <w:r w:rsidRPr="00D553AB">
        <w:rPr>
          <w:vertAlign w:val="superscript"/>
          <w:lang w:eastAsia="ar-SA"/>
        </w:rPr>
        <w:t>75</w:t>
      </w:r>
      <w:r w:rsidRPr="00D553AB">
        <w:rPr>
          <w:lang w:eastAsia="ar-SA"/>
        </w:rPr>
        <w:t>Se</w:t>
      </w:r>
    </w:p>
    <w:p w14:paraId="34651823" w14:textId="77777777" w:rsidR="00D553AB" w:rsidRPr="00D553AB" w:rsidRDefault="00D553AB" w:rsidP="000525C8">
      <w:pPr>
        <w:numPr>
          <w:ilvl w:val="2"/>
          <w:numId w:val="22"/>
        </w:numPr>
        <w:suppressAutoHyphens/>
        <w:overflowPunct w:val="0"/>
        <w:autoSpaceDE w:val="0"/>
        <w:spacing w:after="0" w:line="240" w:lineRule="auto"/>
        <w:ind w:right="0"/>
        <w:textAlignment w:val="baseline"/>
        <w:rPr>
          <w:lang w:eastAsia="ar-SA"/>
        </w:rPr>
      </w:pPr>
      <w:r w:rsidRPr="00D553AB">
        <w:rPr>
          <w:lang w:eastAsia="ar-SA"/>
        </w:rPr>
        <w:t xml:space="preserve">de senaste 2 dygnen för </w:t>
      </w:r>
      <w:r w:rsidRPr="00D553AB">
        <w:rPr>
          <w:vertAlign w:val="superscript"/>
          <w:lang w:eastAsia="ar-SA"/>
        </w:rPr>
        <w:t>99m</w:t>
      </w:r>
      <w:r w:rsidRPr="00D553AB">
        <w:rPr>
          <w:lang w:eastAsia="ar-SA"/>
        </w:rPr>
        <w:t>Tc.</w:t>
      </w:r>
    </w:p>
    <w:p w14:paraId="4F230055" w14:textId="362EB63C" w:rsidR="00D553AB" w:rsidRPr="00D553AB" w:rsidRDefault="00D553AB" w:rsidP="000525C8">
      <w:pPr>
        <w:numPr>
          <w:ilvl w:val="2"/>
          <w:numId w:val="22"/>
        </w:numPr>
        <w:suppressAutoHyphens/>
        <w:overflowPunct w:val="0"/>
        <w:autoSpaceDE w:val="0"/>
        <w:spacing w:after="0" w:line="240" w:lineRule="auto"/>
        <w:ind w:right="0"/>
        <w:textAlignment w:val="baseline"/>
        <w:rPr>
          <w:lang w:eastAsia="ar-SA"/>
        </w:rPr>
      </w:pPr>
      <w:r w:rsidRPr="00D553AB">
        <w:rPr>
          <w:lang w:eastAsia="ar-SA"/>
        </w:rPr>
        <w:t>För övriga nuklider, kontakta sjukhusfysiker.</w:t>
      </w:r>
    </w:p>
    <w:p w14:paraId="0CD0ACD3" w14:textId="77777777" w:rsidR="00D553AB" w:rsidRPr="003617DD" w:rsidRDefault="00D553AB" w:rsidP="003617DD">
      <w:pPr>
        <w:pStyle w:val="Rubrik2"/>
      </w:pPr>
      <w:r w:rsidRPr="003617DD">
        <w:lastRenderedPageBreak/>
        <w:t xml:space="preserve">Förberedelser </w:t>
      </w:r>
    </w:p>
    <w:p w14:paraId="3C82DC5D" w14:textId="77777777" w:rsidR="00D553AB" w:rsidRPr="00D553AB" w:rsidRDefault="00D553AB" w:rsidP="000525C8">
      <w:pPr>
        <w:rPr>
          <w:rFonts w:eastAsia="Calibri"/>
          <w:lang w:eastAsia="en-US"/>
        </w:rPr>
      </w:pPr>
      <w:r w:rsidRPr="00D553AB">
        <w:rPr>
          <w:rFonts w:eastAsia="Calibri"/>
          <w:lang w:eastAsia="en-US"/>
        </w:rPr>
        <w:t xml:space="preserve">Patienten ska ha ätit och druckit som vanligt före undersökningen. Receptbelagda aktiva D-vitaminanaloger (Paricalcitol, Zemplar) och kalcimimetika (Cinacalcet, Mimpara, Parsabiv) kan påverka </w:t>
      </w:r>
      <w:r w:rsidRPr="00D553AB">
        <w:rPr>
          <w:rFonts w:eastAsia="Calibri"/>
          <w:vertAlign w:val="superscript"/>
          <w:lang w:eastAsia="en-US"/>
        </w:rPr>
        <w:t>99m</w:t>
      </w:r>
      <w:r w:rsidRPr="00D553AB">
        <w:rPr>
          <w:rFonts w:eastAsia="Calibri"/>
          <w:lang w:eastAsia="en-US"/>
        </w:rPr>
        <w:t>Tc-sestamibiupptaget negativt varför dessa läkemedel bör utsättas14 dagar innan undersökning.</w:t>
      </w:r>
    </w:p>
    <w:p w14:paraId="32985903" w14:textId="135BB74F" w:rsidR="00D553AB" w:rsidRPr="000525C8" w:rsidRDefault="00D553AB" w:rsidP="000525C8">
      <w:pPr>
        <w:rPr>
          <w:rFonts w:eastAsia="Calibri"/>
          <w:lang w:eastAsia="en-US"/>
        </w:rPr>
      </w:pPr>
      <w:r w:rsidRPr="00D553AB">
        <w:rPr>
          <w:rFonts w:eastAsia="Calibri"/>
          <w:lang w:eastAsia="en-US"/>
        </w:rPr>
        <w:t>För inneliggande patienter önskas fungerande PVK.</w:t>
      </w:r>
    </w:p>
    <w:p w14:paraId="199B90C6" w14:textId="77777777" w:rsidR="00D553AB" w:rsidRPr="003617DD" w:rsidRDefault="00D553AB" w:rsidP="000525C8">
      <w:pPr>
        <w:spacing w:after="0" w:line="240" w:lineRule="auto"/>
        <w:ind w:left="0" w:right="0" w:firstLine="992"/>
        <w:outlineLvl w:val="1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 w:rsidRPr="003617DD"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  <w:t>Utförande</w:t>
      </w:r>
    </w:p>
    <w:p w14:paraId="1D8B87E2" w14:textId="5BAF8383" w:rsidR="003617DD" w:rsidRDefault="00D553AB" w:rsidP="000525C8">
      <w:pPr>
        <w:rPr>
          <w:color w:val="000000"/>
        </w:rPr>
      </w:pPr>
      <w:r w:rsidRPr="00D553AB">
        <w:t xml:space="preserve">Vi ger ett radioaktivt läkemedel i en ven i en arm. Efter cirka 15 minuter får patienten ligga under en gammakamera i cirka 25 minuter. Efter cirka 2 timmar gör vi en ny bildtagning. </w:t>
      </w:r>
      <w:r w:rsidRPr="00D553AB">
        <w:rPr>
          <w:color w:val="000000"/>
        </w:rPr>
        <w:t>När patienten ligger under kameran får patienten inte ha smycken, piercing, hårspännen/snoddar eller kläder som täcker halsregionen.</w:t>
      </w:r>
    </w:p>
    <w:p w14:paraId="7B665200" w14:textId="49301041" w:rsidR="000525C8" w:rsidRDefault="000525C8" w:rsidP="000525C8">
      <w:pPr>
        <w:pStyle w:val="Rubrik2"/>
      </w:pPr>
      <w:r>
        <w:t>Stråldos</w:t>
      </w:r>
    </w:p>
    <w:p w14:paraId="4FE66CF6" w14:textId="6C7334D6" w:rsidR="000525C8" w:rsidRDefault="000525C8" w:rsidP="000525C8">
      <w:r>
        <w:t>Nyttan med undersökningen ska vägas mot bland annat str</w:t>
      </w:r>
      <w:r w:rsidRPr="004E5351">
        <w:t>ålningsrisken</w:t>
      </w:r>
      <w:r>
        <w:t xml:space="preserve"> innan </w:t>
      </w:r>
      <w:r w:rsidRPr="004E5351">
        <w:t>remittering</w:t>
      </w:r>
      <w:r w:rsidR="005C5238" w:rsidRPr="004E5351">
        <w:t>.</w:t>
      </w:r>
    </w:p>
    <w:p w14:paraId="298C867F" w14:textId="3CC9B8F8" w:rsidR="005C5238" w:rsidRPr="001D3276" w:rsidRDefault="004E5351" w:rsidP="004E5351">
      <w:pPr>
        <w:rPr>
          <w:rStyle w:val="Hyperlnk"/>
          <w:color w:val="0000FF"/>
          <w:szCs w:val="20"/>
        </w:rPr>
      </w:pPr>
      <w:r w:rsidRPr="004E5351">
        <w:t>Paratyreo</w:t>
      </w:r>
      <w:r w:rsidRPr="004E5351">
        <w:t>idea-skintigrafi inklusive datortomografi för attenueringskorrektion och lokalisation är en dosklass 3-undersökning, se</w:t>
      </w:r>
      <w:r w:rsidRPr="004E5351">
        <w:t>:</w:t>
      </w:r>
      <w:r w:rsidRPr="004E5351">
        <w:t xml:space="preserve"> </w:t>
      </w:r>
      <w:hyperlink r:id="rId17" w:tgtFrame="_blank" w:history="1">
        <w:r w:rsidRPr="00215308">
          <w:rPr>
            <w:rStyle w:val="Hyperlnk"/>
            <w:color w:val="0000FF"/>
            <w:szCs w:val="20"/>
          </w:rPr>
          <w:t>Information om stråldoser vid nu</w:t>
        </w:r>
        <w:r w:rsidRPr="00215308">
          <w:rPr>
            <w:rStyle w:val="Hyperlnk"/>
            <w:color w:val="0000FF"/>
            <w:szCs w:val="20"/>
          </w:rPr>
          <w:t>k</w:t>
        </w:r>
        <w:r w:rsidRPr="00215308">
          <w:rPr>
            <w:rStyle w:val="Hyperlnk"/>
            <w:color w:val="0000FF"/>
            <w:szCs w:val="20"/>
          </w:rPr>
          <w:t>learmedicinsk undersökning.</w:t>
        </w:r>
      </w:hyperlink>
      <w:r w:rsidRPr="001D3276">
        <w:rPr>
          <w:rStyle w:val="Hyperlnk"/>
          <w:color w:val="0000FF"/>
          <w:szCs w:val="20"/>
        </w:rPr>
        <w:t> </w:t>
      </w:r>
    </w:p>
    <w:p w14:paraId="57109340" w14:textId="77777777" w:rsidR="00D553AB" w:rsidRPr="00D553AB" w:rsidRDefault="00D553AB" w:rsidP="000525C8">
      <w:pPr>
        <w:pStyle w:val="Rubrik3"/>
      </w:pPr>
      <w:bookmarkStart w:id="3" w:name="_Toc256000234"/>
      <w:bookmarkStart w:id="4" w:name="_Toc256000202"/>
      <w:bookmarkStart w:id="5" w:name="_Toc256000171"/>
      <w:bookmarkStart w:id="6" w:name="_Toc256000139"/>
      <w:bookmarkStart w:id="7" w:name="_Toc256000107"/>
      <w:bookmarkStart w:id="8" w:name="_Toc256000075"/>
      <w:bookmarkStart w:id="9" w:name="_Toc256000048"/>
      <w:bookmarkStart w:id="10" w:name="_Toc256000007"/>
      <w:bookmarkStart w:id="11" w:name="_Toc22120032"/>
      <w:bookmarkStart w:id="12" w:name="_Toc57182372"/>
      <w:bookmarkStart w:id="13" w:name="_Toc62727719"/>
      <w:bookmarkStart w:id="14" w:name="_Toc22120033"/>
      <w:bookmarkStart w:id="15" w:name="_Toc256000235"/>
      <w:bookmarkStart w:id="16" w:name="_Toc256000203"/>
      <w:bookmarkStart w:id="17" w:name="_Toc256000172"/>
      <w:bookmarkStart w:id="18" w:name="_Toc256000140"/>
      <w:bookmarkStart w:id="19" w:name="_Toc256000108"/>
      <w:bookmarkStart w:id="20" w:name="_Toc256000076"/>
      <w:bookmarkStart w:id="21" w:name="_Toc256000049"/>
      <w:bookmarkStart w:id="22" w:name="_Toc256000008"/>
      <w:bookmarkStart w:id="23" w:name="_Toc57182373"/>
      <w:bookmarkStart w:id="24" w:name="_Toc62727720"/>
      <w:r w:rsidRPr="00D553AB">
        <w:t>Barn/Unga</w:t>
      </w:r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r w:rsidRPr="00D553AB">
        <w:t xml:space="preserve"> </w:t>
      </w:r>
    </w:p>
    <w:p w14:paraId="0C933B83" w14:textId="28201489" w:rsidR="00D553AB" w:rsidRPr="000525C8" w:rsidRDefault="00D553AB" w:rsidP="000525C8">
      <w:r w:rsidRPr="00D553AB">
        <w:t>Undersökningar på barn (&lt;18 år) hänvisas till Drottning Silvias Barn och Ungdomssjukhus.</w:t>
      </w:r>
    </w:p>
    <w:p w14:paraId="075ED980" w14:textId="77777777" w:rsidR="00D553AB" w:rsidRPr="00D553AB" w:rsidRDefault="00D553AB" w:rsidP="000525C8">
      <w:pPr>
        <w:pStyle w:val="Rubrik3"/>
        <w:rPr>
          <w:szCs w:val="22"/>
        </w:rPr>
      </w:pPr>
      <w:r w:rsidRPr="00D553AB">
        <w:t>Graviditet</w:t>
      </w:r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r w:rsidRPr="00D553AB">
        <w:rPr>
          <w:szCs w:val="22"/>
        </w:rPr>
        <w:t xml:space="preserve"> </w:t>
      </w:r>
    </w:p>
    <w:p w14:paraId="665657F3" w14:textId="6A436489" w:rsidR="00D553AB" w:rsidRPr="000525C8" w:rsidRDefault="00D553AB" w:rsidP="000525C8">
      <w:r w:rsidRPr="00D553AB">
        <w:t xml:space="preserve">Särskild berättigandebedömning ska genomföras för gravida patienter och undersökningen ska om möjligt skjutas upp till efter födseln alternativt senare i graviditeten då den förväntade stråldosen till fostret är lägre. Medelabsorberad stråldos till fostret är ca 4 mGy. </w:t>
      </w:r>
    </w:p>
    <w:p w14:paraId="1978F1ED" w14:textId="77777777" w:rsidR="00D553AB" w:rsidRPr="00D553AB" w:rsidRDefault="00D553AB" w:rsidP="000525C8">
      <w:pPr>
        <w:pStyle w:val="Rubrik3"/>
      </w:pPr>
      <w:bookmarkStart w:id="25" w:name="_Toc256000236"/>
      <w:bookmarkStart w:id="26" w:name="_Toc256000204"/>
      <w:bookmarkStart w:id="27" w:name="_Toc256000173"/>
      <w:bookmarkStart w:id="28" w:name="_Toc256000141"/>
      <w:bookmarkStart w:id="29" w:name="_Toc256000109"/>
      <w:bookmarkStart w:id="30" w:name="_Toc256000077"/>
      <w:bookmarkStart w:id="31" w:name="_Toc256000050"/>
      <w:bookmarkStart w:id="32" w:name="_Toc256000009"/>
      <w:bookmarkStart w:id="33" w:name="_Toc22120034"/>
      <w:bookmarkStart w:id="34" w:name="_Toc57182374"/>
      <w:bookmarkStart w:id="35" w:name="_Toc62727721"/>
      <w:r w:rsidRPr="00D553AB">
        <w:t>Amning</w:t>
      </w:r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r w:rsidRPr="00D553AB">
        <w:t xml:space="preserve"> </w:t>
      </w:r>
    </w:p>
    <w:p w14:paraId="4FE5D31C" w14:textId="07FA2B1C" w:rsidR="00D553AB" w:rsidRPr="00D553AB" w:rsidRDefault="00D553AB" w:rsidP="000525C8">
      <w:r w:rsidRPr="00D553AB">
        <w:t xml:space="preserve">Patienten rekommenderas att amma/pumpa </w:t>
      </w:r>
      <w:r w:rsidR="000525C8" w:rsidRPr="00D553AB">
        <w:t>1–2</w:t>
      </w:r>
      <w:r w:rsidRPr="00D553AB">
        <w:t xml:space="preserve"> timmar innan injektion. Inget amningsuppehåll krävs, men som en extra säkerhetsåtgärd ska det första målet efter undersökningen kastas. </w:t>
      </w:r>
    </w:p>
    <w:p w14:paraId="3EE0B3FC" w14:textId="77777777" w:rsidR="00D553AB" w:rsidRPr="00D553AB" w:rsidRDefault="00D553AB" w:rsidP="00D553AB">
      <w:pPr>
        <w:tabs>
          <w:tab w:val="left" w:pos="3969"/>
          <w:tab w:val="left" w:pos="5103"/>
          <w:tab w:val="left" w:pos="7938"/>
          <w:tab w:val="left" w:pos="8505"/>
        </w:tabs>
        <w:spacing w:after="0" w:line="240" w:lineRule="auto"/>
        <w:ind w:left="0" w:right="50"/>
        <w:rPr>
          <w:color w:val="000000"/>
        </w:rPr>
      </w:pPr>
    </w:p>
    <w:p w14:paraId="4D65AA14" w14:textId="77777777" w:rsidR="00D553AB" w:rsidRPr="00D553AB" w:rsidRDefault="00D553AB" w:rsidP="000525C8">
      <w:pPr>
        <w:pStyle w:val="Rubrik3"/>
      </w:pPr>
      <w:r w:rsidRPr="00D553AB">
        <w:t>Kontaktrestriktion</w:t>
      </w:r>
    </w:p>
    <w:p w14:paraId="76C4254B" w14:textId="5A206FB2" w:rsidR="00D553AB" w:rsidRPr="000525C8" w:rsidRDefault="00D553AB" w:rsidP="000525C8">
      <w:pPr>
        <w:rPr>
          <w:rFonts w:eastAsia="Calibri"/>
          <w:lang w:eastAsia="en-US"/>
        </w:rPr>
      </w:pPr>
      <w:r w:rsidRPr="00D553AB">
        <w:rPr>
          <w:rFonts w:eastAsia="Calibri"/>
          <w:lang w:eastAsia="en-US"/>
        </w:rPr>
        <w:t>Patienten ska undvika kontakt närmre än 1 meter med barn under 3 år och gravida de närmaste 6 timmarna efter injektion. Patienten ska även undvika att sova i samma säng som barn under 18 år och gravida första natten efter undersökningen.</w:t>
      </w:r>
    </w:p>
    <w:p w14:paraId="5DD798F1" w14:textId="77777777" w:rsidR="00D553AB" w:rsidRPr="00D553AB" w:rsidRDefault="00D553AB" w:rsidP="000525C8">
      <w:pPr>
        <w:pStyle w:val="Rubrik2"/>
      </w:pPr>
      <w:r w:rsidRPr="00D553AB">
        <w:lastRenderedPageBreak/>
        <w:t xml:space="preserve">Upplysningar på remiss </w:t>
      </w:r>
    </w:p>
    <w:p w14:paraId="33134891" w14:textId="77777777" w:rsidR="00D553AB" w:rsidRPr="00D553AB" w:rsidRDefault="00D553AB" w:rsidP="000525C8">
      <w:pPr>
        <w:pStyle w:val="Punktlista"/>
      </w:pPr>
      <w:r w:rsidRPr="00D553AB">
        <w:t>Kort anamnes, aktuell medicinering och frågeställning.</w:t>
      </w:r>
    </w:p>
    <w:p w14:paraId="05D3B58D" w14:textId="77777777" w:rsidR="00D553AB" w:rsidRPr="00D553AB" w:rsidRDefault="00D553AB" w:rsidP="000525C8">
      <w:pPr>
        <w:pStyle w:val="Punktlista"/>
      </w:pPr>
      <w:r w:rsidRPr="00D553AB">
        <w:t xml:space="preserve">Bakomliggande sjukdomar. </w:t>
      </w:r>
    </w:p>
    <w:p w14:paraId="25E891A7" w14:textId="77777777" w:rsidR="00D553AB" w:rsidRPr="00D553AB" w:rsidRDefault="00D553AB" w:rsidP="000525C8">
      <w:pPr>
        <w:pStyle w:val="Punktlista"/>
      </w:pPr>
      <w:r w:rsidRPr="00D553AB">
        <w:t xml:space="preserve">Eventuella operationer med datum. </w:t>
      </w:r>
    </w:p>
    <w:p w14:paraId="3CA9E752" w14:textId="5E1A12C4" w:rsidR="00D553AB" w:rsidRPr="000525C8" w:rsidRDefault="00D553AB" w:rsidP="000525C8">
      <w:pPr>
        <w:pStyle w:val="Punktlista"/>
        <w:rPr>
          <w:rFonts w:eastAsia="Calibri"/>
          <w:color w:val="000000"/>
        </w:rPr>
      </w:pPr>
      <w:r w:rsidRPr="00D553AB">
        <w:rPr>
          <w:rFonts w:eastAsia="Calibri"/>
          <w:color w:val="000000"/>
        </w:rPr>
        <w:t xml:space="preserve">Ingen behandling med D-vitaminanaloger (Paricalcitol, Zemplar) eller </w:t>
      </w:r>
      <w:r w:rsidRPr="00D553AB">
        <w:rPr>
          <w:rFonts w:eastAsia="Calibri"/>
          <w:color w:val="000000"/>
          <w:lang w:eastAsia="en-US"/>
        </w:rPr>
        <w:t>kalcimimetika</w:t>
      </w:r>
      <w:r w:rsidRPr="00D553AB">
        <w:t xml:space="preserve"> </w:t>
      </w:r>
      <w:r w:rsidRPr="00D553AB">
        <w:rPr>
          <w:rFonts w:eastAsia="Calibri"/>
          <w:color w:val="000000"/>
        </w:rPr>
        <w:t>(Cinacalcet, Mimpara, Parsabiv) de senaste 14 dagarna.</w:t>
      </w:r>
    </w:p>
    <w:p w14:paraId="5D1C1525" w14:textId="77777777" w:rsidR="00D553AB" w:rsidRPr="00D553AB" w:rsidRDefault="00D553AB" w:rsidP="000525C8">
      <w:pPr>
        <w:pStyle w:val="Rubrik2"/>
      </w:pPr>
      <w:r w:rsidRPr="00D553AB">
        <w:t>Undersökningstid</w:t>
      </w:r>
    </w:p>
    <w:p w14:paraId="76B9F95B" w14:textId="38C07086" w:rsidR="00536A5A" w:rsidRPr="00536A5A" w:rsidRDefault="00D553AB" w:rsidP="000525C8">
      <w:r w:rsidRPr="00D553AB">
        <w:t xml:space="preserve">Totalt cirka 4 timmar. </w:t>
      </w:r>
      <w:bookmarkEnd w:id="0"/>
    </w:p>
    <w:sectPr w:rsidR="00536A5A" w:rsidRPr="00536A5A" w:rsidSect="0008773B">
      <w:type w:val="continuous"/>
      <w:pgSz w:w="11900" w:h="16840"/>
      <w:pgMar w:top="1418" w:right="1127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4E0943" w14:textId="77777777" w:rsidR="003D2367" w:rsidRDefault="003D2367">
      <w:r>
        <w:separator/>
      </w:r>
    </w:p>
  </w:endnote>
  <w:endnote w:type="continuationSeparator" w:id="0">
    <w:p w14:paraId="08ADE0D1" w14:textId="77777777" w:rsidR="003D2367" w:rsidRDefault="003D2367">
      <w:r>
        <w:continuationSeparator/>
      </w:r>
    </w:p>
  </w:endnote>
  <w:endnote w:type="continuationNotice" w:id="1">
    <w:p w14:paraId="549CD0FB" w14:textId="77777777" w:rsidR="003D2367" w:rsidRDefault="003D236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C565CE" w14:textId="77777777" w:rsidR="003D2367" w:rsidRDefault="003D2367"/>
  </w:footnote>
  <w:footnote w:type="continuationSeparator" w:id="0">
    <w:p w14:paraId="2D8597D1" w14:textId="77777777" w:rsidR="003D2367" w:rsidRDefault="003D2367">
      <w:r>
        <w:continuationSeparator/>
      </w:r>
    </w:p>
  </w:footnote>
  <w:footnote w:type="continuationNotice" w:id="1">
    <w:p w14:paraId="0D167FFC" w14:textId="77777777" w:rsidR="003D2367" w:rsidRDefault="003D236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734DAB65" w:rsidR="008A4EB9" w:rsidRDefault="003617DD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9785161">
              <wp:simplePos x="0" y="0"/>
              <wp:positionH relativeFrom="column">
                <wp:posOffset>-283873</wp:posOffset>
              </wp:positionH>
              <wp:positionV relativeFrom="paragraph">
                <wp:posOffset>189037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465CE317" w:rsidR="00413A60" w:rsidRPr="003617DD" w:rsidRDefault="003617DD">
                          <w:pPr>
                            <w:ind w:left="0"/>
                            <w:rPr>
                              <w:rFonts w:asciiTheme="majorHAnsi" w:hAnsiTheme="majorHAnsi" w:cstheme="majorHAnsi"/>
                              <w:b/>
                              <w:bCs/>
                              <w:sz w:val="36"/>
                              <w:szCs w:val="36"/>
                            </w:rPr>
                          </w:pPr>
                          <w:r w:rsidRPr="003617DD">
                            <w:rPr>
                              <w:rFonts w:asciiTheme="majorHAnsi" w:hAnsiTheme="majorHAnsi" w:cstheme="majorHAnsi"/>
                              <w:b/>
                              <w:bCs/>
                              <w:sz w:val="28"/>
                              <w:szCs w:val="28"/>
                            </w:rPr>
                            <w:t>Remittentinformation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22.35pt;margin-top:14.9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JjAr33iAAAACQEAAA8AAAAAAAAAAAAAAAAAcQQAAGRycy9kb3ducmV2LnhtbFBL&#10;BQYAAAAABAAEAPMAAACABQAAAAA=&#10;" filled="f" stroked="f" strokeweight=".5pt">
              <v:textbox>
                <w:txbxContent>
                  <w:p w14:paraId="72D45401" w14:textId="465CE317" w:rsidR="00413A60" w:rsidRPr="003617DD" w:rsidRDefault="003617DD">
                    <w:pPr>
                      <w:ind w:left="0"/>
                      <w:rPr>
                        <w:rFonts w:asciiTheme="majorHAnsi" w:hAnsiTheme="majorHAnsi" w:cstheme="majorHAnsi"/>
                        <w:b/>
                        <w:bCs/>
                        <w:sz w:val="36"/>
                        <w:szCs w:val="36"/>
                      </w:rPr>
                    </w:pPr>
                    <w:r w:rsidRPr="003617DD">
                      <w:rPr>
                        <w:rFonts w:asciiTheme="majorHAnsi" w:hAnsiTheme="majorHAnsi" w:cstheme="majorHAnsi"/>
                        <w:b/>
                        <w:bCs/>
                        <w:sz w:val="28"/>
                        <w:szCs w:val="28"/>
                      </w:rPr>
                      <w:t>Remittentinformation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6B8F7862">
          <wp:simplePos x="0" y="0"/>
          <wp:positionH relativeFrom="page">
            <wp:posOffset>-173686</wp:posOffset>
          </wp:positionH>
          <wp:positionV relativeFrom="paragraph">
            <wp:posOffset>252260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69F24E5"/>
    <w:multiLevelType w:val="hybridMultilevel"/>
    <w:tmpl w:val="049C453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-"/>
      <w:lvlJc w:val="left"/>
      <w:pPr>
        <w:ind w:left="1440" w:hanging="360"/>
      </w:pPr>
      <w:rPr>
        <w:rFonts w:ascii="Courier New" w:hAnsi="Courier New" w:hint="default"/>
      </w:rPr>
    </w:lvl>
    <w:lvl w:ilvl="2" w:tplc="041D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5A429C2"/>
    <w:multiLevelType w:val="hybridMultilevel"/>
    <w:tmpl w:val="51F0E0E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666CBC"/>
    <w:multiLevelType w:val="hybridMultilevel"/>
    <w:tmpl w:val="DF98616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-"/>
      <w:lvlJc w:val="left"/>
      <w:pPr>
        <w:ind w:left="1440" w:hanging="360"/>
      </w:pPr>
      <w:rPr>
        <w:rFonts w:ascii="Courier New" w:hAnsi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694966046">
    <w:abstractNumId w:val="20"/>
  </w:num>
  <w:num w:numId="2" w16cid:durableId="1872768347">
    <w:abstractNumId w:val="16"/>
  </w:num>
  <w:num w:numId="3" w16cid:durableId="1978293874">
    <w:abstractNumId w:val="0"/>
  </w:num>
  <w:num w:numId="4" w16cid:durableId="1084718652">
    <w:abstractNumId w:val="6"/>
  </w:num>
  <w:num w:numId="5" w16cid:durableId="522718003">
    <w:abstractNumId w:val="17"/>
  </w:num>
  <w:num w:numId="6" w16cid:durableId="1553612128">
    <w:abstractNumId w:val="2"/>
  </w:num>
  <w:num w:numId="7" w16cid:durableId="207257487">
    <w:abstractNumId w:val="12"/>
  </w:num>
  <w:num w:numId="8" w16cid:durableId="1069034941">
    <w:abstractNumId w:val="9"/>
  </w:num>
  <w:num w:numId="9" w16cid:durableId="895357934">
    <w:abstractNumId w:val="1"/>
  </w:num>
  <w:num w:numId="10" w16cid:durableId="1498687639">
    <w:abstractNumId w:val="1"/>
  </w:num>
  <w:num w:numId="11" w16cid:durableId="1473254635">
    <w:abstractNumId w:val="3"/>
  </w:num>
  <w:num w:numId="12" w16cid:durableId="1854880906">
    <w:abstractNumId w:val="4"/>
  </w:num>
  <w:num w:numId="13" w16cid:durableId="42415029">
    <w:abstractNumId w:val="14"/>
  </w:num>
  <w:num w:numId="14" w16cid:durableId="389235800">
    <w:abstractNumId w:val="10"/>
  </w:num>
  <w:num w:numId="15" w16cid:durableId="1777208295">
    <w:abstractNumId w:val="7"/>
  </w:num>
  <w:num w:numId="16" w16cid:durableId="2057463622">
    <w:abstractNumId w:val="13"/>
  </w:num>
  <w:num w:numId="17" w16cid:durableId="835463675">
    <w:abstractNumId w:val="5"/>
  </w:num>
  <w:num w:numId="18" w16cid:durableId="1382288805">
    <w:abstractNumId w:val="11"/>
  </w:num>
  <w:num w:numId="19" w16cid:durableId="160969727">
    <w:abstractNumId w:val="18"/>
  </w:num>
  <w:num w:numId="20" w16cid:durableId="362439579">
    <w:abstractNumId w:val="19"/>
  </w:num>
  <w:num w:numId="21" w16cid:durableId="1868787895">
    <w:abstractNumId w:val="15"/>
  </w:num>
  <w:num w:numId="22" w16cid:durableId="77386293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25C8"/>
    <w:rsid w:val="0005691C"/>
    <w:rsid w:val="00056ECB"/>
    <w:rsid w:val="00056ED5"/>
    <w:rsid w:val="000655CC"/>
    <w:rsid w:val="000700AE"/>
    <w:rsid w:val="00084024"/>
    <w:rsid w:val="0008773B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D3276"/>
    <w:rsid w:val="00211487"/>
    <w:rsid w:val="00211D91"/>
    <w:rsid w:val="00215308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17D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367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E5351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C5238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553AB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normaltextrun">
    <w:name w:val="normaltextrun"/>
    <w:basedOn w:val="Standardstycketeckensnitt"/>
    <w:rsid w:val="004E5351"/>
  </w:style>
  <w:style w:type="character" w:customStyle="1" w:styleId="eop">
    <w:name w:val="eop"/>
    <w:basedOn w:val="Standardstycketeckensnitt"/>
    <w:rsid w:val="004E5351"/>
  </w:style>
  <w:style w:type="character" w:styleId="AnvndHyperlnk">
    <w:name w:val="FollowedHyperlink"/>
    <w:basedOn w:val="Standardstycketeckensnitt"/>
    <w:uiPriority w:val="99"/>
    <w:semiHidden/>
    <w:unhideWhenUsed/>
    <w:rsid w:val="00215308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8758-438627519-1619/surrogate/Information%20om%20str%C3%A5ldoser%20vid%20Nuklearmedicinska%20unders%C3%B6kningar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13</TotalTime>
  <Pages>3</Pages>
  <Words>575</Words>
  <Characters>3052</Characters>
  <Application>Microsoft Office Word</Application>
  <DocSecurity>0</DocSecurity>
  <Lines>25</Lines>
  <Paragraphs>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3620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Bisköldkörtelskintigrafi</dc:title>
  <dc:subject/>
  <dc:creator>patrik.jens.johansson@vgregion.se</dc:creator>
  <keywords/>
  <lastModifiedBy>Ulrica Sehlberg</lastModifiedBy>
  <revision>9</revision>
  <lastPrinted>2016-03-31T10:56:00.0000000Z</lastPrinted>
  <dcterms:created xsi:type="dcterms:W3CDTF">2022-05-18T11:33:00.0000000Z</dcterms:created>
  <dcterms:modified xsi:type="dcterms:W3CDTF">2023-12-20T13:27:00.0000000Z</dcterms:modified>
</coreProperties>
</file>