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98995D" w14:textId="7805C3F9" w:rsidR="35EF26EF" w:rsidRDefault="35EF26EF" w:rsidP="35EF26EF">
      <w:pPr>
        <w:ind w:left="0"/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3A6E07" w:rsidRPr="00A5371D" w14:paraId="49000492" w14:textId="77777777" w:rsidTr="00F212B7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1A4AF75A" w14:textId="794A0E3D" w:rsidR="003A6E07" w:rsidRPr="0013040E" w:rsidRDefault="003A6E07" w:rsidP="0013040E">
            <w:pPr>
              <w:pStyle w:val="Rubrik1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PM </w:t>
            </w:r>
            <w:proofErr w:type="spellStart"/>
            <w:r>
              <w:rPr>
                <w:rFonts w:asciiTheme="minorHAnsi" w:hAnsiTheme="minorHAnsi" w:cstheme="minorHAnsi"/>
              </w:rPr>
              <w:t>Apalutamid</w:t>
            </w:r>
            <w:proofErr w:type="spellEnd"/>
            <w:r>
              <w:rPr>
                <w:rFonts w:asciiTheme="minorHAnsi" w:hAnsiTheme="minorHAnsi" w:cstheme="minorHAnsi"/>
              </w:rPr>
              <w:t xml:space="preserve">, </w:t>
            </w:r>
            <w:proofErr w:type="spellStart"/>
            <w:r>
              <w:rPr>
                <w:rFonts w:asciiTheme="minorHAnsi" w:hAnsiTheme="minorHAnsi" w:cstheme="minorHAnsi"/>
              </w:rPr>
              <w:t>Darolutamide</w:t>
            </w:r>
            <w:proofErr w:type="spellEnd"/>
            <w:r>
              <w:rPr>
                <w:rFonts w:asciiTheme="minorHAnsi" w:hAnsiTheme="minorHAnsi" w:cstheme="minorHAnsi"/>
              </w:rPr>
              <w:t xml:space="preserve"> och </w:t>
            </w:r>
            <w:proofErr w:type="spellStart"/>
            <w:r>
              <w:rPr>
                <w:rFonts w:asciiTheme="minorHAnsi" w:hAnsiTheme="minorHAnsi" w:cstheme="minorHAnsi"/>
              </w:rPr>
              <w:t>Enzalutamid</w:t>
            </w:r>
            <w:proofErr w:type="spellEnd"/>
            <w:r>
              <w:rPr>
                <w:rFonts w:asciiTheme="minorHAnsi" w:hAnsiTheme="minorHAnsi" w:cstheme="minorHAnsi"/>
              </w:rPr>
              <w:t xml:space="preserve"> vid icke-</w:t>
            </w:r>
            <w:proofErr w:type="spellStart"/>
            <w:r>
              <w:rPr>
                <w:rFonts w:asciiTheme="minorHAnsi" w:hAnsiTheme="minorHAnsi" w:cstheme="minorHAnsi"/>
              </w:rPr>
              <w:t>metastaserad</w:t>
            </w:r>
            <w:proofErr w:type="spellEnd"/>
            <w:r>
              <w:rPr>
                <w:rFonts w:asciiTheme="minorHAnsi" w:hAnsiTheme="minorHAnsi" w:cstheme="minorHAnsi"/>
              </w:rPr>
              <w:t xml:space="preserve"> CRPC</w:t>
            </w:r>
          </w:p>
        </w:tc>
      </w:tr>
    </w:tbl>
    <w:p w14:paraId="20BC3CD1" w14:textId="77777777" w:rsidR="003A6E07" w:rsidRPr="00A5371D" w:rsidRDefault="003A6E07" w:rsidP="003A6E07">
      <w:pPr>
        <w:rPr>
          <w:rFonts w:asciiTheme="minorHAnsi" w:hAnsiTheme="minorHAnsi" w:cstheme="minorHAnsi"/>
        </w:rPr>
      </w:pPr>
      <w:bookmarkStart w:id="0" w:name="_Toc501440348"/>
    </w:p>
    <w:bookmarkEnd w:id="0"/>
    <w:p w14:paraId="057EEEB9" w14:textId="2260ABD0" w:rsidR="0013040E" w:rsidRPr="0013040E" w:rsidRDefault="0013040E" w:rsidP="0013040E">
      <w:pPr>
        <w:pStyle w:val="Rubrik2"/>
        <w:rPr>
          <w:rFonts w:asciiTheme="minorHAnsi" w:hAnsiTheme="minorHAnsi" w:cstheme="minorHAnsi"/>
          <w:b/>
          <w:bCs w:val="0"/>
          <w:sz w:val="32"/>
          <w:szCs w:val="32"/>
        </w:rPr>
      </w:pPr>
      <w:r w:rsidRPr="0013040E">
        <w:rPr>
          <w:rFonts w:asciiTheme="minorHAnsi" w:hAnsiTheme="minorHAnsi" w:cstheme="minorHAnsi"/>
          <w:sz w:val="32"/>
          <w:szCs w:val="32"/>
        </w:rPr>
        <w:t>Indikation</w:t>
      </w:r>
    </w:p>
    <w:p w14:paraId="7198F3FD" w14:textId="77777777" w:rsidR="0013040E" w:rsidRPr="0013040E" w:rsidRDefault="0013040E" w:rsidP="0013040E">
      <w:pPr>
        <w:pStyle w:val="Liststycke"/>
        <w:numPr>
          <w:ilvl w:val="0"/>
          <w:numId w:val="20"/>
        </w:numPr>
        <w:spacing w:after="0" w:line="240" w:lineRule="auto"/>
        <w:ind w:right="0"/>
        <w:rPr>
          <w:rFonts w:asciiTheme="majorHAnsi" w:hAnsiTheme="majorHAnsi" w:cstheme="majorHAnsi"/>
        </w:rPr>
      </w:pPr>
      <w:r w:rsidRPr="0013040E">
        <w:rPr>
          <w:rFonts w:asciiTheme="majorHAnsi" w:hAnsiTheme="majorHAnsi" w:cstheme="majorHAnsi"/>
        </w:rPr>
        <w:t>Icke-</w:t>
      </w:r>
      <w:proofErr w:type="spellStart"/>
      <w:r w:rsidRPr="0013040E">
        <w:rPr>
          <w:rFonts w:asciiTheme="majorHAnsi" w:hAnsiTheme="majorHAnsi" w:cstheme="majorHAnsi"/>
        </w:rPr>
        <w:t>metastaserad</w:t>
      </w:r>
      <w:proofErr w:type="spellEnd"/>
      <w:r w:rsidRPr="0013040E">
        <w:rPr>
          <w:rFonts w:asciiTheme="majorHAnsi" w:hAnsiTheme="majorHAnsi" w:cstheme="majorHAnsi"/>
        </w:rPr>
        <w:t xml:space="preserve"> CRPC (</w:t>
      </w:r>
      <w:proofErr w:type="spellStart"/>
      <w:r w:rsidRPr="0013040E">
        <w:rPr>
          <w:rFonts w:asciiTheme="majorHAnsi" w:hAnsiTheme="majorHAnsi" w:cstheme="majorHAnsi"/>
        </w:rPr>
        <w:t>nmCRPC</w:t>
      </w:r>
      <w:proofErr w:type="spellEnd"/>
      <w:r w:rsidRPr="0013040E">
        <w:rPr>
          <w:rFonts w:asciiTheme="majorHAnsi" w:hAnsiTheme="majorHAnsi" w:cstheme="majorHAnsi"/>
        </w:rPr>
        <w:t xml:space="preserve">). ECOG </w:t>
      </w:r>
      <w:proofErr w:type="gramStart"/>
      <w:r w:rsidRPr="0013040E">
        <w:rPr>
          <w:rFonts w:asciiTheme="majorHAnsi" w:hAnsiTheme="majorHAnsi" w:cstheme="majorHAnsi"/>
        </w:rPr>
        <w:t>0-1</w:t>
      </w:r>
      <w:proofErr w:type="gramEnd"/>
      <w:r w:rsidRPr="0013040E">
        <w:rPr>
          <w:rFonts w:asciiTheme="majorHAnsi" w:hAnsiTheme="majorHAnsi" w:cstheme="majorHAnsi"/>
        </w:rPr>
        <w:t>.</w:t>
      </w:r>
    </w:p>
    <w:p w14:paraId="13D52760" w14:textId="77777777" w:rsidR="0013040E" w:rsidRPr="0013040E" w:rsidRDefault="0013040E" w:rsidP="0013040E">
      <w:pPr>
        <w:pStyle w:val="Liststycke"/>
        <w:numPr>
          <w:ilvl w:val="0"/>
          <w:numId w:val="20"/>
        </w:numPr>
        <w:spacing w:after="0" w:line="240" w:lineRule="auto"/>
        <w:ind w:right="0"/>
        <w:rPr>
          <w:rFonts w:asciiTheme="majorHAnsi" w:hAnsiTheme="majorHAnsi" w:cstheme="majorHAnsi"/>
        </w:rPr>
      </w:pPr>
      <w:r w:rsidRPr="0013040E">
        <w:rPr>
          <w:rFonts w:asciiTheme="majorHAnsi" w:hAnsiTheme="majorHAnsi" w:cstheme="majorHAnsi"/>
        </w:rPr>
        <w:t>PSA dubbleringstid &lt;10 månader</w:t>
      </w:r>
    </w:p>
    <w:p w14:paraId="73544817" w14:textId="77777777" w:rsidR="0013040E" w:rsidRPr="0013040E" w:rsidRDefault="0013040E" w:rsidP="0013040E">
      <w:pPr>
        <w:pStyle w:val="Rubrik2"/>
        <w:rPr>
          <w:sz w:val="32"/>
          <w:szCs w:val="22"/>
        </w:rPr>
      </w:pPr>
      <w:r w:rsidRPr="0013040E">
        <w:rPr>
          <w:sz w:val="32"/>
          <w:szCs w:val="22"/>
        </w:rPr>
        <w:t>Inför besöket</w:t>
      </w:r>
    </w:p>
    <w:p w14:paraId="035E9FBB" w14:textId="77777777" w:rsidR="0013040E" w:rsidRPr="0013040E" w:rsidRDefault="0013040E" w:rsidP="0013040E">
      <w:pPr>
        <w:pStyle w:val="Liststycke"/>
        <w:numPr>
          <w:ilvl w:val="0"/>
          <w:numId w:val="21"/>
        </w:numPr>
        <w:spacing w:after="0" w:line="240" w:lineRule="auto"/>
        <w:ind w:right="0"/>
        <w:rPr>
          <w:rFonts w:asciiTheme="majorHAnsi" w:hAnsiTheme="majorHAnsi" w:cstheme="majorHAnsi"/>
        </w:rPr>
      </w:pPr>
      <w:r w:rsidRPr="0013040E">
        <w:rPr>
          <w:rFonts w:asciiTheme="majorHAnsi" w:hAnsiTheme="majorHAnsi" w:cstheme="majorHAnsi"/>
        </w:rPr>
        <w:t xml:space="preserve">Färsk metastasutredning </w:t>
      </w:r>
      <w:proofErr w:type="spellStart"/>
      <w:r w:rsidRPr="0013040E">
        <w:rPr>
          <w:rFonts w:asciiTheme="majorHAnsi" w:hAnsiTheme="majorHAnsi" w:cstheme="majorHAnsi"/>
        </w:rPr>
        <w:t>Skelettscint</w:t>
      </w:r>
      <w:proofErr w:type="spellEnd"/>
      <w:r w:rsidRPr="0013040E">
        <w:rPr>
          <w:rFonts w:asciiTheme="majorHAnsi" w:hAnsiTheme="majorHAnsi" w:cstheme="majorHAnsi"/>
        </w:rPr>
        <w:t xml:space="preserve"> och CT buk/thorax (inte äldre än 2 mån)</w:t>
      </w:r>
    </w:p>
    <w:p w14:paraId="602288B2" w14:textId="77777777" w:rsidR="0013040E" w:rsidRPr="0013040E" w:rsidRDefault="0013040E" w:rsidP="0013040E">
      <w:pPr>
        <w:pStyle w:val="Liststycke"/>
        <w:numPr>
          <w:ilvl w:val="0"/>
          <w:numId w:val="21"/>
        </w:numPr>
        <w:spacing w:after="0" w:line="240" w:lineRule="auto"/>
        <w:ind w:right="0"/>
        <w:rPr>
          <w:rFonts w:asciiTheme="majorHAnsi" w:hAnsiTheme="majorHAnsi" w:cstheme="majorHAnsi"/>
        </w:rPr>
      </w:pPr>
      <w:r w:rsidRPr="0013040E">
        <w:rPr>
          <w:rFonts w:asciiTheme="majorHAnsi" w:hAnsiTheme="majorHAnsi" w:cstheme="majorHAnsi"/>
        </w:rPr>
        <w:t xml:space="preserve">Prover: LPK, TPK, HB, Na, K, Krea, Albumin, Calcium, ASAT, ALAT, ALP, </w:t>
      </w:r>
      <w:proofErr w:type="spellStart"/>
      <w:r w:rsidRPr="0013040E">
        <w:rPr>
          <w:rFonts w:asciiTheme="majorHAnsi" w:hAnsiTheme="majorHAnsi" w:cstheme="majorHAnsi"/>
        </w:rPr>
        <w:t>Bilirubin</w:t>
      </w:r>
      <w:proofErr w:type="spellEnd"/>
      <w:r w:rsidRPr="0013040E">
        <w:rPr>
          <w:rFonts w:asciiTheme="majorHAnsi" w:hAnsiTheme="majorHAnsi" w:cstheme="majorHAnsi"/>
        </w:rPr>
        <w:t>, PSA, Testosteron och TSH/FT4.</w:t>
      </w:r>
    </w:p>
    <w:p w14:paraId="27E3049C" w14:textId="77777777" w:rsidR="0013040E" w:rsidRPr="0013040E" w:rsidRDefault="0013040E" w:rsidP="0013040E">
      <w:pPr>
        <w:pStyle w:val="Liststycke"/>
        <w:numPr>
          <w:ilvl w:val="0"/>
          <w:numId w:val="21"/>
        </w:numPr>
        <w:spacing w:after="0" w:line="240" w:lineRule="auto"/>
        <w:ind w:right="0"/>
        <w:rPr>
          <w:rFonts w:asciiTheme="majorHAnsi" w:hAnsiTheme="majorHAnsi" w:cstheme="majorHAnsi"/>
        </w:rPr>
      </w:pPr>
      <w:r w:rsidRPr="0013040E">
        <w:rPr>
          <w:rFonts w:asciiTheme="majorHAnsi" w:hAnsiTheme="majorHAnsi" w:cstheme="majorHAnsi"/>
        </w:rPr>
        <w:t>Blodtryck och vikt</w:t>
      </w:r>
    </w:p>
    <w:p w14:paraId="4B349662" w14:textId="77777777" w:rsidR="0013040E" w:rsidRDefault="0013040E" w:rsidP="0013040E">
      <w:pPr>
        <w:pStyle w:val="Rubrik2"/>
        <w:spacing w:after="0"/>
      </w:pPr>
      <w:r w:rsidRPr="0013040E">
        <w:rPr>
          <w:sz w:val="32"/>
          <w:szCs w:val="22"/>
        </w:rPr>
        <w:t xml:space="preserve">Ordination </w:t>
      </w:r>
      <w:r>
        <w:t xml:space="preserve"> </w:t>
      </w:r>
    </w:p>
    <w:p w14:paraId="3B7A12E8" w14:textId="77777777" w:rsidR="0013040E" w:rsidRPr="0013040E" w:rsidRDefault="0013040E" w:rsidP="0013040E">
      <w:pPr>
        <w:spacing w:after="0"/>
        <w:rPr>
          <w:rFonts w:asciiTheme="majorHAnsi" w:hAnsiTheme="majorHAnsi" w:cstheme="majorHAnsi"/>
        </w:rPr>
      </w:pPr>
      <w:r w:rsidRPr="0013040E">
        <w:rPr>
          <w:rFonts w:asciiTheme="majorHAnsi" w:hAnsiTheme="majorHAnsi" w:cstheme="majorHAnsi"/>
        </w:rPr>
        <w:t xml:space="preserve">Standarddosering: </w:t>
      </w:r>
      <w:proofErr w:type="spellStart"/>
      <w:r w:rsidRPr="0013040E">
        <w:rPr>
          <w:rFonts w:asciiTheme="majorHAnsi" w:hAnsiTheme="majorHAnsi" w:cstheme="majorHAnsi"/>
        </w:rPr>
        <w:t>Apalutamid</w:t>
      </w:r>
      <w:proofErr w:type="spellEnd"/>
      <w:r w:rsidRPr="0013040E">
        <w:rPr>
          <w:rFonts w:asciiTheme="majorHAnsi" w:hAnsiTheme="majorHAnsi" w:cstheme="majorHAnsi"/>
        </w:rPr>
        <w:t xml:space="preserve"> tablett 60mg, 4x1/dag.</w:t>
      </w:r>
      <w:r w:rsidRPr="0013040E">
        <w:rPr>
          <w:rFonts w:asciiTheme="majorHAnsi" w:hAnsiTheme="majorHAnsi" w:cstheme="majorHAnsi"/>
        </w:rPr>
        <w:br/>
        <w:t xml:space="preserve">Standarddosering: </w:t>
      </w:r>
      <w:proofErr w:type="spellStart"/>
      <w:r w:rsidRPr="0013040E">
        <w:rPr>
          <w:rFonts w:asciiTheme="majorHAnsi" w:hAnsiTheme="majorHAnsi" w:cstheme="majorHAnsi"/>
        </w:rPr>
        <w:t>Darolutamide</w:t>
      </w:r>
      <w:proofErr w:type="spellEnd"/>
      <w:r w:rsidRPr="0013040E">
        <w:rPr>
          <w:rFonts w:asciiTheme="majorHAnsi" w:hAnsiTheme="majorHAnsi" w:cstheme="majorHAnsi"/>
        </w:rPr>
        <w:t xml:space="preserve"> 300mg 2x2/dag. </w:t>
      </w:r>
    </w:p>
    <w:p w14:paraId="553417EF" w14:textId="77777777" w:rsidR="0013040E" w:rsidRPr="0013040E" w:rsidRDefault="0013040E" w:rsidP="0013040E">
      <w:pPr>
        <w:spacing w:after="0"/>
        <w:rPr>
          <w:rFonts w:asciiTheme="majorHAnsi" w:hAnsiTheme="majorHAnsi" w:cstheme="majorHAnsi"/>
        </w:rPr>
      </w:pPr>
      <w:r w:rsidRPr="0013040E">
        <w:rPr>
          <w:rFonts w:asciiTheme="majorHAnsi" w:hAnsiTheme="majorHAnsi" w:cstheme="majorHAnsi"/>
        </w:rPr>
        <w:t xml:space="preserve">Standarddosering: </w:t>
      </w:r>
      <w:proofErr w:type="spellStart"/>
      <w:r w:rsidRPr="0013040E">
        <w:rPr>
          <w:rFonts w:asciiTheme="majorHAnsi" w:hAnsiTheme="majorHAnsi" w:cstheme="majorHAnsi"/>
        </w:rPr>
        <w:t>Enzalutamid</w:t>
      </w:r>
      <w:proofErr w:type="spellEnd"/>
      <w:r w:rsidRPr="0013040E">
        <w:rPr>
          <w:rFonts w:asciiTheme="majorHAnsi" w:hAnsiTheme="majorHAnsi" w:cstheme="majorHAnsi"/>
        </w:rPr>
        <w:t xml:space="preserve"> tablett 60mg, 4x1/dag.</w:t>
      </w:r>
    </w:p>
    <w:p w14:paraId="4A871ADE" w14:textId="77777777" w:rsidR="0013040E" w:rsidRPr="0013040E" w:rsidRDefault="0013040E" w:rsidP="0013040E">
      <w:pPr>
        <w:pStyle w:val="Rubrik2"/>
        <w:rPr>
          <w:sz w:val="32"/>
          <w:szCs w:val="22"/>
        </w:rPr>
      </w:pPr>
      <w:r w:rsidRPr="0013040E">
        <w:rPr>
          <w:sz w:val="32"/>
          <w:szCs w:val="22"/>
        </w:rPr>
        <w:t>Information</w:t>
      </w:r>
    </w:p>
    <w:p w14:paraId="3C1E97D5" w14:textId="77777777" w:rsidR="0013040E" w:rsidRPr="0013040E" w:rsidRDefault="0013040E" w:rsidP="0013040E">
      <w:pPr>
        <w:rPr>
          <w:rFonts w:asciiTheme="majorHAnsi" w:hAnsiTheme="majorHAnsi" w:cstheme="majorHAnsi"/>
        </w:rPr>
      </w:pPr>
      <w:r w:rsidRPr="0013040E">
        <w:rPr>
          <w:rFonts w:asciiTheme="majorHAnsi" w:hAnsiTheme="majorHAnsi" w:cstheme="majorHAnsi"/>
        </w:rPr>
        <w:t>Skriftlig patientinformation från nationella regimbiblioteket samt patientbroschyr från företag. Muntlig information med möjliga biverkningar och uppföljningsplan.</w:t>
      </w:r>
    </w:p>
    <w:p w14:paraId="7CB39068" w14:textId="77777777" w:rsidR="0013040E" w:rsidRPr="0013040E" w:rsidRDefault="0013040E" w:rsidP="0013040E">
      <w:pPr>
        <w:pStyle w:val="Rubrik2"/>
        <w:rPr>
          <w:sz w:val="32"/>
          <w:szCs w:val="22"/>
        </w:rPr>
      </w:pPr>
      <w:r w:rsidRPr="0013040E">
        <w:rPr>
          <w:sz w:val="32"/>
          <w:szCs w:val="22"/>
        </w:rPr>
        <w:t>Uppföljning</w:t>
      </w:r>
    </w:p>
    <w:p w14:paraId="0FB7D14E" w14:textId="77777777" w:rsidR="0013040E" w:rsidRPr="0013040E" w:rsidRDefault="0013040E" w:rsidP="0013040E">
      <w:pPr>
        <w:spacing w:after="0"/>
        <w:rPr>
          <w:rFonts w:asciiTheme="majorHAnsi" w:hAnsiTheme="majorHAnsi" w:cstheme="majorHAnsi"/>
        </w:rPr>
      </w:pPr>
      <w:r w:rsidRPr="0013040E">
        <w:rPr>
          <w:rFonts w:asciiTheme="majorHAnsi" w:hAnsiTheme="majorHAnsi" w:cstheme="majorHAnsi"/>
        </w:rPr>
        <w:t xml:space="preserve">1 månad provtagning PSA (om </w:t>
      </w:r>
      <w:proofErr w:type="spellStart"/>
      <w:r w:rsidRPr="0013040E">
        <w:rPr>
          <w:rFonts w:asciiTheme="majorHAnsi" w:hAnsiTheme="majorHAnsi" w:cstheme="majorHAnsi"/>
        </w:rPr>
        <w:t>Apalutamid</w:t>
      </w:r>
      <w:proofErr w:type="spellEnd"/>
      <w:r w:rsidRPr="0013040E">
        <w:rPr>
          <w:rFonts w:asciiTheme="majorHAnsi" w:hAnsiTheme="majorHAnsi" w:cstheme="majorHAnsi"/>
        </w:rPr>
        <w:t xml:space="preserve"> skall också TSH/FT4 kontrolleras). Telefonavstämning av kontaktsjuksköterska, biverkningar och blodtryck.</w:t>
      </w:r>
    </w:p>
    <w:p w14:paraId="111FE1C9" w14:textId="39CB7772" w:rsidR="0013040E" w:rsidRDefault="0013040E" w:rsidP="0013040E">
      <w:pPr>
        <w:spacing w:after="0"/>
        <w:rPr>
          <w:rFonts w:asciiTheme="majorHAnsi" w:hAnsiTheme="majorHAnsi" w:cstheme="majorHAnsi"/>
        </w:rPr>
      </w:pPr>
      <w:r w:rsidRPr="0013040E">
        <w:rPr>
          <w:rFonts w:asciiTheme="majorHAnsi" w:hAnsiTheme="majorHAnsi" w:cstheme="majorHAnsi"/>
        </w:rPr>
        <w:lastRenderedPageBreak/>
        <w:t>Blodtryck kontrolleras i samband med varje provtagning, dvs 1 månad och därefter var 3:e månad. Om egen blodtrycksmätare är blodtryckskontroll 1 gång per månad rimlig första året.</w:t>
      </w:r>
    </w:p>
    <w:p w14:paraId="46E952D6" w14:textId="77777777" w:rsidR="0013040E" w:rsidRPr="0013040E" w:rsidRDefault="0013040E" w:rsidP="0013040E">
      <w:pPr>
        <w:spacing w:after="0"/>
        <w:ind w:left="0"/>
        <w:rPr>
          <w:rFonts w:asciiTheme="majorHAnsi" w:hAnsiTheme="majorHAnsi" w:cstheme="majorHAnsi"/>
        </w:rPr>
      </w:pPr>
    </w:p>
    <w:p w14:paraId="0F258B74" w14:textId="77777777" w:rsidR="0013040E" w:rsidRPr="0013040E" w:rsidRDefault="0013040E" w:rsidP="0013040E">
      <w:pPr>
        <w:spacing w:after="0"/>
        <w:rPr>
          <w:rFonts w:asciiTheme="majorHAnsi" w:hAnsiTheme="majorHAnsi" w:cstheme="majorHAnsi"/>
        </w:rPr>
      </w:pPr>
      <w:r w:rsidRPr="0013040E">
        <w:rPr>
          <w:rFonts w:asciiTheme="majorHAnsi" w:hAnsiTheme="majorHAnsi" w:cstheme="majorHAnsi"/>
        </w:rPr>
        <w:t xml:space="preserve">3 månader läkarbesök. Prover: Samma som baslinje. Om </w:t>
      </w:r>
      <w:proofErr w:type="spellStart"/>
      <w:r w:rsidRPr="0013040E">
        <w:rPr>
          <w:rFonts w:asciiTheme="majorHAnsi" w:hAnsiTheme="majorHAnsi" w:cstheme="majorHAnsi"/>
        </w:rPr>
        <w:t>Apalutamid</w:t>
      </w:r>
      <w:proofErr w:type="spellEnd"/>
      <w:r w:rsidRPr="0013040E">
        <w:rPr>
          <w:rFonts w:asciiTheme="majorHAnsi" w:hAnsiTheme="majorHAnsi" w:cstheme="majorHAnsi"/>
        </w:rPr>
        <w:t>-behandling följs TSH/FT4 vid varje provtagning, och om normalt efter ett års behandling så kan man avsluta sköldkörtelkontrollerna.</w:t>
      </w:r>
    </w:p>
    <w:p w14:paraId="2E6393CB" w14:textId="77777777" w:rsidR="0013040E" w:rsidRPr="0013040E" w:rsidRDefault="0013040E" w:rsidP="0013040E">
      <w:pPr>
        <w:spacing w:after="0"/>
        <w:rPr>
          <w:rFonts w:asciiTheme="majorHAnsi" w:hAnsiTheme="majorHAnsi" w:cstheme="majorHAnsi"/>
        </w:rPr>
      </w:pPr>
    </w:p>
    <w:p w14:paraId="3D29A47E" w14:textId="77777777" w:rsidR="0013040E" w:rsidRPr="0013040E" w:rsidRDefault="0013040E" w:rsidP="0013040E">
      <w:pPr>
        <w:spacing w:after="0"/>
        <w:rPr>
          <w:rFonts w:asciiTheme="majorHAnsi" w:hAnsiTheme="majorHAnsi" w:cstheme="majorHAnsi"/>
        </w:rPr>
      </w:pPr>
      <w:r w:rsidRPr="0013040E">
        <w:rPr>
          <w:rFonts w:asciiTheme="majorHAnsi" w:hAnsiTheme="majorHAnsi" w:cstheme="majorHAnsi"/>
        </w:rPr>
        <w:t>6 månader. Baslinje prover inför varje läkarbesök. Radiologi vid 6 månader och vid PSA-progress.</w:t>
      </w:r>
    </w:p>
    <w:p w14:paraId="01985623" w14:textId="77777777" w:rsidR="0013040E" w:rsidRPr="0013040E" w:rsidRDefault="0013040E" w:rsidP="0013040E">
      <w:pPr>
        <w:spacing w:after="0"/>
        <w:rPr>
          <w:rFonts w:asciiTheme="majorHAnsi" w:hAnsiTheme="majorHAnsi" w:cstheme="majorHAnsi"/>
        </w:rPr>
      </w:pPr>
    </w:p>
    <w:p w14:paraId="0181DE10" w14:textId="434E3716" w:rsidR="0013040E" w:rsidRPr="0013040E" w:rsidRDefault="0013040E" w:rsidP="0013040E">
      <w:pPr>
        <w:rPr>
          <w:rFonts w:asciiTheme="majorHAnsi" w:hAnsiTheme="majorHAnsi" w:cstheme="majorHAnsi"/>
        </w:rPr>
      </w:pPr>
      <w:r w:rsidRPr="0013040E">
        <w:rPr>
          <w:rFonts w:asciiTheme="majorHAnsi" w:hAnsiTheme="majorHAnsi" w:cstheme="majorHAnsi"/>
        </w:rPr>
        <w:t xml:space="preserve">Om stabil sjukdom vid 6 månader kan vartannat besök bokat till kontaktsjuksköterska. Om stabil sjukdom och patienten inte har biverkningar kan alla kontroller glesas ut till 4 månader.  </w:t>
      </w:r>
    </w:p>
    <w:p w14:paraId="75AFBEC5" w14:textId="77777777" w:rsidR="0013040E" w:rsidRPr="0013040E" w:rsidRDefault="0013040E" w:rsidP="0013040E">
      <w:pPr>
        <w:pStyle w:val="Rubrik2"/>
        <w:spacing w:after="0"/>
        <w:rPr>
          <w:rFonts w:cstheme="majorHAnsi"/>
          <w:sz w:val="24"/>
          <w:szCs w:val="24"/>
        </w:rPr>
      </w:pPr>
      <w:r w:rsidRPr="0013040E">
        <w:rPr>
          <w:sz w:val="32"/>
          <w:szCs w:val="22"/>
        </w:rPr>
        <w:t>Utsättning</w:t>
      </w:r>
      <w:r>
        <w:br/>
      </w:r>
      <w:r w:rsidRPr="0013040E">
        <w:rPr>
          <w:rStyle w:val="Formatmall1Char"/>
          <w:rFonts w:cstheme="majorHAnsi"/>
          <w:sz w:val="24"/>
        </w:rPr>
        <w:t>Vid otvetydig sjukdomsprogress.</w:t>
      </w:r>
    </w:p>
    <w:p w14:paraId="40AA233F" w14:textId="5C424603" w:rsidR="009C6C0C" w:rsidRPr="003A6E07" w:rsidRDefault="009C6C0C" w:rsidP="003A6E07"/>
    <w:sectPr w:rsidR="009C6C0C" w:rsidRPr="003A6E07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FF0581" w14:textId="77777777" w:rsidR="00480AEE" w:rsidRDefault="00480AEE">
      <w:r>
        <w:separator/>
      </w:r>
    </w:p>
  </w:endnote>
  <w:endnote w:type="continuationSeparator" w:id="0">
    <w:p w14:paraId="590E48C2" w14:textId="77777777" w:rsidR="00480AEE" w:rsidRDefault="00480AEE">
      <w:r>
        <w:continuationSeparator/>
      </w:r>
    </w:p>
  </w:endnote>
  <w:endnote w:type="continuationNotice" w:id="1">
    <w:p w14:paraId="6515B26D" w14:textId="77777777" w:rsidR="00480AEE" w:rsidRDefault="00480AE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31A63C" w14:textId="77777777" w:rsidR="00480AEE" w:rsidRDefault="00480AEE"/>
  </w:footnote>
  <w:footnote w:type="continuationSeparator" w:id="0">
    <w:p w14:paraId="6260A244" w14:textId="77777777" w:rsidR="00480AEE" w:rsidRDefault="00480AEE">
      <w:r>
        <w:continuationSeparator/>
      </w:r>
    </w:p>
  </w:footnote>
  <w:footnote w:type="continuationNotice" w:id="1">
    <w:p w14:paraId="53D9BE9F" w14:textId="77777777" w:rsidR="00480AEE" w:rsidRDefault="00480AE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1435D08E" w:rsidR="008A4EB9" w:rsidRDefault="0013040E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15AAB2FE">
              <wp:simplePos x="0" y="0"/>
              <wp:positionH relativeFrom="column">
                <wp:posOffset>-172720</wp:posOffset>
              </wp:positionH>
              <wp:positionV relativeFrom="paragraph">
                <wp:posOffset>-60960</wp:posOffset>
              </wp:positionV>
              <wp:extent cx="4669155" cy="179578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179578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4.8pt;width:367.65pt;height:141.4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  <w:r w:rsidR="008569C6"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05A6C5BD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3BC6A5A"/>
    <w:multiLevelType w:val="hybridMultilevel"/>
    <w:tmpl w:val="9AD42AD8"/>
    <w:lvl w:ilvl="0" w:tplc="041D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92362FD"/>
    <w:multiLevelType w:val="hybridMultilevel"/>
    <w:tmpl w:val="8F7E5774"/>
    <w:lvl w:ilvl="0" w:tplc="041D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34189798">
    <w:abstractNumId w:val="19"/>
  </w:num>
  <w:num w:numId="2" w16cid:durableId="1440831162">
    <w:abstractNumId w:val="16"/>
  </w:num>
  <w:num w:numId="3" w16cid:durableId="798883916">
    <w:abstractNumId w:val="0"/>
  </w:num>
  <w:num w:numId="4" w16cid:durableId="1788891866">
    <w:abstractNumId w:val="7"/>
  </w:num>
  <w:num w:numId="5" w16cid:durableId="1814523718">
    <w:abstractNumId w:val="17"/>
  </w:num>
  <w:num w:numId="6" w16cid:durableId="112407288">
    <w:abstractNumId w:val="3"/>
  </w:num>
  <w:num w:numId="7" w16cid:durableId="1866138811">
    <w:abstractNumId w:val="13"/>
  </w:num>
  <w:num w:numId="8" w16cid:durableId="1141192552">
    <w:abstractNumId w:val="10"/>
  </w:num>
  <w:num w:numId="9" w16cid:durableId="1019503312">
    <w:abstractNumId w:val="1"/>
  </w:num>
  <w:num w:numId="10" w16cid:durableId="109016947">
    <w:abstractNumId w:val="1"/>
  </w:num>
  <w:num w:numId="11" w16cid:durableId="477764328">
    <w:abstractNumId w:val="4"/>
  </w:num>
  <w:num w:numId="12" w16cid:durableId="750811799">
    <w:abstractNumId w:val="5"/>
  </w:num>
  <w:num w:numId="13" w16cid:durableId="2067025700">
    <w:abstractNumId w:val="15"/>
  </w:num>
  <w:num w:numId="14" w16cid:durableId="1705400013">
    <w:abstractNumId w:val="11"/>
  </w:num>
  <w:num w:numId="15" w16cid:durableId="2067409757">
    <w:abstractNumId w:val="8"/>
  </w:num>
  <w:num w:numId="16" w16cid:durableId="747456186">
    <w:abstractNumId w:val="14"/>
  </w:num>
  <w:num w:numId="17" w16cid:durableId="404035991">
    <w:abstractNumId w:val="6"/>
  </w:num>
  <w:num w:numId="18" w16cid:durableId="269894479">
    <w:abstractNumId w:val="12"/>
  </w:num>
  <w:num w:numId="19" w16cid:durableId="860701497">
    <w:abstractNumId w:val="18"/>
  </w:num>
  <w:num w:numId="20" w16cid:durableId="1244142218">
    <w:abstractNumId w:val="2"/>
  </w:num>
  <w:num w:numId="21" w16cid:durableId="69292377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3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040E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6E07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AEE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35EF26EF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2</Pages>
  <Words>199</Words>
  <Characters>1386</Characters>
  <Application>Microsoft Office Word</Application>
  <DocSecurity>0</DocSecurity>
  <Lines>11</Lines>
  <Paragraphs>3</Paragraphs>
  <ScaleCrop>false</ScaleCrop>
  <Manager/>
  <Company/>
  <LinksUpToDate>false</LinksUpToDate>
  <CharactersWithSpaces>1582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PM Apalutamid, Darolutamide och Enzalutamid vid icke-metastaserad CRPC</dc:title>
  <dc:subject/>
  <dc:creator/>
  <keywords/>
  <lastModifiedBy>Julia Kvartsberg</lastModifiedBy>
  <revision>18</revision>
  <lastPrinted>2016-03-31T10:56:00.0000000Z</lastPrinted>
  <dcterms:created xsi:type="dcterms:W3CDTF">2021-05-27T09:47:00.0000000Z</dcterms:created>
  <dcterms:modified xsi:type="dcterms:W3CDTF">2024-08-21T10:26:00.0000000Z</dcterms:modified>
</coreProperties>
</file>