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5EC058E7" w:rsidRDefault="0023510C" w14:paraId="061914D4" w14:textId="56043019">
      <w:pPr>
        <w:pStyle w:val="Rubrik1"/>
        <w:ind w:left="0"/>
      </w:pPr>
      <w:bookmarkStart w:name="_Toc321146591" w:id="0"/>
      <w:r w:rsidR="6A99DE25">
        <w:rPr/>
        <w:t xml:space="preserve">Uppföljning av </w:t>
      </w:r>
      <w:r w:rsidR="6A99DE25">
        <w:rPr/>
        <w:t>kolorektalcancer</w:t>
      </w:r>
      <w:r w:rsidR="6A99DE25">
        <w:rPr/>
        <w:t>-opererade patienter i NU-sjukvården</w:t>
      </w:r>
    </w:p>
    <w:bookmarkEnd w:id="0"/>
    <w:p w:rsidRPr="0008147F" w:rsidR="00221736" w:rsidP="5EC058E7" w:rsidRDefault="00221736" w14:paraId="12570763" w14:textId="77777777">
      <w:pPr>
        <w:pStyle w:val="Rubrik2"/>
        <w:spacing w:before="0" w:after="0"/>
        <w:ind w:left="0"/>
      </w:pPr>
      <w:r w:rsidR="7C755765">
        <w:rPr/>
        <w:t>Mål med uppföljningen</w:t>
      </w:r>
    </w:p>
    <w:p w:rsidR="00221736" w:rsidP="007B0D5F" w:rsidRDefault="00221736" w14:paraId="2FC32886" w14:textId="77777777">
      <w:pPr>
        <w:spacing w:after="0" w:line="240" w:lineRule="auto"/>
        <w:ind w:left="0"/>
        <w:rPr>
          <w:color w:val="212121"/>
        </w:rPr>
      </w:pPr>
      <w:r w:rsidRPr="0008147F">
        <w:rPr>
          <w:color w:val="212121"/>
        </w:rPr>
        <w:t>Uppföljningen har fyra huvudsakliga syften:</w:t>
      </w:r>
    </w:p>
    <w:p w:rsidRPr="00491738" w:rsidR="00491738" w:rsidP="00491738" w:rsidRDefault="00491738" w14:paraId="00D6050A" w14:textId="0A735B67">
      <w:pPr>
        <w:spacing w:after="0" w:line="240" w:lineRule="auto"/>
        <w:ind w:left="0"/>
        <w:rPr>
          <w:color w:val="212121"/>
        </w:rPr>
      </w:pPr>
    </w:p>
    <w:p w:rsidRPr="00221736" w:rsidR="00221736" w:rsidP="00491738" w:rsidRDefault="00221736" w14:paraId="431CE14B" w14:textId="7D99838A">
      <w:pPr>
        <w:pStyle w:val="Liststycke"/>
        <w:numPr>
          <w:ilvl w:val="0"/>
          <w:numId w:val="20"/>
        </w:numPr>
        <w:spacing w:after="0" w:line="240" w:lineRule="auto"/>
        <w:ind w:right="0"/>
        <w:rPr>
          <w:color w:val="212121"/>
        </w:rPr>
      </w:pPr>
      <w:r w:rsidRPr="00221736">
        <w:rPr>
          <w:color w:val="212121"/>
        </w:rPr>
        <w:t>att upptäcka tidiga och botbara återfall av sjukdomen som lokalrecidiv och metastaser när kurativ behandling fortfarande är möjlig.</w:t>
      </w:r>
    </w:p>
    <w:p w:rsidRPr="0008147F" w:rsidR="00221736" w:rsidP="00491738" w:rsidRDefault="00221736" w14:paraId="45FBE039" w14:textId="77777777">
      <w:pPr>
        <w:pStyle w:val="Liststycke"/>
        <w:numPr>
          <w:ilvl w:val="0"/>
          <w:numId w:val="20"/>
        </w:numPr>
        <w:spacing w:after="0" w:line="240" w:lineRule="auto"/>
        <w:ind w:right="0"/>
        <w:rPr>
          <w:color w:val="212121"/>
        </w:rPr>
      </w:pPr>
      <w:r w:rsidRPr="0008147F">
        <w:rPr>
          <w:color w:val="212121"/>
        </w:rPr>
        <w:t>att upptäcka metakrona tumörer (se polypuppföljningsprogrammet).</w:t>
      </w:r>
    </w:p>
    <w:p w:rsidRPr="0008147F" w:rsidR="00221736" w:rsidP="00491738" w:rsidRDefault="00221736" w14:paraId="6AD5CCB6" w14:textId="77777777">
      <w:pPr>
        <w:pStyle w:val="Liststycke"/>
        <w:numPr>
          <w:ilvl w:val="0"/>
          <w:numId w:val="20"/>
        </w:numPr>
        <w:spacing w:after="0" w:line="240" w:lineRule="auto"/>
        <w:ind w:right="0"/>
        <w:rPr>
          <w:color w:val="212121"/>
        </w:rPr>
      </w:pPr>
      <w:r w:rsidRPr="0008147F">
        <w:rPr>
          <w:color w:val="212121"/>
        </w:rPr>
        <w:t>att tillfredsställa patientens behov av information, stöd samt inte minst upptäcka och följa patientens behov av rehabilitering.</w:t>
      </w:r>
    </w:p>
    <w:p w:rsidRPr="0008147F" w:rsidR="00221736" w:rsidP="00491738" w:rsidRDefault="00221736" w14:paraId="271B5270" w14:textId="77777777">
      <w:pPr>
        <w:pStyle w:val="Liststycke"/>
        <w:numPr>
          <w:ilvl w:val="0"/>
          <w:numId w:val="20"/>
        </w:numPr>
        <w:spacing w:after="0" w:line="240" w:lineRule="auto"/>
        <w:ind w:right="0"/>
        <w:rPr>
          <w:color w:val="212121"/>
        </w:rPr>
      </w:pPr>
      <w:r w:rsidRPr="0008147F">
        <w:rPr>
          <w:color w:val="212121"/>
        </w:rPr>
        <w:t>att bedöma kvaliteten på den primära behandlingen.</w:t>
      </w:r>
    </w:p>
    <w:p w:rsidR="007B0D5F" w:rsidP="007B0D5F" w:rsidRDefault="007B0D5F" w14:paraId="639954D0" w14:textId="77777777">
      <w:pPr>
        <w:spacing w:after="0" w:line="240" w:lineRule="auto"/>
        <w:ind w:left="0"/>
        <w:rPr>
          <w:color w:val="212121"/>
        </w:rPr>
      </w:pPr>
    </w:p>
    <w:p w:rsidRPr="0008147F" w:rsidR="00221736" w:rsidP="007B0D5F" w:rsidRDefault="00221736" w14:paraId="64CC784E" w14:textId="28B284B1">
      <w:pPr>
        <w:spacing w:after="0" w:line="240" w:lineRule="auto"/>
        <w:ind w:left="0"/>
        <w:rPr>
          <w:color w:val="212121"/>
        </w:rPr>
      </w:pPr>
      <w:r w:rsidRPr="0008147F">
        <w:rPr>
          <w:color w:val="212121"/>
        </w:rPr>
        <w:t>Utöver detta kan uppföljningen användas för att samla underlag för forskning och förbättringsarbete.</w:t>
      </w:r>
    </w:p>
    <w:p w:rsidR="00221736" w:rsidP="007B0D5F" w:rsidRDefault="00221736" w14:paraId="1330361C" w14:textId="77777777">
      <w:pPr>
        <w:spacing w:after="0" w:line="240" w:lineRule="auto"/>
        <w:ind w:left="0"/>
        <w:rPr>
          <w:color w:val="212121"/>
        </w:rPr>
      </w:pPr>
      <w:r w:rsidRPr="0008147F">
        <w:rPr>
          <w:color w:val="212121"/>
        </w:rPr>
        <w:t>Övergången från aktiv behandling till uppföljning ska vara väl definierad och markeras med ett eller flera samtal där patienten får en individuellt anpassad uppföljningsplan. Uppföljningsplanen ska dokumenteras i Min vårdplan och består av flera delar:</w:t>
      </w:r>
    </w:p>
    <w:p w:rsidR="00221736" w:rsidP="00491738" w:rsidRDefault="00221736" w14:paraId="3B98879F" w14:textId="77777777">
      <w:pPr>
        <w:spacing w:after="0" w:line="240" w:lineRule="auto"/>
        <w:rPr>
          <w:color w:val="212121"/>
        </w:rPr>
      </w:pPr>
    </w:p>
    <w:p w:rsidR="00221736" w:rsidP="00491738" w:rsidRDefault="00221736" w14:paraId="6597A21F" w14:textId="77777777">
      <w:pPr>
        <w:pStyle w:val="Liststycke"/>
        <w:numPr>
          <w:ilvl w:val="0"/>
          <w:numId w:val="21"/>
        </w:numPr>
        <w:spacing w:after="0" w:line="240" w:lineRule="auto"/>
        <w:ind w:right="0"/>
        <w:rPr>
          <w:color w:val="212121"/>
        </w:rPr>
      </w:pPr>
      <w:r w:rsidRPr="0008147F">
        <w:rPr>
          <w:color w:val="212121"/>
        </w:rPr>
        <w:t>en uppdaterad behovsbedömning för rehabilitering</w:t>
      </w:r>
      <w:r>
        <w:rPr>
          <w:color w:val="212121"/>
        </w:rPr>
        <w:t>.</w:t>
      </w:r>
    </w:p>
    <w:p w:rsidR="00221736" w:rsidP="00491738" w:rsidRDefault="00221736" w14:paraId="0533646B" w14:textId="77777777">
      <w:pPr>
        <w:pStyle w:val="Liststycke"/>
        <w:numPr>
          <w:ilvl w:val="0"/>
          <w:numId w:val="21"/>
        </w:numPr>
        <w:spacing w:after="0" w:line="240" w:lineRule="auto"/>
        <w:ind w:right="0"/>
        <w:rPr>
          <w:color w:val="212121"/>
        </w:rPr>
      </w:pPr>
      <w:r w:rsidRPr="0008147F">
        <w:rPr>
          <w:color w:val="212121"/>
        </w:rPr>
        <w:t>en översikt över de kommande årens kontroller inkl. datum för den första kontrollen alternativt ett tydliggörande av när och hur patienten kommer att få tid till den</w:t>
      </w:r>
      <w:r>
        <w:rPr>
          <w:color w:val="212121"/>
        </w:rPr>
        <w:t>.</w:t>
      </w:r>
    </w:p>
    <w:p w:rsidR="00221736" w:rsidP="00491738" w:rsidRDefault="00221736" w14:paraId="1FA01897" w14:textId="77777777">
      <w:pPr>
        <w:pStyle w:val="Liststycke"/>
        <w:numPr>
          <w:ilvl w:val="0"/>
          <w:numId w:val="21"/>
        </w:numPr>
        <w:spacing w:after="0" w:line="240" w:lineRule="auto"/>
        <w:ind w:right="0"/>
        <w:rPr>
          <w:color w:val="212121"/>
        </w:rPr>
      </w:pPr>
      <w:r w:rsidRPr="0008147F">
        <w:rPr>
          <w:color w:val="212121"/>
        </w:rPr>
        <w:t>en tydlig ansvarsfördelning som tydliggör vem som ansvarar för t.ex. sjukskrivning, förskrivning av hjälpmedel och liknande och där även patientens eget ansvar framgår.</w:t>
      </w:r>
    </w:p>
    <w:p w:rsidRPr="00491738" w:rsidR="00491738" w:rsidP="00491738" w:rsidRDefault="00491738" w14:paraId="766EC1F8" w14:textId="77777777">
      <w:pPr>
        <w:spacing w:after="0" w:line="240" w:lineRule="auto"/>
        <w:ind w:left="360" w:right="0"/>
        <w:rPr>
          <w:color w:val="212121"/>
        </w:rPr>
      </w:pPr>
    </w:p>
    <w:p w:rsidR="00221736" w:rsidP="5EC058E7" w:rsidRDefault="00221736" w14:paraId="5BDC29C7" w14:textId="77777777">
      <w:pPr>
        <w:pStyle w:val="Rubrik2"/>
        <w:spacing w:before="0" w:after="0"/>
        <w:ind w:left="0"/>
      </w:pPr>
      <w:r w:rsidR="7C755765">
        <w:rPr/>
        <w:t>Uppföljningsintervall</w:t>
      </w:r>
    </w:p>
    <w:p w:rsidR="00221736" w:rsidP="00491738" w:rsidRDefault="00221736" w14:paraId="283B97BA" w14:textId="77777777">
      <w:pPr>
        <w:pStyle w:val="Normalwebb"/>
        <w:spacing w:after="0"/>
        <w:rPr>
          <w:color w:val="212121"/>
        </w:rPr>
      </w:pPr>
      <w:r w:rsidRPr="0008147F">
        <w:rPr>
          <w:color w:val="212121"/>
        </w:rPr>
        <w:t>Systematiserad uppföljning enligt ovan skall erbjudas patienter som är radikalt opererade och som har en god funktionsförmåga och allmäntillstånd med en skattad biologisk ålder på upp till 80 år. Patienterna måste självklart inför start av systematiserad uppföljning vara bedömda att kunna klara av kirurgisk eller onkologisk behandling. Viktigt att påpeka är att alla patienter ska utredas noga perioperativt för att utesluta synkron metastasering eller synkrona kolorektala primärtumörer.</w:t>
      </w:r>
    </w:p>
    <w:p w:rsidR="0067090E" w:rsidP="00491738" w:rsidRDefault="0067090E" w14:paraId="173F5D73" w14:textId="77777777">
      <w:pPr>
        <w:pStyle w:val="Normalwebb"/>
        <w:spacing w:after="0"/>
        <w:rPr>
          <w:color w:val="212121"/>
        </w:rPr>
      </w:pPr>
    </w:p>
    <w:p w:rsidRPr="0008147F" w:rsidR="00221736" w:rsidP="00491738" w:rsidRDefault="00221736" w14:paraId="415200F3" w14:textId="6248A06D">
      <w:pPr>
        <w:pStyle w:val="Normalwebb"/>
        <w:spacing w:after="0"/>
        <w:rPr>
          <w:color w:val="212121"/>
        </w:rPr>
      </w:pPr>
      <w:r w:rsidRPr="13884E2D">
        <w:rPr>
          <w:color w:val="212121"/>
        </w:rPr>
        <w:lastRenderedPageBreak/>
        <w:t>För stadium I-patienter som är radikalopererade finns inget vetenskapligt provat uppföljningsschema men risken för recidiv och metastaser är mycket låg, varför uppföljning har ifrågasatts. </w:t>
      </w:r>
    </w:p>
    <w:p w:rsidR="13884E2D" w:rsidP="13884E2D" w:rsidRDefault="13884E2D" w14:paraId="6BF00912" w14:textId="45969FD7">
      <w:pPr>
        <w:pStyle w:val="Normalwebb"/>
        <w:spacing w:after="0"/>
        <w:rPr>
          <w:color w:val="212121"/>
        </w:rPr>
      </w:pPr>
    </w:p>
    <w:p w:rsidR="00221736" w:rsidP="00491738" w:rsidRDefault="00221736" w14:paraId="01FB331D" w14:textId="77777777">
      <w:pPr>
        <w:pStyle w:val="Normalwebb"/>
        <w:spacing w:after="0"/>
        <w:rPr>
          <w:color w:val="212121"/>
        </w:rPr>
      </w:pPr>
      <w:r w:rsidRPr="0008147F">
        <w:rPr>
          <w:color w:val="212121"/>
        </w:rPr>
        <w:t>För lokalt exciderade tidiga tumörer skall uppföljning inriktas på lokalrecidiv samt lokal körtelmetastasering. För lokalt exciderade T1 Sm1-3 bör uppföljning ske med endoskopi under 3–5 år samt DT buk eller för rektalcancer med MRT bäcken.</w:t>
      </w:r>
    </w:p>
    <w:p w:rsidRPr="0008147F" w:rsidR="00221736" w:rsidP="00491738" w:rsidRDefault="00221736" w14:paraId="1CE481EE" w14:textId="77777777">
      <w:pPr>
        <w:pStyle w:val="Normalwebb"/>
        <w:spacing w:after="0"/>
        <w:rPr>
          <w:color w:val="212121"/>
        </w:rPr>
      </w:pPr>
    </w:p>
    <w:p w:rsidR="00221736" w:rsidP="00491738" w:rsidRDefault="00221736" w14:paraId="05594941" w14:textId="6186D6B0">
      <w:pPr>
        <w:pStyle w:val="Normalwebb"/>
        <w:spacing w:after="0"/>
        <w:rPr>
          <w:color w:val="212121"/>
        </w:rPr>
      </w:pPr>
      <w:r w:rsidRPr="0008147F">
        <w:rPr>
          <w:color w:val="212121"/>
        </w:rPr>
        <w:t>MR lever rekommenderas i princip alltid vid DT</w:t>
      </w:r>
      <w:r w:rsidR="00A36B7F">
        <w:rPr>
          <w:color w:val="212121"/>
        </w:rPr>
        <w:t>-</w:t>
      </w:r>
      <w:r w:rsidRPr="0008147F">
        <w:rPr>
          <w:color w:val="212121"/>
        </w:rPr>
        <w:t>fynd inför MDK lever. Patienter med små nyupptä</w:t>
      </w:r>
      <w:r w:rsidR="00A36B7F">
        <w:rPr>
          <w:color w:val="212121"/>
        </w:rPr>
        <w:t>c</w:t>
      </w:r>
      <w:r w:rsidRPr="0008147F">
        <w:rPr>
          <w:color w:val="212121"/>
        </w:rPr>
        <w:t>kta lungnoduli kan kontrolleras med ny DT thorax om 3–6 månader och om tillväxt, diskussion på MDK thorax. PET-DT rekommenderas inte i den primära uppföljningen utan som ett komplement inför eventuell metastaskirurgi.</w:t>
      </w:r>
    </w:p>
    <w:p w:rsidR="0067090E" w:rsidP="00491738" w:rsidRDefault="0067090E" w14:paraId="562EF55D" w14:textId="77777777">
      <w:pPr>
        <w:pStyle w:val="Normalwebb"/>
        <w:spacing w:after="0"/>
        <w:rPr>
          <w:color w:val="212121"/>
        </w:rPr>
      </w:pPr>
    </w:p>
    <w:p w:rsidR="00221736" w:rsidP="5EC058E7" w:rsidRDefault="00221736" w14:paraId="4D5BF929" w14:textId="77777777">
      <w:pPr>
        <w:pStyle w:val="Rubrik2"/>
        <w:spacing w:before="0" w:after="0"/>
        <w:ind w:left="0"/>
      </w:pPr>
      <w:r w:rsidR="7C755765">
        <w:rPr/>
        <w:t>Självrapportering av symtom</w:t>
      </w:r>
    </w:p>
    <w:p w:rsidRPr="003B351E" w:rsidR="00221736" w:rsidP="00491738" w:rsidRDefault="00221736" w14:paraId="5C727CB9" w14:textId="77777777">
      <w:pPr>
        <w:pStyle w:val="Normalwebb"/>
        <w:spacing w:after="0"/>
        <w:rPr>
          <w:color w:val="212121"/>
        </w:rPr>
      </w:pPr>
      <w:r w:rsidRPr="003B351E">
        <w:rPr>
          <w:color w:val="212121"/>
        </w:rPr>
        <w:t>Patienten bör uppmanas att höra av sig till kontaktsjuksköterskan vid nytillkomna rehabiliteringsbehov eller om insatta rehabiliteringsåtgärder eller egenvårdsråd inte är tillräckliga.</w:t>
      </w:r>
    </w:p>
    <w:p w:rsidR="00221736" w:rsidP="00491738" w:rsidRDefault="00221736" w14:paraId="2F27B573" w14:textId="77777777">
      <w:pPr>
        <w:pStyle w:val="Normalwebb"/>
        <w:spacing w:after="0"/>
        <w:rPr>
          <w:color w:val="212121"/>
        </w:rPr>
      </w:pPr>
      <w:r w:rsidRPr="003B351E">
        <w:rPr>
          <w:color w:val="212121"/>
        </w:rPr>
        <w:t>Patienten bör också uppmanas att höra av sig vid nytillkommen trötthet, ofrivillig viktnedgång eller blod från tarmen eftersom det kan vara tecken på återfall. </w:t>
      </w:r>
    </w:p>
    <w:p w:rsidR="00221736" w:rsidP="00491738" w:rsidRDefault="00221736" w14:paraId="2168DA5D" w14:textId="77777777">
      <w:pPr>
        <w:pStyle w:val="Normalwebb"/>
        <w:spacing w:after="0"/>
        <w:rPr>
          <w:color w:val="212121"/>
        </w:rPr>
      </w:pPr>
    </w:p>
    <w:p w:rsidR="00221736" w:rsidP="5EC058E7" w:rsidRDefault="00221736" w14:paraId="4E8DF69A" w14:textId="77777777">
      <w:pPr>
        <w:pStyle w:val="Rubrik2"/>
        <w:spacing w:before="0" w:after="0"/>
        <w:ind w:left="0"/>
      </w:pPr>
      <w:r w:rsidR="7C755765">
        <w:rPr/>
        <w:t>Uppföljning</w:t>
      </w:r>
    </w:p>
    <w:tbl>
      <w:tblPr>
        <w:tblW w:w="0" w:type="auto"/>
        <w:tblCellMar>
          <w:top w:w="15" w:type="dxa"/>
          <w:left w:w="15" w:type="dxa"/>
          <w:bottom w:w="15" w:type="dxa"/>
          <w:right w:w="15" w:type="dxa"/>
        </w:tblCellMar>
        <w:tblLook w:val="04A0" w:firstRow="1" w:lastRow="0" w:firstColumn="1" w:lastColumn="0" w:noHBand="0" w:noVBand="1"/>
      </w:tblPr>
      <w:tblGrid>
        <w:gridCol w:w="2368"/>
        <w:gridCol w:w="1931"/>
        <w:gridCol w:w="4630"/>
      </w:tblGrid>
      <w:tr w:rsidR="00221736" w:rsidTr="5EC058E7" w14:paraId="6A63BE99" w14:textId="77777777">
        <w:tc>
          <w:tcPr>
            <w:tcW w:w="0" w:type="auto"/>
            <w:tcMar/>
            <w:vAlign w:val="center"/>
            <w:hideMark/>
          </w:tcPr>
          <w:p w:rsidR="00221736" w:rsidP="5EC058E7" w:rsidRDefault="00221736" w14:paraId="373A6376"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Urval</w:t>
            </w:r>
          </w:p>
        </w:tc>
        <w:tc>
          <w:tcPr>
            <w:tcW w:w="0" w:type="auto"/>
            <w:tcMar/>
            <w:vAlign w:val="center"/>
            <w:hideMark/>
          </w:tcPr>
          <w:p w:rsidR="00221736" w:rsidP="5EC058E7" w:rsidRDefault="00221736" w14:paraId="560686D3"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Uppföljningstid</w:t>
            </w:r>
          </w:p>
        </w:tc>
        <w:tc>
          <w:tcPr>
            <w:tcW w:w="0" w:type="auto"/>
            <w:tcMar/>
            <w:vAlign w:val="center"/>
            <w:hideMark/>
          </w:tcPr>
          <w:p w:rsidR="00221736" w:rsidP="5EC058E7" w:rsidRDefault="00221736" w14:paraId="536F2824"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Kommentar</w:t>
            </w:r>
          </w:p>
        </w:tc>
      </w:tr>
      <w:tr w:rsidR="00221736" w:rsidTr="5EC058E7" w14:paraId="6B360937" w14:textId="77777777">
        <w:tc>
          <w:tcPr>
            <w:tcW w:w="0" w:type="auto"/>
            <w:tcMar/>
            <w:vAlign w:val="center"/>
            <w:hideMark/>
          </w:tcPr>
          <w:p w:rsidR="00221736" w:rsidP="5EC058E7" w:rsidRDefault="00221736" w14:paraId="0F93E567"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Alla opererade patienter</w:t>
            </w:r>
          </w:p>
          <w:p w:rsidR="00221736" w:rsidP="5EC058E7" w:rsidRDefault="00221736" w14:paraId="37D45086"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 </w:t>
            </w:r>
          </w:p>
        </w:tc>
        <w:tc>
          <w:tcPr>
            <w:tcW w:w="0" w:type="auto"/>
            <w:tcMar/>
            <w:vAlign w:val="center"/>
            <w:hideMark/>
          </w:tcPr>
          <w:p w:rsidR="00221736" w:rsidP="5EC058E7" w:rsidRDefault="00221736" w14:paraId="6721EFAE"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30 dagar efter operation</w:t>
            </w:r>
          </w:p>
          <w:p w:rsidR="00221736" w:rsidP="5EC058E7" w:rsidRDefault="00221736" w14:paraId="1BF4DF99"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c>
          <w:tcPr>
            <w:tcW w:w="0" w:type="auto"/>
            <w:tcMar/>
            <w:vAlign w:val="center"/>
            <w:hideMark/>
          </w:tcPr>
          <w:p w:rsidR="00221736" w:rsidP="5EC058E7" w:rsidRDefault="00221736" w14:paraId="1C32ADF3"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Klinisk kontroll av läkningsförloppet, endoskopi av anastomos(rektalcancer) ev. blodprover– en första behovsbedömning</w:t>
            </w:r>
          </w:p>
          <w:p w:rsidR="00221736" w:rsidP="5EC058E7" w:rsidRDefault="00221736" w14:paraId="5F48140C"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r>
      <w:tr w:rsidR="00221736" w:rsidTr="5EC058E7" w14:paraId="707BC6D4" w14:textId="77777777">
        <w:tc>
          <w:tcPr>
            <w:tcW w:w="0" w:type="auto"/>
            <w:tcMar/>
            <w:vAlign w:val="center"/>
            <w:hideMark/>
          </w:tcPr>
          <w:p w:rsidR="00221736" w:rsidP="5EC058E7" w:rsidRDefault="00221736" w14:paraId="130C82A9"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Patienter utvalda för systematiserad uppföljning</w:t>
            </w:r>
          </w:p>
          <w:p w:rsidR="00221736" w:rsidP="5EC058E7" w:rsidRDefault="00221736" w14:paraId="61FD54A6"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 </w:t>
            </w:r>
          </w:p>
        </w:tc>
        <w:tc>
          <w:tcPr>
            <w:tcW w:w="0" w:type="auto"/>
            <w:tcMar/>
            <w:vAlign w:val="center"/>
            <w:hideMark/>
          </w:tcPr>
          <w:p w:rsidR="00221736" w:rsidP="5EC058E7" w:rsidRDefault="00221736" w14:paraId="4EA55A8A"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Ev. 6 månader</w:t>
            </w:r>
          </w:p>
          <w:p w:rsidR="00221736" w:rsidP="5EC058E7" w:rsidRDefault="00221736" w14:paraId="388F5219"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c>
          <w:tcPr>
            <w:tcW w:w="0" w:type="auto"/>
            <w:tcMar/>
            <w:vAlign w:val="center"/>
            <w:hideMark/>
          </w:tcPr>
          <w:p w:rsidR="00221736" w:rsidP="5EC058E7" w:rsidRDefault="00221736" w14:paraId="6D4D6D7C"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xml:space="preserve">Besök efter avslutad adjuvans, planera nedläggning av </w:t>
            </w:r>
            <w:r w:rsidRPr="5EC058E7" w:rsidR="7C755765">
              <w:rPr>
                <w:rFonts w:ascii="Times New Roman" w:hAnsi="Times New Roman" w:eastAsia="Times New Roman" w:cs="Times New Roman"/>
                <w:color w:val="212121"/>
              </w:rPr>
              <w:t>ev</w:t>
            </w:r>
            <w:r w:rsidRPr="5EC058E7" w:rsidR="7C755765">
              <w:rPr>
                <w:rFonts w:ascii="Times New Roman" w:hAnsi="Times New Roman" w:eastAsia="Times New Roman" w:cs="Times New Roman"/>
                <w:color w:val="212121"/>
              </w:rPr>
              <w:t xml:space="preserve"> avlastande stomi, värdering rehabiliteringsbehov</w:t>
            </w:r>
          </w:p>
          <w:p w:rsidR="00221736" w:rsidP="5EC058E7" w:rsidRDefault="00221736" w14:paraId="4E6E172C"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r>
      <w:tr w:rsidR="00221736" w:rsidTr="5EC058E7" w14:paraId="1B714050" w14:textId="77777777">
        <w:tc>
          <w:tcPr>
            <w:tcW w:w="0" w:type="auto"/>
            <w:tcMar/>
            <w:vAlign w:val="center"/>
            <w:hideMark/>
          </w:tcPr>
          <w:p w:rsidR="00221736" w:rsidP="5EC058E7" w:rsidRDefault="00221736" w14:paraId="578796AB"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 </w:t>
            </w:r>
          </w:p>
        </w:tc>
        <w:tc>
          <w:tcPr>
            <w:tcW w:w="0" w:type="auto"/>
            <w:tcMar/>
            <w:vAlign w:val="center"/>
            <w:hideMark/>
          </w:tcPr>
          <w:p w:rsidR="00221736" w:rsidP="5EC058E7" w:rsidRDefault="00221736" w14:paraId="07AC0E71"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1 år</w:t>
            </w:r>
          </w:p>
          <w:p w:rsidR="00221736" w:rsidP="5EC058E7" w:rsidRDefault="00221736" w14:paraId="6EB2C33D"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c>
          <w:tcPr>
            <w:tcW w:w="0" w:type="auto"/>
            <w:tcMar/>
            <w:vAlign w:val="center"/>
            <w:hideMark/>
          </w:tcPr>
          <w:p w:rsidR="00221736" w:rsidP="5EC058E7" w:rsidRDefault="00221736" w14:paraId="5AF8F238"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xml:space="preserve">Besök efter DT thorax/buk, CEA; PR+ </w:t>
            </w:r>
            <w:r w:rsidRPr="5EC058E7" w:rsidR="7C755765">
              <w:rPr>
                <w:rFonts w:ascii="Times New Roman" w:hAnsi="Times New Roman" w:eastAsia="Times New Roman" w:cs="Times New Roman"/>
                <w:color w:val="212121"/>
              </w:rPr>
              <w:t>endoskopi anastomos</w:t>
            </w:r>
            <w:r w:rsidRPr="5EC058E7" w:rsidR="7C755765">
              <w:rPr>
                <w:rFonts w:ascii="Times New Roman" w:hAnsi="Times New Roman" w:eastAsia="Times New Roman" w:cs="Times New Roman"/>
                <w:color w:val="212121"/>
              </w:rPr>
              <w:t xml:space="preserve"> (op. rektalcancer), värdering rehabiliteringsbehov</w:t>
            </w:r>
          </w:p>
        </w:tc>
      </w:tr>
      <w:tr w:rsidR="00221736" w:rsidTr="5EC058E7" w14:paraId="2E32D464" w14:textId="77777777">
        <w:tc>
          <w:tcPr>
            <w:tcW w:w="0" w:type="auto"/>
            <w:tcMar/>
            <w:vAlign w:val="center"/>
            <w:hideMark/>
          </w:tcPr>
          <w:p w:rsidR="00221736" w:rsidP="5EC058E7" w:rsidRDefault="00221736" w14:paraId="62BCFB1A"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 </w:t>
            </w:r>
          </w:p>
        </w:tc>
        <w:tc>
          <w:tcPr>
            <w:tcW w:w="0" w:type="auto"/>
            <w:tcMar/>
            <w:vAlign w:val="center"/>
            <w:hideMark/>
          </w:tcPr>
          <w:p w:rsidR="00221736" w:rsidP="5EC058E7" w:rsidRDefault="00221736" w14:paraId="06F9FD93"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3 år</w:t>
            </w:r>
          </w:p>
          <w:p w:rsidR="00221736" w:rsidP="5EC058E7" w:rsidRDefault="00221736" w14:paraId="3F819DCF"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c>
          <w:tcPr>
            <w:tcW w:w="0" w:type="auto"/>
            <w:tcMar/>
            <w:vAlign w:val="center"/>
            <w:hideMark/>
          </w:tcPr>
          <w:p w:rsidR="00221736" w:rsidP="5EC058E7" w:rsidRDefault="00221736" w14:paraId="6A8FEAE2"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Besök efter DT thorax/buk, CEA; koloskopi*, värdering rehabiliteringsbehov</w:t>
            </w:r>
          </w:p>
        </w:tc>
      </w:tr>
      <w:tr w:rsidR="00221736" w:rsidTr="5EC058E7" w14:paraId="273C2B06" w14:textId="77777777">
        <w:tc>
          <w:tcPr>
            <w:tcW w:w="0" w:type="auto"/>
            <w:tcMar/>
            <w:vAlign w:val="center"/>
            <w:hideMark/>
          </w:tcPr>
          <w:p w:rsidR="00221736" w:rsidP="5EC058E7" w:rsidRDefault="00221736" w14:paraId="6F0AD691" w14:textId="77777777">
            <w:pPr>
              <w:pStyle w:val="Normalwebb"/>
              <w:spacing w:after="0"/>
              <w:rPr>
                <w:rFonts w:ascii="Times New Roman" w:hAnsi="Times New Roman" w:eastAsia="Times New Roman" w:cs="Times New Roman"/>
                <w:color w:val="212121"/>
              </w:rPr>
            </w:pPr>
            <w:r w:rsidRPr="5EC058E7" w:rsidR="7C755765">
              <w:rPr>
                <w:rStyle w:val="Stark"/>
                <w:rFonts w:ascii="Times New Roman" w:hAnsi="Times New Roman" w:eastAsia="Times New Roman" w:cs="Times New Roman"/>
                <w:color w:val="212121"/>
              </w:rPr>
              <w:t> </w:t>
            </w:r>
          </w:p>
        </w:tc>
        <w:tc>
          <w:tcPr>
            <w:tcW w:w="0" w:type="auto"/>
            <w:tcMar/>
            <w:vAlign w:val="center"/>
            <w:hideMark/>
          </w:tcPr>
          <w:p w:rsidR="00221736" w:rsidP="5EC058E7" w:rsidRDefault="00221736" w14:paraId="0DD67B81"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5 år</w:t>
            </w:r>
          </w:p>
        </w:tc>
        <w:tc>
          <w:tcPr>
            <w:tcW w:w="0" w:type="auto"/>
            <w:tcMar/>
            <w:vAlign w:val="center"/>
            <w:hideMark/>
          </w:tcPr>
          <w:p w:rsidR="00221736" w:rsidP="5EC058E7" w:rsidRDefault="00221736" w14:paraId="784CBD08"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xml:space="preserve">Inrapportering av uppföljningsdata till Svenska </w:t>
            </w:r>
            <w:r w:rsidRPr="5EC058E7" w:rsidR="7C755765">
              <w:rPr>
                <w:rFonts w:ascii="Times New Roman" w:hAnsi="Times New Roman" w:eastAsia="Times New Roman" w:cs="Times New Roman"/>
                <w:color w:val="212121"/>
              </w:rPr>
              <w:t>kolorektalcancerregistret</w:t>
            </w:r>
            <w:r w:rsidRPr="5EC058E7" w:rsidR="7C755765">
              <w:rPr>
                <w:rFonts w:ascii="Times New Roman" w:hAnsi="Times New Roman" w:eastAsia="Times New Roman" w:cs="Times New Roman"/>
                <w:color w:val="212121"/>
              </w:rPr>
              <w:t xml:space="preserve">, enligt </w:t>
            </w:r>
            <w:hyperlink r:id="Rde3cc419375b4e7f">
              <w:r w:rsidRPr="5EC058E7" w:rsidR="7C755765">
                <w:rPr>
                  <w:rStyle w:val="Hyperlnk"/>
                  <w:rFonts w:ascii="Times New Roman" w:hAnsi="Times New Roman" w:eastAsia="Times New Roman" w:cs="Times New Roman"/>
                </w:rPr>
                <w:t>manual till uppföljningsformuläret</w:t>
              </w:r>
            </w:hyperlink>
            <w:r w:rsidRPr="5EC058E7" w:rsidR="7C755765">
              <w:rPr>
                <w:rFonts w:ascii="Times New Roman" w:hAnsi="Times New Roman" w:eastAsia="Times New Roman" w:cs="Times New Roman"/>
                <w:color w:val="212121"/>
              </w:rPr>
              <w:t>.</w:t>
            </w:r>
          </w:p>
          <w:p w:rsidR="00221736" w:rsidP="5EC058E7" w:rsidRDefault="00221736" w14:paraId="32FCCC73" w14:textId="77777777">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w:t>
            </w:r>
          </w:p>
        </w:tc>
      </w:tr>
    </w:tbl>
    <w:p w:rsidR="00DE105D" w:rsidP="5EC058E7" w:rsidRDefault="00DE105D" w14:paraId="6B368C2D" w14:textId="406974EA">
      <w:pPr>
        <w:pStyle w:val="Normalwebb"/>
        <w:spacing w:after="0"/>
        <w:rPr>
          <w:rFonts w:ascii="Times New Roman" w:hAnsi="Times New Roman" w:eastAsia="Times New Roman" w:cs="Times New Roman"/>
          <w:color w:val="212121"/>
        </w:rPr>
      </w:pPr>
      <w:r w:rsidRPr="5EC058E7" w:rsidR="7C755765">
        <w:rPr>
          <w:rFonts w:ascii="Times New Roman" w:hAnsi="Times New Roman" w:eastAsia="Times New Roman" w:cs="Times New Roman"/>
          <w:color w:val="212121"/>
        </w:rPr>
        <w:t xml:space="preserve">*Koloskopi efter 3-årskontrollen utföres vart 5:e år eller oftare, allt enligt </w:t>
      </w:r>
      <w:hyperlink r:id="R1490d2065c3140c4">
        <w:r w:rsidRPr="5EC058E7" w:rsidR="7C755765">
          <w:rPr>
            <w:rStyle w:val="Hyperlnk"/>
            <w:rFonts w:ascii="Times New Roman" w:hAnsi="Times New Roman" w:eastAsia="Times New Roman" w:cs="Times New Roman"/>
          </w:rPr>
          <w:t>nationella riktlinjerna för polypuppföljning</w:t>
        </w:r>
      </w:hyperlink>
      <w:r w:rsidRPr="5EC058E7" w:rsidR="7C755765">
        <w:rPr>
          <w:rFonts w:ascii="Times New Roman" w:hAnsi="Times New Roman" w:eastAsia="Times New Roman" w:cs="Times New Roman"/>
          <w:color w:val="212121"/>
        </w:rPr>
        <w:t>. </w:t>
      </w:r>
    </w:p>
    <w:p w:rsidR="00DE105D" w:rsidP="5EC058E7" w:rsidRDefault="00DF4C43" w14:paraId="6A9256AA" w14:textId="27C89F3F">
      <w:pPr>
        <w:pStyle w:val="Rubrik2"/>
        <w:ind w:left="0"/>
      </w:pPr>
      <w:r w:rsidR="601AA69D">
        <w:rPr/>
        <w:t>Efter behandling av levermetastaser</w:t>
      </w:r>
    </w:p>
    <w:p w:rsidR="00C617A4" w:rsidP="00C617A4" w:rsidRDefault="00C617A4" w14:paraId="31BB65F2" w14:textId="77777777">
      <w:pPr>
        <w:pStyle w:val="Normalwebb"/>
        <w:spacing w:after="0"/>
        <w:rPr>
          <w:color w:val="212121"/>
        </w:rPr>
      </w:pPr>
      <w:r w:rsidRPr="00C617A4">
        <w:rPr>
          <w:color w:val="212121"/>
        </w:rPr>
        <w:t>Uppföljning var 6:e månad i 2 år och därefter minst en kontroll 3 år efter ingrepp för att upptäcka lokalrecidiv samt ny metastas. Detta endast om ytterligare behandling kan bli aktuell.</w:t>
      </w:r>
    </w:p>
    <w:p w:rsidRPr="00C617A4" w:rsidR="00C617A4" w:rsidP="00C617A4" w:rsidRDefault="00C617A4" w14:paraId="2D4C30DC" w14:textId="77777777">
      <w:pPr>
        <w:pStyle w:val="Normalwebb"/>
        <w:spacing w:after="0"/>
        <w:rPr>
          <w:color w:val="212121"/>
        </w:rPr>
      </w:pPr>
    </w:p>
    <w:p w:rsidR="00C617A4" w:rsidP="00C617A4" w:rsidRDefault="00C617A4" w14:paraId="7D42BB91" w14:textId="3D1B05E1">
      <w:pPr>
        <w:pStyle w:val="Normalwebb"/>
        <w:spacing w:after="0"/>
        <w:rPr>
          <w:color w:val="212121"/>
        </w:rPr>
      </w:pPr>
      <w:r w:rsidRPr="00C617A4">
        <w:rPr>
          <w:color w:val="212121"/>
        </w:rPr>
        <w:t>Efter ablation, R1-resektion samt försvunna icke behandlade metastaser: Tätare uppföljning första året, pga. högre recidivrisk.</w:t>
      </w:r>
    </w:p>
    <w:p w:rsidR="00C617A4" w:rsidP="5EC058E7" w:rsidRDefault="00221C80" w14:paraId="066D88BD" w14:textId="244A5F43">
      <w:pPr>
        <w:pStyle w:val="Rubrik2"/>
        <w:spacing w:after="0"/>
        <w:ind w:left="0"/>
        <w:rPr>
          <w:color w:val="212121"/>
        </w:rPr>
      </w:pPr>
      <w:r w:rsidR="030E0AD0">
        <w:rPr/>
        <w:t>Efter behandling av lungmetastaser</w:t>
      </w:r>
    </w:p>
    <w:p w:rsidR="00DF4C43" w:rsidP="00221C80" w:rsidRDefault="00221C80" w14:paraId="70CA7072" w14:textId="4A564549">
      <w:pPr>
        <w:spacing w:after="0"/>
        <w:ind w:left="0"/>
        <w:rPr>
          <w:color w:val="212121"/>
        </w:rPr>
      </w:pPr>
      <w:r w:rsidRPr="00221C80">
        <w:rPr>
          <w:color w:val="212121"/>
        </w:rPr>
        <w:t>Uppföljning var 6:e månad i 2 år och därefter minst en kontroll 3 år efter ingrepp för att upptäcka lokalrecidiv samt ny metastas. </w:t>
      </w:r>
    </w:p>
    <w:p w:rsidR="00221C80" w:rsidP="00221C80" w:rsidRDefault="00221C80" w14:paraId="025A21C4" w14:textId="77777777">
      <w:pPr>
        <w:spacing w:after="0"/>
        <w:ind w:left="0"/>
        <w:rPr>
          <w:color w:val="212121"/>
        </w:rPr>
      </w:pPr>
    </w:p>
    <w:p w:rsidR="00221C80" w:rsidP="5EC058E7" w:rsidRDefault="0070771B" w14:paraId="38340F4B" w14:textId="60321529">
      <w:pPr>
        <w:pStyle w:val="Rubrik2"/>
        <w:ind w:left="0"/>
      </w:pPr>
      <w:r w:rsidR="3BC8C0CE">
        <w:rPr/>
        <w:t>Bedömning av CEA</w:t>
      </w:r>
    </w:p>
    <w:p w:rsidR="0001747E" w:rsidP="5EC058E7" w:rsidRDefault="0001747E" w14:paraId="21DB6E4F" w14:textId="3E81B95A">
      <w:pPr>
        <w:spacing w:after="0" w:line="240" w:lineRule="auto"/>
        <w:ind w:left="0" w:right="0"/>
      </w:pPr>
      <w:r w:rsidR="25E59DC2">
        <w:rPr/>
        <w:t>Baseline</w:t>
      </w:r>
      <w:r w:rsidR="25E59DC2">
        <w:rPr/>
        <w:t xml:space="preserve"> är CEA </w:t>
      </w:r>
      <w:r w:rsidR="338A7EE9">
        <w:rPr/>
        <w:t>1</w:t>
      </w:r>
      <w:r w:rsidR="25E59DC2">
        <w:rPr/>
        <w:t xml:space="preserve"> månad postop.</w:t>
      </w:r>
    </w:p>
    <w:p w:rsidR="0001747E" w:rsidP="5EC058E7" w:rsidRDefault="0001747E" w14:paraId="5E4EF743" w14:textId="77777777">
      <w:pPr>
        <w:spacing w:after="0" w:line="240" w:lineRule="auto"/>
        <w:ind w:left="0" w:right="0"/>
      </w:pPr>
    </w:p>
    <w:p w:rsidR="0001747E" w:rsidP="5EC058E7" w:rsidRDefault="00D57382" w14:paraId="7E01268E" w14:textId="087420D4">
      <w:pPr>
        <w:spacing w:after="0" w:line="240" w:lineRule="auto"/>
        <w:ind w:left="0" w:right="0"/>
      </w:pPr>
      <w:r w:rsidR="20E0A2CE">
        <w:rPr/>
        <w:t xml:space="preserve">För patient med CEA </w:t>
      </w:r>
      <w:r w:rsidR="20E0A2CE">
        <w:rPr/>
        <w:t>&lt; 5</w:t>
      </w:r>
      <w:r w:rsidR="20E0A2CE">
        <w:rPr/>
        <w:t xml:space="preserve"> räknas </w:t>
      </w:r>
      <w:r w:rsidR="20E0A2CE">
        <w:rPr/>
        <w:t>baseline</w:t>
      </w:r>
      <w:r w:rsidR="20E0A2CE">
        <w:rPr/>
        <w:t xml:space="preserve"> som 5.</w:t>
      </w:r>
    </w:p>
    <w:p w:rsidR="00D57382" w:rsidP="5EC058E7" w:rsidRDefault="00D57382" w14:paraId="549F1787" w14:textId="77777777">
      <w:pPr>
        <w:spacing w:after="0" w:line="240" w:lineRule="auto"/>
        <w:ind w:left="0" w:right="0"/>
      </w:pPr>
    </w:p>
    <w:p w:rsidR="002D6FFE" w:rsidP="5EC058E7" w:rsidRDefault="00D57382" w14:paraId="69D34B10" w14:textId="42859BDB">
      <w:pPr>
        <w:spacing w:after="0" w:line="240" w:lineRule="auto"/>
        <w:ind w:left="0" w:right="0"/>
      </w:pPr>
      <w:r w:rsidR="20E0A2CE">
        <w:rPr/>
        <w:t xml:space="preserve">Om ökning av CEA mer än </w:t>
      </w:r>
      <w:r w:rsidR="338A7EE9">
        <w:rPr/>
        <w:t xml:space="preserve">30% men mindre än 100% nytt prov efter 1 månad. Om detta visar </w:t>
      </w:r>
      <w:r w:rsidR="1029CD8B">
        <w:rPr/>
        <w:t xml:space="preserve">ytterligare ökning betraktas detta som positivt. Annars nytt test igen efter 1 månad. Om inte positivt få </w:t>
      </w:r>
      <w:r w:rsidR="39797489">
        <w:rPr/>
        <w:t xml:space="preserve">tas inget mer förrän nästa år. </w:t>
      </w:r>
    </w:p>
    <w:p w:rsidR="00C605FD" w:rsidP="5EC058E7" w:rsidRDefault="00C605FD" w14:paraId="465981FE" w14:textId="77777777">
      <w:pPr>
        <w:spacing w:after="0" w:line="240" w:lineRule="auto"/>
        <w:ind w:left="0" w:right="0"/>
      </w:pPr>
    </w:p>
    <w:p w:rsidR="00C605FD" w:rsidP="5EC058E7" w:rsidRDefault="00C605FD" w14:paraId="1B39D06D" w14:textId="3AD3CC93">
      <w:pPr>
        <w:spacing w:after="0" w:line="240" w:lineRule="auto"/>
        <w:ind w:left="0" w:right="0"/>
      </w:pPr>
      <w:r w:rsidR="39797489">
        <w:rPr/>
        <w:t>Om ökning av CEA är 100% är detta positivt.</w:t>
      </w:r>
    </w:p>
    <w:p w:rsidR="00C605FD" w:rsidP="5EC058E7" w:rsidRDefault="00C605FD" w14:paraId="663183A4" w14:textId="77777777">
      <w:pPr>
        <w:spacing w:after="0" w:line="240" w:lineRule="auto"/>
        <w:ind w:left="0" w:right="0"/>
      </w:pPr>
    </w:p>
    <w:p w:rsidR="00C605FD" w:rsidP="5EC058E7" w:rsidRDefault="003A2C9A" w14:paraId="117F603F" w14:textId="70B543D2">
      <w:pPr>
        <w:spacing w:after="0" w:line="240" w:lineRule="auto"/>
        <w:ind w:left="0" w:right="0"/>
      </w:pPr>
      <w:r w:rsidR="64C2A848">
        <w:rPr/>
        <w:t xml:space="preserve">Vid positivt test extra CT samt rektoskopi vid rektalcancer. Eventuell MR rektum beställs vid rektoskopi. </w:t>
      </w:r>
    </w:p>
    <w:p w:rsidRPr="00033E9C" w:rsidR="00033E9C" w:rsidP="5EC058E7" w:rsidRDefault="005154D6" w14:paraId="1446790D" w14:textId="45829678">
      <w:pPr>
        <w:pStyle w:val="Rubrik2"/>
        <w:spacing w:after="0" w:line="240" w:lineRule="auto"/>
        <w:ind w:left="0"/>
      </w:pPr>
      <w:r w:rsidR="6DE36468">
        <w:rPr/>
        <w:t xml:space="preserve">Postop uppföljning av patienter med </w:t>
      </w:r>
      <w:r w:rsidR="6DE36468">
        <w:rPr/>
        <w:t>peritoneal</w:t>
      </w:r>
      <w:r w:rsidR="6DE36468">
        <w:rPr/>
        <w:t xml:space="preserve"> </w:t>
      </w:r>
      <w:r w:rsidR="0089AEFE">
        <w:rPr/>
        <w:t>carcinos</w:t>
      </w:r>
    </w:p>
    <w:tbl>
      <w:tblPr>
        <w:tblW w:w="0" w:type="auto"/>
        <w:tblCellMar>
          <w:top w:w="15" w:type="dxa"/>
          <w:left w:w="15" w:type="dxa"/>
          <w:bottom w:w="15" w:type="dxa"/>
          <w:right w:w="15" w:type="dxa"/>
        </w:tblCellMar>
        <w:tblLook w:val="04A0" w:firstRow="1" w:lastRow="0" w:firstColumn="1" w:lastColumn="0" w:noHBand="0" w:noVBand="1"/>
      </w:tblPr>
      <w:tblGrid>
        <w:gridCol w:w="8929"/>
      </w:tblGrid>
      <w:tr w:rsidRPr="00033E9C" w:rsidR="00033E9C" w:rsidTr="5EC058E7" w14:paraId="2CA48C91" w14:textId="77777777">
        <w:tc>
          <w:tcPr>
            <w:tcW w:w="9900" w:type="dxa"/>
            <w:tcMar/>
            <w:vAlign w:val="center"/>
            <w:hideMark/>
          </w:tcPr>
          <w:p w:rsidRPr="00033E9C" w:rsidR="00033E9C" w:rsidP="5EC058E7" w:rsidRDefault="00033E9C" w14:paraId="3A3F6222" w14:textId="69062715">
            <w:pPr>
              <w:spacing w:after="375" w:line="240" w:lineRule="auto"/>
              <w:ind w:left="0" w:right="0"/>
              <w:rPr>
                <w:rFonts w:ascii="Times New Roman" w:hAnsi="Times New Roman" w:eastAsia="Times New Roman" w:cs="Times New Roman"/>
                <w:color w:val="212121"/>
              </w:rPr>
            </w:pPr>
            <w:r w:rsidRPr="5EC058E7" w:rsidR="264F0349">
              <w:rPr>
                <w:rFonts w:ascii="Times New Roman" w:hAnsi="Times New Roman" w:eastAsia="Times New Roman" w:cs="Times New Roman"/>
                <w:color w:val="212121"/>
              </w:rPr>
              <w:t>Postop MD</w:t>
            </w:r>
            <w:r w:rsidRPr="5EC058E7" w:rsidR="641D8CA7">
              <w:rPr>
                <w:rFonts w:ascii="Times New Roman" w:hAnsi="Times New Roman" w:eastAsia="Times New Roman" w:cs="Times New Roman"/>
                <w:color w:val="212121"/>
              </w:rPr>
              <w:t>K-</w:t>
            </w:r>
            <w:r w:rsidRPr="5EC058E7" w:rsidR="264F0349">
              <w:rPr>
                <w:rFonts w:ascii="Times New Roman" w:hAnsi="Times New Roman" w:eastAsia="Times New Roman" w:cs="Times New Roman"/>
                <w:color w:val="212121"/>
              </w:rPr>
              <w:t xml:space="preserve">diskussion för individuell bedömning om postop </w:t>
            </w:r>
            <w:r w:rsidRPr="5EC058E7" w:rsidR="1076ABA6">
              <w:rPr>
                <w:rFonts w:ascii="Times New Roman" w:hAnsi="Times New Roman" w:eastAsia="Times New Roman" w:cs="Times New Roman"/>
                <w:color w:val="212121"/>
              </w:rPr>
              <w:t>kemoterapi</w:t>
            </w:r>
            <w:r w:rsidRPr="5EC058E7" w:rsidR="715E9749">
              <w:rPr>
                <w:rFonts w:ascii="Times New Roman" w:hAnsi="Times New Roman" w:eastAsia="Times New Roman" w:cs="Times New Roman"/>
                <w:color w:val="212121"/>
              </w:rPr>
              <w:t>.</w:t>
            </w:r>
          </w:p>
        </w:tc>
      </w:tr>
      <w:tr w:rsidRPr="00033E9C" w:rsidR="00033E9C" w:rsidTr="5EC058E7" w14:paraId="1375DDCE" w14:textId="77777777">
        <w:tc>
          <w:tcPr>
            <w:tcW w:w="9900" w:type="dxa"/>
            <w:tcMar/>
            <w:vAlign w:val="center"/>
            <w:hideMark/>
          </w:tcPr>
          <w:p w:rsidRPr="00033E9C" w:rsidR="00033E9C" w:rsidP="5EC058E7" w:rsidRDefault="00033E9C" w14:paraId="3FB164D4" w14:textId="581F9380">
            <w:pPr>
              <w:spacing w:after="375" w:line="240" w:lineRule="auto"/>
              <w:ind w:left="0" w:right="0"/>
              <w:rPr>
                <w:rFonts w:ascii="Times New Roman" w:hAnsi="Times New Roman" w:eastAsia="Times New Roman" w:cs="Times New Roman"/>
                <w:color w:val="212121"/>
              </w:rPr>
            </w:pPr>
            <w:r w:rsidRPr="5EC058E7" w:rsidR="264F0349">
              <w:rPr>
                <w:rFonts w:ascii="Times New Roman" w:hAnsi="Times New Roman" w:eastAsia="Times New Roman" w:cs="Times New Roman"/>
                <w:color w:val="212121"/>
              </w:rPr>
              <w:t xml:space="preserve">ÅB 6v postop, </w:t>
            </w:r>
            <w:r w:rsidRPr="5EC058E7" w:rsidR="264F0349">
              <w:rPr>
                <w:rFonts w:ascii="Times New Roman" w:hAnsi="Times New Roman" w:eastAsia="Times New Roman" w:cs="Times New Roman"/>
                <w:color w:val="212121"/>
              </w:rPr>
              <w:t>bas</w:t>
            </w:r>
            <w:r w:rsidRPr="5EC058E7" w:rsidR="1076ABA6">
              <w:rPr>
                <w:rFonts w:ascii="Times New Roman" w:hAnsi="Times New Roman" w:eastAsia="Times New Roman" w:cs="Times New Roman"/>
                <w:color w:val="212121"/>
              </w:rPr>
              <w:t>e</w:t>
            </w:r>
            <w:r w:rsidRPr="5EC058E7" w:rsidR="264F0349">
              <w:rPr>
                <w:rFonts w:ascii="Times New Roman" w:hAnsi="Times New Roman" w:eastAsia="Times New Roman" w:cs="Times New Roman"/>
                <w:color w:val="212121"/>
              </w:rPr>
              <w:t>line</w:t>
            </w:r>
            <w:r w:rsidRPr="5EC058E7" w:rsidR="264F0349">
              <w:rPr>
                <w:rFonts w:ascii="Times New Roman" w:hAnsi="Times New Roman" w:eastAsia="Times New Roman" w:cs="Times New Roman"/>
                <w:color w:val="212121"/>
              </w:rPr>
              <w:t xml:space="preserve"> CEA, CA 125, CA 19.9</w:t>
            </w:r>
          </w:p>
        </w:tc>
      </w:tr>
      <w:tr w:rsidRPr="00033E9C" w:rsidR="00033E9C" w:rsidTr="5EC058E7" w14:paraId="1ED6AE8D" w14:textId="77777777">
        <w:tc>
          <w:tcPr>
            <w:tcW w:w="9900" w:type="dxa"/>
            <w:tcMar/>
            <w:vAlign w:val="center"/>
            <w:hideMark/>
          </w:tcPr>
          <w:p w:rsidRPr="00033E9C" w:rsidR="00033E9C" w:rsidP="5EC058E7" w:rsidRDefault="00033E9C" w14:paraId="2BCAD193" w14:textId="77777777">
            <w:pPr>
              <w:spacing w:after="0" w:afterAutospacing="off" w:line="240" w:lineRule="auto"/>
              <w:ind w:left="0" w:right="0"/>
              <w:rPr>
                <w:rFonts w:ascii="Times New Roman" w:hAnsi="Times New Roman" w:eastAsia="Times New Roman" w:cs="Times New Roman"/>
                <w:color w:val="212121"/>
              </w:rPr>
            </w:pPr>
            <w:r w:rsidRPr="5EC058E7" w:rsidR="264F0349">
              <w:rPr>
                <w:rFonts w:ascii="Times New Roman" w:hAnsi="Times New Roman" w:eastAsia="Times New Roman" w:cs="Times New Roman"/>
                <w:color w:val="212121"/>
              </w:rPr>
              <w:t>Ev</w:t>
            </w:r>
            <w:r w:rsidRPr="5EC058E7" w:rsidR="264F0349">
              <w:rPr>
                <w:rFonts w:ascii="Times New Roman" w:hAnsi="Times New Roman" w:eastAsia="Times New Roman" w:cs="Times New Roman"/>
                <w:color w:val="212121"/>
              </w:rPr>
              <w:t xml:space="preserve"> stominedläggning efter 1-årskontroll.</w:t>
            </w:r>
          </w:p>
        </w:tc>
      </w:tr>
    </w:tbl>
    <w:p w:rsidR="5C1F6D90" w:rsidP="5C1F6D90" w:rsidRDefault="5C1F6D90" w14:paraId="33C5B8AD" w14:textId="046E25A0">
      <w:pPr>
        <w:pStyle w:val="Normal"/>
      </w:pPr>
    </w:p>
    <w:tbl>
      <w:tblPr>
        <w:tblW w:w="0" w:type="auto"/>
        <w:tblBorders>
          <w:top w:val="none" w:color="000000" w:themeColor="text2" w:sz="12"/>
          <w:left w:val="none" w:color="000000" w:themeColor="text2" w:sz="12"/>
          <w:bottom w:val="none" w:color="000000" w:themeColor="text2" w:sz="12"/>
          <w:right w:val="none" w:color="000000" w:themeColor="text2" w:sz="12"/>
          <w:insideH w:val="none" w:color="000000" w:themeColor="text2" w:sz="12"/>
          <w:insideV w:val="none" w:color="000000" w:themeColor="text2" w:sz="12"/>
        </w:tblBorders>
        <w:tblCellMar>
          <w:top w:w="15" w:type="dxa"/>
          <w:left w:w="15" w:type="dxa"/>
          <w:bottom w:w="15" w:type="dxa"/>
          <w:right w:w="15" w:type="dxa"/>
        </w:tblCellMar>
        <w:tblLook w:val="04A0" w:firstRow="1" w:lastRow="0" w:firstColumn="1" w:lastColumn="0" w:noHBand="0" w:noVBand="1"/>
      </w:tblPr>
      <w:tblGrid>
        <w:gridCol w:w="4980"/>
        <w:gridCol w:w="3949"/>
      </w:tblGrid>
      <w:tr w:rsidRPr="00DB0F08" w:rsidR="00DB0F08" w:rsidTr="63707D4A" w14:paraId="472DCF7F" w14:textId="77777777">
        <w:tc>
          <w:tcPr>
            <w:tcW w:w="9900" w:type="dxa"/>
            <w:gridSpan w:val="2"/>
            <w:tcMar/>
            <w:vAlign w:val="center"/>
            <w:hideMark/>
          </w:tcPr>
          <w:p w:rsidRPr="00DB0F08" w:rsidR="00DB0F08" w:rsidP="5EC058E7" w:rsidRDefault="00DB0F08" w14:paraId="4896404E"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b w:val="1"/>
                <w:bCs w:val="1"/>
                <w:color w:val="212121"/>
              </w:rPr>
              <w:t>Riktlinjer vidare uppföljning:</w:t>
            </w:r>
          </w:p>
        </w:tc>
      </w:tr>
      <w:tr w:rsidRPr="00DB0F08" w:rsidR="00DB0F08" w:rsidTr="63707D4A" w14:paraId="294694E1" w14:textId="77777777">
        <w:tc>
          <w:tcPr>
            <w:tcW w:w="5580" w:type="dxa"/>
            <w:tcMar/>
            <w:vAlign w:val="center"/>
            <w:hideMark/>
          </w:tcPr>
          <w:p w:rsidRPr="00DB0F08" w:rsidR="00DB0F08" w:rsidP="5EC058E7" w:rsidRDefault="00DB0F08" w14:paraId="437E08D6"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Pseudomyxoma</w:t>
            </w:r>
            <w:r w:rsidRPr="5EC058E7" w:rsidR="2109A742">
              <w:rPr>
                <w:rFonts w:ascii="Times New Roman" w:hAnsi="Times New Roman" w:eastAsia="Times New Roman" w:cs="Times New Roman"/>
                <w:color w:val="212121"/>
              </w:rPr>
              <w:t xml:space="preserve"> </w:t>
            </w:r>
            <w:r w:rsidRPr="5EC058E7" w:rsidR="2109A742">
              <w:rPr>
                <w:rFonts w:ascii="Times New Roman" w:hAnsi="Times New Roman" w:eastAsia="Times New Roman" w:cs="Times New Roman"/>
                <w:color w:val="212121"/>
              </w:rPr>
              <w:t>peritonei</w:t>
            </w:r>
            <w:r w:rsidRPr="5EC058E7" w:rsidR="2109A742">
              <w:rPr>
                <w:rFonts w:ascii="Times New Roman" w:hAnsi="Times New Roman" w:eastAsia="Times New Roman" w:cs="Times New Roman"/>
                <w:color w:val="212121"/>
              </w:rPr>
              <w:t xml:space="preserve"> (PMP)</w:t>
            </w:r>
          </w:p>
        </w:tc>
        <w:tc>
          <w:tcPr>
            <w:tcW w:w="4335" w:type="dxa"/>
            <w:vMerge w:val="restart"/>
            <w:tcMar/>
            <w:vAlign w:val="center"/>
            <w:hideMark/>
          </w:tcPr>
          <w:p w:rsidRPr="00DB0F08" w:rsidR="00DB0F08" w:rsidP="5EC058E7" w:rsidRDefault="00DB0F08" w14:paraId="5525E171" w14:textId="77777777">
            <w:pPr>
              <w:spacing w:after="375" w:line="240" w:lineRule="auto"/>
              <w:ind w:left="360" w:right="0" w:firstLine="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CT thorax/buk och tumörmarkörer var 6:e månad i 2 år samt om 3, 4, 5, 7 och 9 år.</w:t>
            </w:r>
          </w:p>
        </w:tc>
      </w:tr>
      <w:tr w:rsidRPr="00DB0F08" w:rsidR="00DB0F08" w:rsidTr="63707D4A" w14:paraId="5BB2A19B" w14:textId="77777777">
        <w:tc>
          <w:tcPr>
            <w:tcW w:w="5580" w:type="dxa"/>
            <w:tcMar/>
            <w:vAlign w:val="center"/>
            <w:hideMark/>
          </w:tcPr>
          <w:p w:rsidRPr="00DB0F08" w:rsidR="00DB0F08" w:rsidP="5EC058E7" w:rsidRDefault="00DB0F08" w14:paraId="13CA33A3"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DPAM (</w:t>
            </w:r>
            <w:r w:rsidRPr="5EC058E7" w:rsidR="2109A742">
              <w:rPr>
                <w:rFonts w:ascii="Times New Roman" w:hAnsi="Times New Roman" w:eastAsia="Times New Roman" w:cs="Times New Roman"/>
                <w:color w:val="212121"/>
              </w:rPr>
              <w:t>Ronnet</w:t>
            </w:r>
            <w:r w:rsidRPr="5EC058E7" w:rsidR="2109A742">
              <w:rPr>
                <w:rFonts w:ascii="Times New Roman" w:hAnsi="Times New Roman" w:eastAsia="Times New Roman" w:cs="Times New Roman"/>
                <w:color w:val="212121"/>
              </w:rPr>
              <w:t>); MUC-L (Bradley): LAMN (</w:t>
            </w:r>
            <w:r w:rsidRPr="5EC058E7" w:rsidR="2109A742">
              <w:rPr>
                <w:rFonts w:ascii="Times New Roman" w:hAnsi="Times New Roman" w:eastAsia="Times New Roman" w:cs="Times New Roman"/>
                <w:color w:val="212121"/>
              </w:rPr>
              <w:t>Low</w:t>
            </w:r>
            <w:r w:rsidRPr="5EC058E7" w:rsidR="2109A742">
              <w:rPr>
                <w:rFonts w:ascii="Times New Roman" w:hAnsi="Times New Roman" w:eastAsia="Times New Roman" w:cs="Times New Roman"/>
                <w:color w:val="212121"/>
              </w:rPr>
              <w:t xml:space="preserve"> </w:t>
            </w:r>
            <w:r w:rsidRPr="5EC058E7" w:rsidR="2109A742">
              <w:rPr>
                <w:rFonts w:ascii="Times New Roman" w:hAnsi="Times New Roman" w:eastAsia="Times New Roman" w:cs="Times New Roman"/>
                <w:color w:val="212121"/>
              </w:rPr>
              <w:t>grade</w:t>
            </w:r>
            <w:r w:rsidRPr="5EC058E7" w:rsidR="2109A742">
              <w:rPr>
                <w:rFonts w:ascii="Times New Roman" w:hAnsi="Times New Roman" w:eastAsia="Times New Roman" w:cs="Times New Roman"/>
                <w:color w:val="212121"/>
              </w:rPr>
              <w:t xml:space="preserve"> </w:t>
            </w:r>
            <w:r w:rsidRPr="5EC058E7" w:rsidR="2109A742">
              <w:rPr>
                <w:rFonts w:ascii="Times New Roman" w:hAnsi="Times New Roman" w:eastAsia="Times New Roman" w:cs="Times New Roman"/>
                <w:color w:val="212121"/>
              </w:rPr>
              <w:t>Appendiceal</w:t>
            </w:r>
            <w:r w:rsidRPr="5EC058E7" w:rsidR="2109A742">
              <w:rPr>
                <w:rFonts w:ascii="Times New Roman" w:hAnsi="Times New Roman" w:eastAsia="Times New Roman" w:cs="Times New Roman"/>
                <w:color w:val="212121"/>
              </w:rPr>
              <w:t xml:space="preserve"> </w:t>
            </w:r>
            <w:r w:rsidRPr="5EC058E7" w:rsidR="2109A742">
              <w:rPr>
                <w:rFonts w:ascii="Times New Roman" w:hAnsi="Times New Roman" w:eastAsia="Times New Roman" w:cs="Times New Roman"/>
                <w:color w:val="212121"/>
              </w:rPr>
              <w:t>Mucinous</w:t>
            </w:r>
            <w:r w:rsidRPr="5EC058E7" w:rsidR="2109A742">
              <w:rPr>
                <w:rFonts w:ascii="Times New Roman" w:hAnsi="Times New Roman" w:eastAsia="Times New Roman" w:cs="Times New Roman"/>
                <w:color w:val="212121"/>
              </w:rPr>
              <w:t xml:space="preserve"> </w:t>
            </w:r>
            <w:r w:rsidRPr="5EC058E7" w:rsidR="2109A742">
              <w:rPr>
                <w:rFonts w:ascii="Times New Roman" w:hAnsi="Times New Roman" w:eastAsia="Times New Roman" w:cs="Times New Roman"/>
                <w:color w:val="212121"/>
              </w:rPr>
              <w:t>Neoplasm</w:t>
            </w:r>
            <w:r w:rsidRPr="5EC058E7" w:rsidR="2109A742">
              <w:rPr>
                <w:rFonts w:ascii="Times New Roman" w:hAnsi="Times New Roman" w:eastAsia="Times New Roman" w:cs="Times New Roman"/>
                <w:color w:val="212121"/>
              </w:rPr>
              <w:t>):</w:t>
            </w:r>
          </w:p>
        </w:tc>
        <w:tc>
          <w:tcPr>
            <w:tcW w:w="0" w:type="auto"/>
            <w:vMerge/>
            <w:tcMar/>
            <w:vAlign w:val="center"/>
            <w:hideMark/>
          </w:tcPr>
          <w:p w:rsidRPr="00DB0F08" w:rsidR="00DB0F08" w:rsidP="00DB0F08" w:rsidRDefault="00DB0F08" w14:paraId="4F2BBB05" w14:textId="77777777">
            <w:pPr>
              <w:spacing w:after="0" w:line="240" w:lineRule="auto"/>
              <w:ind w:left="0" w:right="0"/>
              <w:rPr>
                <w:rFonts w:ascii="Source Serif Pro" w:hAnsi="Source Serif Pro"/>
                <w:color w:val="212121"/>
              </w:rPr>
            </w:pPr>
          </w:p>
        </w:tc>
      </w:tr>
      <w:tr w:rsidRPr="00DB0F08" w:rsidR="00DB0F08" w:rsidTr="63707D4A" w14:paraId="68297A8D" w14:textId="77777777">
        <w:tc>
          <w:tcPr>
            <w:tcW w:w="5580" w:type="dxa"/>
            <w:tcMar/>
            <w:vAlign w:val="center"/>
            <w:hideMark/>
          </w:tcPr>
          <w:p w:rsidRPr="00DB0F08" w:rsidR="00DB0F08" w:rsidP="5EC058E7" w:rsidRDefault="00DB0F08" w14:paraId="6EEE9BA3"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PMCA-I, PMCA (</w:t>
            </w:r>
            <w:r w:rsidRPr="5EC058E7" w:rsidR="2109A742">
              <w:rPr>
                <w:rFonts w:ascii="Times New Roman" w:hAnsi="Times New Roman" w:eastAsia="Times New Roman" w:cs="Times New Roman"/>
                <w:color w:val="212121"/>
              </w:rPr>
              <w:t>Ronnet</w:t>
            </w:r>
            <w:r w:rsidRPr="5EC058E7" w:rsidR="2109A742">
              <w:rPr>
                <w:rFonts w:ascii="Times New Roman" w:hAnsi="Times New Roman" w:eastAsia="Times New Roman" w:cs="Times New Roman"/>
                <w:color w:val="212121"/>
              </w:rPr>
              <w:t>); MUC-H (Bradley)</w:t>
            </w:r>
          </w:p>
        </w:tc>
        <w:tc>
          <w:tcPr>
            <w:tcW w:w="4335" w:type="dxa"/>
            <w:tcMar/>
            <w:vAlign w:val="center"/>
            <w:hideMark/>
          </w:tcPr>
          <w:p w:rsidRPr="00DB0F08" w:rsidR="00DB0F08" w:rsidP="5EC058E7" w:rsidRDefault="00DB0F08" w14:paraId="52D59E5F" w14:textId="77777777">
            <w:pPr>
              <w:spacing w:after="375" w:line="240" w:lineRule="auto"/>
              <w:ind w:left="360" w:right="0" w:firstLine="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CT thorax/buk och tumörmarkörer var 6e månad i 2 år samt om 3, 4 och 5 år.</w:t>
            </w:r>
          </w:p>
        </w:tc>
      </w:tr>
      <w:tr w:rsidRPr="00DB0F08" w:rsidR="00DB0F08" w:rsidTr="63707D4A" w14:paraId="2F29747E" w14:textId="77777777">
        <w:tc>
          <w:tcPr>
            <w:tcW w:w="5580" w:type="dxa"/>
            <w:tcMar/>
            <w:vAlign w:val="center"/>
            <w:hideMark/>
          </w:tcPr>
          <w:p w:rsidRPr="00DB0F08" w:rsidR="00DB0F08" w:rsidP="5EC058E7" w:rsidRDefault="00DB0F08" w14:paraId="1A4F5D79"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Carcinos</w:t>
            </w:r>
            <w:r w:rsidRPr="5EC058E7" w:rsidR="2109A742">
              <w:rPr>
                <w:rFonts w:ascii="Times New Roman" w:hAnsi="Times New Roman" w:eastAsia="Times New Roman" w:cs="Times New Roman"/>
                <w:color w:val="212121"/>
              </w:rPr>
              <w:t xml:space="preserve"> orsakat av </w:t>
            </w:r>
            <w:r w:rsidRPr="5EC058E7" w:rsidR="2109A742">
              <w:rPr>
                <w:rFonts w:ascii="Times New Roman" w:hAnsi="Times New Roman" w:eastAsia="Times New Roman" w:cs="Times New Roman"/>
                <w:color w:val="212121"/>
              </w:rPr>
              <w:t>kolorektal</w:t>
            </w:r>
            <w:r w:rsidRPr="5EC058E7" w:rsidR="2109A742">
              <w:rPr>
                <w:rFonts w:ascii="Times New Roman" w:hAnsi="Times New Roman" w:eastAsia="Times New Roman" w:cs="Times New Roman"/>
                <w:color w:val="212121"/>
              </w:rPr>
              <w:t xml:space="preserve"> cancer (CRC)</w:t>
            </w:r>
          </w:p>
        </w:tc>
        <w:tc>
          <w:tcPr>
            <w:tcW w:w="4335" w:type="dxa"/>
            <w:tcMar/>
            <w:vAlign w:val="center"/>
            <w:hideMark/>
          </w:tcPr>
          <w:p w:rsidRPr="00DB0F08" w:rsidR="00DB0F08" w:rsidP="5EC058E7" w:rsidRDefault="00DB0F08" w14:paraId="71C1B429" w14:textId="77777777">
            <w:pPr>
              <w:spacing w:after="375" w:line="240" w:lineRule="auto"/>
              <w:ind w:left="360" w:right="0" w:firstLine="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CT thorax/buk och tumörmarkörer var 6:e månad i 2 år samt om 3, 4 och 5 år.</w:t>
            </w:r>
          </w:p>
        </w:tc>
      </w:tr>
      <w:tr w:rsidRPr="00DB0F08" w:rsidR="00DB0F08" w:rsidTr="63707D4A" w14:paraId="55B94954" w14:textId="77777777">
        <w:trPr>
          <w:trHeight w:val="525"/>
        </w:trPr>
        <w:tc>
          <w:tcPr>
            <w:tcW w:w="5580" w:type="dxa"/>
            <w:tcMar/>
            <w:vAlign w:val="center"/>
            <w:hideMark/>
          </w:tcPr>
          <w:p w:rsidRPr="00DB0F08" w:rsidR="00DB0F08" w:rsidP="5EC058E7" w:rsidRDefault="00DB0F08" w14:paraId="6466D951"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Mesotheliom</w:t>
            </w:r>
          </w:p>
        </w:tc>
        <w:tc>
          <w:tcPr>
            <w:tcW w:w="4335" w:type="dxa"/>
            <w:tcMar/>
            <w:vAlign w:val="center"/>
            <w:hideMark/>
          </w:tcPr>
          <w:p w:rsidRPr="00DB0F08" w:rsidR="00DB0F08" w:rsidP="5EC058E7" w:rsidRDefault="00DB0F08" w14:paraId="58ABE692" w14:textId="77777777">
            <w:pPr>
              <w:spacing w:after="375" w:line="240" w:lineRule="auto"/>
              <w:ind w:left="360" w:right="0" w:firstLine="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CT thorax/buk och tumörmarkörer var 6:e månad i 2 år samt om 3, 4 och 5 år.</w:t>
            </w:r>
          </w:p>
        </w:tc>
      </w:tr>
      <w:tr w:rsidRPr="00DB0F08" w:rsidR="00DB0F08" w:rsidTr="63707D4A" w14:paraId="74F85135" w14:textId="77777777">
        <w:tc>
          <w:tcPr>
            <w:tcW w:w="5580" w:type="dxa"/>
            <w:tcMar/>
            <w:vAlign w:val="center"/>
            <w:hideMark/>
          </w:tcPr>
          <w:p w:rsidRPr="00DB0F08" w:rsidR="00DB0F08" w:rsidP="5EC058E7" w:rsidRDefault="00DB0F08" w14:paraId="403EF0A2" w14:textId="77777777">
            <w:pPr>
              <w:spacing w:after="375" w:line="240" w:lineRule="auto"/>
              <w:ind w:left="0" w:right="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 </w:t>
            </w:r>
          </w:p>
        </w:tc>
        <w:tc>
          <w:tcPr>
            <w:tcW w:w="4335" w:type="dxa"/>
            <w:tcMar/>
            <w:vAlign w:val="center"/>
            <w:hideMark/>
          </w:tcPr>
          <w:p w:rsidRPr="00DB0F08" w:rsidR="00DB0F08" w:rsidP="5EC058E7" w:rsidRDefault="00DB0F08" w14:paraId="49A25DE1" w14:textId="4E1A3BBF">
            <w:pPr>
              <w:spacing w:after="375" w:line="240" w:lineRule="auto"/>
              <w:ind w:left="360" w:right="0" w:firstLine="0"/>
              <w:rPr>
                <w:rFonts w:ascii="Times New Roman" w:hAnsi="Times New Roman" w:eastAsia="Times New Roman" w:cs="Times New Roman"/>
                <w:color w:val="212121"/>
              </w:rPr>
            </w:pPr>
            <w:r w:rsidRPr="5EC058E7" w:rsidR="2109A742">
              <w:rPr>
                <w:rFonts w:ascii="Times New Roman" w:hAnsi="Times New Roman" w:eastAsia="Times New Roman" w:cs="Times New Roman"/>
                <w:color w:val="212121"/>
              </w:rPr>
              <w:t>Tumörmarkörer: CEA, CA125, CA19.9, CA15-3, CA 72–4</w:t>
            </w:r>
          </w:p>
        </w:tc>
      </w:tr>
    </w:tbl>
    <w:p w:rsidR="5FF16AC4" w:rsidP="63707D4A" w:rsidRDefault="5FF16AC4" w14:paraId="7339BEBA" w14:textId="68E0327D">
      <w:pPr>
        <w:pStyle w:val="Rubrik2"/>
        <w:ind w:left="0"/>
      </w:pPr>
      <w:r w:rsidRPr="63707D4A" w:rsidR="5FF16AC4">
        <w:rPr>
          <w:rFonts w:ascii="Times New Roman" w:hAnsi="Times New Roman" w:eastAsia="Times New Roman" w:cs="Times New Roman"/>
          <w:sz w:val="24"/>
          <w:szCs w:val="24"/>
        </w:rPr>
        <w:t>Mucocele</w:t>
      </w:r>
      <w:r w:rsidRPr="63707D4A" w:rsidR="5FF16AC4">
        <w:rPr>
          <w:rFonts w:ascii="Times New Roman" w:hAnsi="Times New Roman" w:eastAsia="Times New Roman" w:cs="Times New Roman"/>
          <w:sz w:val="24"/>
          <w:szCs w:val="24"/>
        </w:rPr>
        <w:t xml:space="preserve"> appendix följs inte upp om radikalt opererad och ej tecken till slem i buken.</w:t>
      </w:r>
    </w:p>
    <w:p w:rsidR="63707D4A" w:rsidP="63707D4A" w:rsidRDefault="63707D4A" w14:paraId="5EB80CC2" w14:textId="663E7AEB">
      <w:pPr>
        <w:pStyle w:val="Normal"/>
        <w:ind w:left="0"/>
      </w:pPr>
    </w:p>
    <w:p w:rsidR="5FF16AC4" w:rsidP="63707D4A" w:rsidRDefault="5FF16AC4" w14:paraId="53040C9C" w14:textId="6FDBFC32">
      <w:pPr>
        <w:pStyle w:val="Normal"/>
        <w:ind w:left="0"/>
      </w:pPr>
      <w:r w:rsidR="5FF16AC4">
        <w:rPr/>
        <w:t>Second look: Ej som standard.</w:t>
      </w:r>
    </w:p>
    <w:p w:rsidR="00DB0F08" w:rsidP="5EC058E7" w:rsidRDefault="004B35FF" w14:paraId="59495301" w14:textId="19118A9C">
      <w:pPr>
        <w:pStyle w:val="Rubrik2"/>
        <w:ind w:left="0"/>
      </w:pPr>
      <w:r w:rsidR="61480A00">
        <w:rPr/>
        <w:t>Ansvar</w:t>
      </w:r>
    </w:p>
    <w:p w:rsidR="004B35FF" w:rsidP="004B35FF" w:rsidRDefault="004B35FF" w14:paraId="405749D3" w14:textId="77777777">
      <w:pPr>
        <w:pStyle w:val="Normalwebb"/>
        <w:spacing w:after="0"/>
        <w:rPr>
          <w:color w:val="212121"/>
        </w:rPr>
      </w:pPr>
      <w:r w:rsidRPr="004B35FF">
        <w:rPr>
          <w:color w:val="212121"/>
        </w:rPr>
        <w:t>Patientens kontaktsjuksköterska ansvarar för att hålla samman och följa upp rehabiliteringen. När patienter får adjuvant behandling bör alla överlämningar mellan kontaktsjuksköterskor vara aktiva så att patienterna alltid vet vem de ska kontakta vid rehabiliteringsbehov.</w:t>
      </w:r>
    </w:p>
    <w:p w:rsidRPr="004B35FF" w:rsidR="005C4223" w:rsidP="004B35FF" w:rsidRDefault="005C4223" w14:paraId="0BECEB8E" w14:textId="77777777">
      <w:pPr>
        <w:pStyle w:val="Normalwebb"/>
        <w:spacing w:after="0"/>
        <w:rPr>
          <w:color w:val="212121"/>
        </w:rPr>
      </w:pPr>
    </w:p>
    <w:p w:rsidR="004B35FF" w:rsidP="004B35FF" w:rsidRDefault="004B35FF" w14:paraId="6FB80C8D" w14:textId="77777777">
      <w:pPr>
        <w:pStyle w:val="Normalwebb"/>
        <w:spacing w:after="0"/>
        <w:rPr>
          <w:color w:val="212121"/>
        </w:rPr>
      </w:pPr>
      <w:r w:rsidRPr="004B35FF">
        <w:rPr>
          <w:color w:val="212121"/>
        </w:rPr>
        <w:t>Sjukskrivningsansvaret bör vara tydliggjort under hela uppföljningstiden. Överlämningar av sjukskrivningsansvar mellan onkologisk enhet och kirurgenhet bör vara aktiva.</w:t>
      </w:r>
    </w:p>
    <w:p w:rsidRPr="004B35FF" w:rsidR="005C4223" w:rsidP="004B35FF" w:rsidRDefault="005C4223" w14:paraId="1EB0F807" w14:textId="77777777">
      <w:pPr>
        <w:pStyle w:val="Normalwebb"/>
        <w:spacing w:after="0"/>
        <w:rPr>
          <w:color w:val="212121"/>
        </w:rPr>
      </w:pPr>
    </w:p>
    <w:p w:rsidRPr="005E2E3D" w:rsidR="005C4223" w:rsidP="005E2E3D" w:rsidRDefault="004B35FF" w14:paraId="622DD5CF" w14:textId="3F04D0B7">
      <w:pPr>
        <w:pStyle w:val="Normalwebb"/>
        <w:spacing w:after="0"/>
        <w:rPr>
          <w:color w:val="212121"/>
        </w:rPr>
      </w:pPr>
      <w:r w:rsidRPr="377A8517">
        <w:rPr>
          <w:color w:val="212121"/>
        </w:rPr>
        <w:t>Rehabiliteringsplanen ska tydliggöra vilka delar av rehabiliteringen som ska handläggas av primärvården, till exempel av dietist, fysioterapeut, kurator eller lymfterapeut.</w:t>
      </w:r>
    </w:p>
    <w:p w:rsidR="005C4223" w:rsidP="5EC058E7" w:rsidRDefault="00DF2E0F" w14:paraId="2BF1366B" w14:textId="6A368113">
      <w:pPr>
        <w:pStyle w:val="Rubrik2"/>
        <w:ind w:left="0"/>
        <w:rPr>
          <w:color w:val="212121"/>
        </w:rPr>
      </w:pPr>
      <w:r w:rsidR="1CF96DC5">
        <w:rPr/>
        <w:t>Avslut av uppföljning</w:t>
      </w:r>
    </w:p>
    <w:p w:rsidR="00DF2E0F" w:rsidP="00DF2E0F" w:rsidRDefault="00DF2E0F" w14:paraId="487AA74F" w14:textId="176A6022">
      <w:pPr>
        <w:spacing w:after="0" w:line="240" w:lineRule="auto"/>
        <w:ind w:left="0"/>
        <w:rPr>
          <w:color w:val="212121"/>
        </w:rPr>
      </w:pPr>
      <w:r w:rsidRPr="5EC058E7" w:rsidR="1CF96DC5">
        <w:rPr>
          <w:color w:val="212121"/>
        </w:rPr>
        <w:t xml:space="preserve">När uppföljningen avslutas ska den behandlande enheten ha ett avslutande samtal med patienten. Samtalet bör följa rekommendationerna i det </w:t>
      </w:r>
      <w:hyperlink r:id="R16efe85bbba84468">
        <w:r w:rsidRPr="5EC058E7" w:rsidR="1CF96DC5">
          <w:rPr>
            <w:rStyle w:val="Hyperlnk"/>
          </w:rPr>
          <w:t>nationella vårdprogrammet för cancerrehabilitering</w:t>
        </w:r>
      </w:hyperlink>
      <w:r w:rsidRPr="5EC058E7" w:rsidR="1CF96DC5">
        <w:rPr>
          <w:color w:val="212121"/>
        </w:rPr>
        <w:t xml:space="preserve"> och dokumenteras i Min vårdplan. Patienten bör också få en skriftlig sammanfattning av sin diagnos och behandling inkl. livslånga behov eller risker. I denna sammanfattning bör eventuella råd till primärvården framgå. Det bör framgå vart patienten ska vända sig med nya behov.</w:t>
      </w:r>
    </w:p>
    <w:p w:rsidR="00DF2E0F" w:rsidP="5EC058E7" w:rsidRDefault="009A4E66" w14:paraId="2A3C410B" w14:textId="02AB2240">
      <w:pPr>
        <w:pStyle w:val="Rubrik2"/>
        <w:ind w:left="0"/>
      </w:pPr>
      <w:r w:rsidR="5C7517DC">
        <w:rPr/>
        <w:t>Livslång symtomkontroll efter avslutad uppföljning</w:t>
      </w:r>
    </w:p>
    <w:p w:rsidR="00AC676B" w:rsidP="00AC676B" w:rsidRDefault="00AC676B" w14:paraId="3E25B184" w14:textId="77777777">
      <w:pPr>
        <w:pStyle w:val="Normalwebb"/>
        <w:spacing w:after="0"/>
        <w:rPr>
          <w:color w:val="212121"/>
        </w:rPr>
      </w:pPr>
      <w:r w:rsidRPr="00AC676B">
        <w:rPr>
          <w:color w:val="212121"/>
        </w:rPr>
        <w:t>Patienterna bör följas avseende metakrona tarmtumörer enligt rekommendationerna för högriskpolyper, dvs vart 5:e år.</w:t>
      </w:r>
    </w:p>
    <w:p w:rsidRPr="00AC676B" w:rsidR="00AC676B" w:rsidP="00AC676B" w:rsidRDefault="00AC676B" w14:paraId="5A384363" w14:textId="77777777">
      <w:pPr>
        <w:pStyle w:val="Normalwebb"/>
        <w:spacing w:after="0"/>
        <w:rPr>
          <w:color w:val="212121"/>
        </w:rPr>
      </w:pPr>
    </w:p>
    <w:p w:rsidR="00AC676B" w:rsidP="00AC676B" w:rsidRDefault="00AC676B" w14:paraId="4717DBD6" w14:textId="77777777">
      <w:pPr>
        <w:pStyle w:val="Normalwebb"/>
        <w:spacing w:after="0"/>
        <w:rPr>
          <w:color w:val="212121"/>
        </w:rPr>
      </w:pPr>
      <w:r w:rsidRPr="00AC676B">
        <w:rPr>
          <w:color w:val="212121"/>
        </w:rPr>
        <w:t>Överlämning av kvarvarande rehabiliteringsbehov till primärvården bör vara aktiv.</w:t>
      </w:r>
    </w:p>
    <w:p w:rsidRPr="00AC676B" w:rsidR="00AC676B" w:rsidP="00AC676B" w:rsidRDefault="00AC676B" w14:paraId="6FF41AAF" w14:textId="77777777">
      <w:pPr>
        <w:pStyle w:val="Normalwebb"/>
        <w:spacing w:after="0"/>
        <w:rPr>
          <w:color w:val="212121"/>
        </w:rPr>
      </w:pPr>
    </w:p>
    <w:p w:rsidR="00AC676B" w:rsidP="00AC676B" w:rsidRDefault="00AC676B" w14:paraId="79597422" w14:textId="77777777">
      <w:pPr>
        <w:pStyle w:val="Normalwebb"/>
        <w:spacing w:after="0"/>
        <w:rPr>
          <w:color w:val="212121"/>
        </w:rPr>
      </w:pPr>
      <w:r w:rsidRPr="00AC676B">
        <w:rPr>
          <w:color w:val="212121"/>
        </w:rPr>
        <w:t>Patienten bör uppmanas att berätta om sin sjukhistoria och sin behandling vid kontakter med primärvården eftersom symtom kan bero på återfall.</w:t>
      </w:r>
    </w:p>
    <w:p w:rsidRPr="00AC676B" w:rsidR="00AC676B" w:rsidP="00AC676B" w:rsidRDefault="00AC676B" w14:paraId="4A5115F0" w14:textId="77777777">
      <w:pPr>
        <w:pStyle w:val="Normalwebb"/>
        <w:spacing w:after="0"/>
        <w:rPr>
          <w:color w:val="212121"/>
        </w:rPr>
      </w:pPr>
    </w:p>
    <w:p w:rsidRPr="009A4E66" w:rsidR="009A4E66" w:rsidP="5EC058E7" w:rsidRDefault="009A4E66" w14:paraId="110E35BB" w14:textId="482A11A1">
      <w:pPr>
        <w:pStyle w:val="Normalwebb"/>
        <w:spacing w:after="0"/>
        <w:ind/>
        <w:rPr>
          <w:color w:val="212121"/>
        </w:rPr>
      </w:pPr>
      <w:r w:rsidRPr="5EC058E7" w:rsidR="7C4BE05D">
        <w:rPr>
          <w:color w:val="212121"/>
        </w:rPr>
        <w:t>D-vitaminbrist kan uppstå hos patienter som fått strålbehandling mot bäckenet</w:t>
      </w:r>
      <w:r w:rsidRPr="5EC058E7" w:rsidR="7C4BE05D">
        <w:rPr>
          <w:color w:val="212121"/>
        </w:rPr>
        <w:t>.</w:t>
      </w:r>
    </w:p>
    <w:sectPr w:rsidRPr="009A4E66" w:rsidR="009A4E66"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640"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23E64" w:rsidRDefault="00B23E64" w14:paraId="7AD1EEBF" w14:textId="77777777">
      <w:r>
        <w:separator/>
      </w:r>
    </w:p>
  </w:endnote>
  <w:endnote w:type="continuationSeparator" w:id="0">
    <w:p w:rsidR="00B23E64" w:rsidRDefault="00B23E64" w14:paraId="263D7E65" w14:textId="77777777">
      <w:r>
        <w:continuationSeparator/>
      </w:r>
    </w:p>
  </w:endnote>
  <w:endnote w:type="continuationNotice" w:id="1">
    <w:p w:rsidR="00B23E64" w:rsidRDefault="00B23E64" w14:paraId="076F6A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Source Serif Pro">
    <w:altName w:val="Source Serif Pro"/>
    <w:charset w:val="00"/>
    <w:family w:val="roman"/>
    <w:pitch w:val="variable"/>
    <w:sig w:usb0="20000287" w:usb1="02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23E64" w:rsidRDefault="00B23E64" w14:paraId="496EB871" w14:textId="77777777"/>
  </w:footnote>
  <w:footnote w:type="continuationSeparator" w:id="0">
    <w:p w:rsidR="00B23E64" w:rsidRDefault="00B23E64" w14:paraId="11067F04" w14:textId="77777777">
      <w:r>
        <w:continuationSeparator/>
      </w:r>
    </w:p>
  </w:footnote>
  <w:footnote w:type="continuationNotice" w:id="1">
    <w:p w:rsidR="00B23E64" w:rsidRDefault="00B23E64" w14:paraId="5603EE4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6E91C73"/>
    <w:multiLevelType w:val="multilevel"/>
    <w:tmpl w:val="4D18F1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62B2A1E"/>
    <w:multiLevelType w:val="multilevel"/>
    <w:tmpl w:val="E47C02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9"/>
  </w:num>
  <w:num w:numId="2">
    <w:abstractNumId w:val="16"/>
  </w:num>
  <w:num w:numId="3">
    <w:abstractNumId w:val="0"/>
  </w:num>
  <w:num w:numId="4">
    <w:abstractNumId w:val="7"/>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5"/>
  </w:num>
  <w:num w:numId="14">
    <w:abstractNumId w:val="10"/>
  </w:num>
  <w:num w:numId="15">
    <w:abstractNumId w:val="8"/>
  </w:num>
  <w:num w:numId="16">
    <w:abstractNumId w:val="14"/>
  </w:num>
  <w:num w:numId="17">
    <w:abstractNumId w:val="5"/>
  </w:num>
  <w:num w:numId="18">
    <w:abstractNumId w:val="11"/>
  </w:num>
  <w:num w:numId="19">
    <w:abstractNumId w:val="18"/>
  </w:num>
  <w:num w:numId="20">
    <w:abstractNumId w:val="13"/>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47E"/>
    <w:rsid w:val="0002327F"/>
    <w:rsid w:val="00030DDD"/>
    <w:rsid w:val="000313BB"/>
    <w:rsid w:val="00033E9C"/>
    <w:rsid w:val="00033ED5"/>
    <w:rsid w:val="00050500"/>
    <w:rsid w:val="0005691C"/>
    <w:rsid w:val="00056ECB"/>
    <w:rsid w:val="00056ED5"/>
    <w:rsid w:val="000655CC"/>
    <w:rsid w:val="000700AE"/>
    <w:rsid w:val="00074F58"/>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21736"/>
    <w:rsid w:val="00221C80"/>
    <w:rsid w:val="0023510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D6FFE"/>
    <w:rsid w:val="002E263F"/>
    <w:rsid w:val="002E6F81"/>
    <w:rsid w:val="002F08BA"/>
    <w:rsid w:val="002F2CFF"/>
    <w:rsid w:val="002F568B"/>
    <w:rsid w:val="002F7818"/>
    <w:rsid w:val="003066D0"/>
    <w:rsid w:val="00311401"/>
    <w:rsid w:val="00317B9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2C9A"/>
    <w:rsid w:val="003B2A4B"/>
    <w:rsid w:val="003D099E"/>
    <w:rsid w:val="003D21A2"/>
    <w:rsid w:val="003D29D2"/>
    <w:rsid w:val="003D6DF1"/>
    <w:rsid w:val="003E0705"/>
    <w:rsid w:val="003E2FF7"/>
    <w:rsid w:val="003F1013"/>
    <w:rsid w:val="003F1ACF"/>
    <w:rsid w:val="00404948"/>
    <w:rsid w:val="00406BEA"/>
    <w:rsid w:val="00413A60"/>
    <w:rsid w:val="004161E7"/>
    <w:rsid w:val="004230F7"/>
    <w:rsid w:val="0043167E"/>
    <w:rsid w:val="0043409A"/>
    <w:rsid w:val="00446255"/>
    <w:rsid w:val="00451935"/>
    <w:rsid w:val="00460ED0"/>
    <w:rsid w:val="00465651"/>
    <w:rsid w:val="00470CE7"/>
    <w:rsid w:val="00470F4F"/>
    <w:rsid w:val="00472482"/>
    <w:rsid w:val="00472EC4"/>
    <w:rsid w:val="00480DC7"/>
    <w:rsid w:val="004876F6"/>
    <w:rsid w:val="00491738"/>
    <w:rsid w:val="0049236A"/>
    <w:rsid w:val="00492718"/>
    <w:rsid w:val="004A355D"/>
    <w:rsid w:val="004A4970"/>
    <w:rsid w:val="004B2183"/>
    <w:rsid w:val="004B2A01"/>
    <w:rsid w:val="004B35FF"/>
    <w:rsid w:val="004C3536"/>
    <w:rsid w:val="004D7BA3"/>
    <w:rsid w:val="004E31A3"/>
    <w:rsid w:val="004F4518"/>
    <w:rsid w:val="004F4C62"/>
    <w:rsid w:val="00501433"/>
    <w:rsid w:val="00511CC4"/>
    <w:rsid w:val="005154D6"/>
    <w:rsid w:val="00531E60"/>
    <w:rsid w:val="00541D07"/>
    <w:rsid w:val="00544BAB"/>
    <w:rsid w:val="00545F31"/>
    <w:rsid w:val="005578FA"/>
    <w:rsid w:val="00565129"/>
    <w:rsid w:val="00565CD0"/>
    <w:rsid w:val="00567820"/>
    <w:rsid w:val="005770AD"/>
    <w:rsid w:val="00581414"/>
    <w:rsid w:val="005815E8"/>
    <w:rsid w:val="00582490"/>
    <w:rsid w:val="00582DBE"/>
    <w:rsid w:val="00597E28"/>
    <w:rsid w:val="005A54ED"/>
    <w:rsid w:val="005A5D5B"/>
    <w:rsid w:val="005A6081"/>
    <w:rsid w:val="005A627D"/>
    <w:rsid w:val="005C0045"/>
    <w:rsid w:val="005C084E"/>
    <w:rsid w:val="005C4223"/>
    <w:rsid w:val="005C4606"/>
    <w:rsid w:val="005D0B0C"/>
    <w:rsid w:val="005E02B3"/>
    <w:rsid w:val="005E1E24"/>
    <w:rsid w:val="005E2E3D"/>
    <w:rsid w:val="0060596B"/>
    <w:rsid w:val="00606D97"/>
    <w:rsid w:val="00614E64"/>
    <w:rsid w:val="00617710"/>
    <w:rsid w:val="00617EE6"/>
    <w:rsid w:val="0062184C"/>
    <w:rsid w:val="00623724"/>
    <w:rsid w:val="00627BEA"/>
    <w:rsid w:val="006319DB"/>
    <w:rsid w:val="0065595B"/>
    <w:rsid w:val="00656DCD"/>
    <w:rsid w:val="00660269"/>
    <w:rsid w:val="00660B1A"/>
    <w:rsid w:val="00665F89"/>
    <w:rsid w:val="0067090E"/>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771B"/>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0D5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9AEFE"/>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7038"/>
    <w:rsid w:val="00942257"/>
    <w:rsid w:val="009471BF"/>
    <w:rsid w:val="00950E4E"/>
    <w:rsid w:val="009529BD"/>
    <w:rsid w:val="009533B4"/>
    <w:rsid w:val="00957D35"/>
    <w:rsid w:val="00971D93"/>
    <w:rsid w:val="009A4E66"/>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5A0B"/>
    <w:rsid w:val="00A07BEC"/>
    <w:rsid w:val="00A264BE"/>
    <w:rsid w:val="00A272CA"/>
    <w:rsid w:val="00A33051"/>
    <w:rsid w:val="00A36B7F"/>
    <w:rsid w:val="00A407AD"/>
    <w:rsid w:val="00A40923"/>
    <w:rsid w:val="00A41C05"/>
    <w:rsid w:val="00A42426"/>
    <w:rsid w:val="00A514B7"/>
    <w:rsid w:val="00A54A0B"/>
    <w:rsid w:val="00A65FD4"/>
    <w:rsid w:val="00A741FE"/>
    <w:rsid w:val="00A81198"/>
    <w:rsid w:val="00A81E48"/>
    <w:rsid w:val="00A82035"/>
    <w:rsid w:val="00A90D77"/>
    <w:rsid w:val="00A92E07"/>
    <w:rsid w:val="00AA0B3A"/>
    <w:rsid w:val="00AA6EB4"/>
    <w:rsid w:val="00AA767D"/>
    <w:rsid w:val="00AB0CC9"/>
    <w:rsid w:val="00AC3FF6"/>
    <w:rsid w:val="00AC676B"/>
    <w:rsid w:val="00AD73EC"/>
    <w:rsid w:val="00AD7AD5"/>
    <w:rsid w:val="00AE5BC7"/>
    <w:rsid w:val="00AF5AAF"/>
    <w:rsid w:val="00B046D8"/>
    <w:rsid w:val="00B13F4C"/>
    <w:rsid w:val="00B16219"/>
    <w:rsid w:val="00B16C59"/>
    <w:rsid w:val="00B23E64"/>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BF5"/>
    <w:rsid w:val="00C01F0D"/>
    <w:rsid w:val="00C07DDB"/>
    <w:rsid w:val="00C4115D"/>
    <w:rsid w:val="00C43BDD"/>
    <w:rsid w:val="00C47778"/>
    <w:rsid w:val="00C5011E"/>
    <w:rsid w:val="00C50EE5"/>
    <w:rsid w:val="00C5240A"/>
    <w:rsid w:val="00C5398F"/>
    <w:rsid w:val="00C556F5"/>
    <w:rsid w:val="00C605FD"/>
    <w:rsid w:val="00C617A4"/>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08B"/>
    <w:rsid w:val="00CF70BB"/>
    <w:rsid w:val="00D074DB"/>
    <w:rsid w:val="00D139CF"/>
    <w:rsid w:val="00D37E7F"/>
    <w:rsid w:val="00D47AD7"/>
    <w:rsid w:val="00D51529"/>
    <w:rsid w:val="00D57382"/>
    <w:rsid w:val="00D85218"/>
    <w:rsid w:val="00D915B1"/>
    <w:rsid w:val="00DA299D"/>
    <w:rsid w:val="00DA65C4"/>
    <w:rsid w:val="00DB0F08"/>
    <w:rsid w:val="00DE105D"/>
    <w:rsid w:val="00DE4447"/>
    <w:rsid w:val="00DE5DA2"/>
    <w:rsid w:val="00DF0033"/>
    <w:rsid w:val="00DF2E0F"/>
    <w:rsid w:val="00DF4C4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0E0AD0"/>
    <w:rsid w:val="056B2268"/>
    <w:rsid w:val="0842492A"/>
    <w:rsid w:val="1029CD8B"/>
    <w:rsid w:val="1076ABA6"/>
    <w:rsid w:val="119024E8"/>
    <w:rsid w:val="13884E2D"/>
    <w:rsid w:val="194FB98B"/>
    <w:rsid w:val="19B6CE4A"/>
    <w:rsid w:val="1CF96DC5"/>
    <w:rsid w:val="1CFEA621"/>
    <w:rsid w:val="20E0A2CE"/>
    <w:rsid w:val="2109A742"/>
    <w:rsid w:val="23EA5EC4"/>
    <w:rsid w:val="25E59DC2"/>
    <w:rsid w:val="264F0349"/>
    <w:rsid w:val="30AC2FCB"/>
    <w:rsid w:val="3219B68E"/>
    <w:rsid w:val="338A7EE9"/>
    <w:rsid w:val="377A8517"/>
    <w:rsid w:val="39797489"/>
    <w:rsid w:val="3BC8C0CE"/>
    <w:rsid w:val="3D718A76"/>
    <w:rsid w:val="4050BC28"/>
    <w:rsid w:val="469735B2"/>
    <w:rsid w:val="46E01BE7"/>
    <w:rsid w:val="48330613"/>
    <w:rsid w:val="4B6F8055"/>
    <w:rsid w:val="4CDFA0D2"/>
    <w:rsid w:val="551976A1"/>
    <w:rsid w:val="55EC23B1"/>
    <w:rsid w:val="5A839D2F"/>
    <w:rsid w:val="5C1F6D90"/>
    <w:rsid w:val="5C7517DC"/>
    <w:rsid w:val="5EC058E7"/>
    <w:rsid w:val="5FD13F4B"/>
    <w:rsid w:val="5FF16AC4"/>
    <w:rsid w:val="601AA69D"/>
    <w:rsid w:val="61480A00"/>
    <w:rsid w:val="616879F4"/>
    <w:rsid w:val="63707D4A"/>
    <w:rsid w:val="641D8CA7"/>
    <w:rsid w:val="647B2B65"/>
    <w:rsid w:val="64C2A848"/>
    <w:rsid w:val="6A99DE25"/>
    <w:rsid w:val="6B2CF8ED"/>
    <w:rsid w:val="6D457FBC"/>
    <w:rsid w:val="6DE36468"/>
    <w:rsid w:val="6F0FEAEB"/>
    <w:rsid w:val="715E9749"/>
    <w:rsid w:val="75498773"/>
    <w:rsid w:val="77A300CF"/>
    <w:rsid w:val="7C4BE05D"/>
    <w:rsid w:val="7C75576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A190BEDC-1D79-4C29-8C95-493DAE7CD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221736"/>
    <w:pPr>
      <w:spacing w:after="375" w:line="240" w:lineRule="auto"/>
      <w:ind w:left="0" w:right="0"/>
    </w:pPr>
  </w:style>
  <w:style w:type="character" w:styleId="Stark">
    <w:name w:val="Strong"/>
    <w:basedOn w:val="Standardstycketeckensnitt"/>
    <w:uiPriority w:val="22"/>
    <w:qFormat/>
    <w:locked/>
    <w:rsid w:val="002217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56416">
      <w:bodyDiv w:val="1"/>
      <w:marLeft w:val="0"/>
      <w:marRight w:val="0"/>
      <w:marTop w:val="0"/>
      <w:marBottom w:val="0"/>
      <w:divBdr>
        <w:top w:val="none" w:sz="0" w:space="0" w:color="auto"/>
        <w:left w:val="none" w:sz="0" w:space="0" w:color="auto"/>
        <w:bottom w:val="none" w:sz="0" w:space="0" w:color="auto"/>
        <w:right w:val="none" w:sz="0" w:space="0" w:color="auto"/>
      </w:divBdr>
      <w:divsChild>
        <w:div w:id="917910031">
          <w:marLeft w:val="0"/>
          <w:marRight w:val="0"/>
          <w:marTop w:val="0"/>
          <w:marBottom w:val="0"/>
          <w:divBdr>
            <w:top w:val="none" w:sz="0" w:space="0" w:color="auto"/>
            <w:left w:val="none" w:sz="0" w:space="0" w:color="auto"/>
            <w:bottom w:val="none" w:sz="0" w:space="0" w:color="auto"/>
            <w:right w:val="none" w:sz="0" w:space="0" w:color="auto"/>
          </w:divBdr>
          <w:divsChild>
            <w:div w:id="1916430541">
              <w:marLeft w:val="-225"/>
              <w:marRight w:val="-225"/>
              <w:marTop w:val="0"/>
              <w:marBottom w:val="0"/>
              <w:divBdr>
                <w:top w:val="none" w:sz="0" w:space="0" w:color="auto"/>
                <w:left w:val="none" w:sz="0" w:space="0" w:color="auto"/>
                <w:bottom w:val="none" w:sz="0" w:space="0" w:color="auto"/>
                <w:right w:val="none" w:sz="0" w:space="0" w:color="auto"/>
              </w:divBdr>
              <w:divsChild>
                <w:div w:id="878977443">
                  <w:marLeft w:val="0"/>
                  <w:marRight w:val="0"/>
                  <w:marTop w:val="0"/>
                  <w:marBottom w:val="0"/>
                  <w:divBdr>
                    <w:top w:val="none" w:sz="0" w:space="0" w:color="auto"/>
                    <w:left w:val="none" w:sz="0" w:space="0" w:color="auto"/>
                    <w:bottom w:val="none" w:sz="0" w:space="0" w:color="auto"/>
                    <w:right w:val="none" w:sz="0" w:space="0" w:color="auto"/>
                  </w:divBdr>
                  <w:divsChild>
                    <w:div w:id="1333800618">
                      <w:marLeft w:val="-225"/>
                      <w:marRight w:val="-225"/>
                      <w:marTop w:val="0"/>
                      <w:marBottom w:val="0"/>
                      <w:divBdr>
                        <w:top w:val="none" w:sz="0" w:space="0" w:color="auto"/>
                        <w:left w:val="none" w:sz="0" w:space="0" w:color="auto"/>
                        <w:bottom w:val="none" w:sz="0" w:space="0" w:color="auto"/>
                        <w:right w:val="none" w:sz="0" w:space="0" w:color="auto"/>
                      </w:divBdr>
                      <w:divsChild>
                        <w:div w:id="2011365631">
                          <w:marLeft w:val="0"/>
                          <w:marRight w:val="0"/>
                          <w:marTop w:val="0"/>
                          <w:marBottom w:val="0"/>
                          <w:divBdr>
                            <w:top w:val="none" w:sz="0" w:space="0" w:color="auto"/>
                            <w:left w:val="none" w:sz="0" w:space="0" w:color="auto"/>
                            <w:bottom w:val="none" w:sz="0" w:space="0" w:color="auto"/>
                            <w:right w:val="none" w:sz="0" w:space="0" w:color="auto"/>
                          </w:divBdr>
                          <w:divsChild>
                            <w:div w:id="1869489885">
                              <w:marLeft w:val="0"/>
                              <w:marRight w:val="0"/>
                              <w:marTop w:val="0"/>
                              <w:marBottom w:val="0"/>
                              <w:divBdr>
                                <w:top w:val="none" w:sz="0" w:space="0" w:color="auto"/>
                                <w:left w:val="none" w:sz="0" w:space="0" w:color="auto"/>
                                <w:bottom w:val="none" w:sz="0" w:space="0" w:color="auto"/>
                                <w:right w:val="none" w:sz="0" w:space="0" w:color="auto"/>
                              </w:divBdr>
                              <w:divsChild>
                                <w:div w:id="1532498601">
                                  <w:marLeft w:val="0"/>
                                  <w:marRight w:val="0"/>
                                  <w:marTop w:val="0"/>
                                  <w:marBottom w:val="0"/>
                                  <w:divBdr>
                                    <w:top w:val="none" w:sz="0" w:space="0" w:color="auto"/>
                                    <w:left w:val="none" w:sz="0" w:space="0" w:color="auto"/>
                                    <w:bottom w:val="none" w:sz="0" w:space="0" w:color="auto"/>
                                    <w:right w:val="none" w:sz="0" w:space="0" w:color="auto"/>
                                  </w:divBdr>
                                  <w:divsChild>
                                    <w:div w:id="1163810928">
                                      <w:marLeft w:val="0"/>
                                      <w:marRight w:val="0"/>
                                      <w:marTop w:val="0"/>
                                      <w:marBottom w:val="0"/>
                                      <w:divBdr>
                                        <w:top w:val="none" w:sz="0" w:space="0" w:color="auto"/>
                                        <w:left w:val="none" w:sz="0" w:space="0" w:color="auto"/>
                                        <w:bottom w:val="none" w:sz="0" w:space="0" w:color="auto"/>
                                        <w:right w:val="none" w:sz="0" w:space="0" w:color="auto"/>
                                      </w:divBdr>
                                      <w:divsChild>
                                        <w:div w:id="166404747">
                                          <w:marLeft w:val="0"/>
                                          <w:marRight w:val="0"/>
                                          <w:marTop w:val="0"/>
                                          <w:marBottom w:val="0"/>
                                          <w:divBdr>
                                            <w:top w:val="none" w:sz="0" w:space="0" w:color="auto"/>
                                            <w:left w:val="none" w:sz="0" w:space="0" w:color="auto"/>
                                            <w:bottom w:val="none" w:sz="0" w:space="0" w:color="auto"/>
                                            <w:right w:val="none" w:sz="0" w:space="0" w:color="auto"/>
                                          </w:divBdr>
                                          <w:divsChild>
                                            <w:div w:id="1901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98892945">
      <w:bodyDiv w:val="1"/>
      <w:marLeft w:val="0"/>
      <w:marRight w:val="0"/>
      <w:marTop w:val="0"/>
      <w:marBottom w:val="0"/>
      <w:divBdr>
        <w:top w:val="none" w:sz="0" w:space="0" w:color="auto"/>
        <w:left w:val="none" w:sz="0" w:space="0" w:color="auto"/>
        <w:bottom w:val="none" w:sz="0" w:space="0" w:color="auto"/>
        <w:right w:val="none" w:sz="0" w:space="0" w:color="auto"/>
      </w:divBdr>
      <w:divsChild>
        <w:div w:id="612785913">
          <w:marLeft w:val="0"/>
          <w:marRight w:val="0"/>
          <w:marTop w:val="0"/>
          <w:marBottom w:val="0"/>
          <w:divBdr>
            <w:top w:val="none" w:sz="0" w:space="0" w:color="auto"/>
            <w:left w:val="none" w:sz="0" w:space="0" w:color="auto"/>
            <w:bottom w:val="none" w:sz="0" w:space="0" w:color="auto"/>
            <w:right w:val="none" w:sz="0" w:space="0" w:color="auto"/>
          </w:divBdr>
          <w:divsChild>
            <w:div w:id="1881672142">
              <w:marLeft w:val="-225"/>
              <w:marRight w:val="-225"/>
              <w:marTop w:val="0"/>
              <w:marBottom w:val="0"/>
              <w:divBdr>
                <w:top w:val="none" w:sz="0" w:space="0" w:color="auto"/>
                <w:left w:val="none" w:sz="0" w:space="0" w:color="auto"/>
                <w:bottom w:val="none" w:sz="0" w:space="0" w:color="auto"/>
                <w:right w:val="none" w:sz="0" w:space="0" w:color="auto"/>
              </w:divBdr>
              <w:divsChild>
                <w:div w:id="1068266227">
                  <w:marLeft w:val="0"/>
                  <w:marRight w:val="0"/>
                  <w:marTop w:val="0"/>
                  <w:marBottom w:val="0"/>
                  <w:divBdr>
                    <w:top w:val="none" w:sz="0" w:space="0" w:color="auto"/>
                    <w:left w:val="none" w:sz="0" w:space="0" w:color="auto"/>
                    <w:bottom w:val="none" w:sz="0" w:space="0" w:color="auto"/>
                    <w:right w:val="none" w:sz="0" w:space="0" w:color="auto"/>
                  </w:divBdr>
                  <w:divsChild>
                    <w:div w:id="1433159827">
                      <w:marLeft w:val="-225"/>
                      <w:marRight w:val="-225"/>
                      <w:marTop w:val="0"/>
                      <w:marBottom w:val="0"/>
                      <w:divBdr>
                        <w:top w:val="none" w:sz="0" w:space="0" w:color="auto"/>
                        <w:left w:val="none" w:sz="0" w:space="0" w:color="auto"/>
                        <w:bottom w:val="none" w:sz="0" w:space="0" w:color="auto"/>
                        <w:right w:val="none" w:sz="0" w:space="0" w:color="auto"/>
                      </w:divBdr>
                      <w:divsChild>
                        <w:div w:id="1826242453">
                          <w:marLeft w:val="0"/>
                          <w:marRight w:val="0"/>
                          <w:marTop w:val="0"/>
                          <w:marBottom w:val="0"/>
                          <w:divBdr>
                            <w:top w:val="none" w:sz="0" w:space="0" w:color="auto"/>
                            <w:left w:val="none" w:sz="0" w:space="0" w:color="auto"/>
                            <w:bottom w:val="none" w:sz="0" w:space="0" w:color="auto"/>
                            <w:right w:val="none" w:sz="0" w:space="0" w:color="auto"/>
                          </w:divBdr>
                          <w:divsChild>
                            <w:div w:id="1373186507">
                              <w:marLeft w:val="0"/>
                              <w:marRight w:val="0"/>
                              <w:marTop w:val="0"/>
                              <w:marBottom w:val="0"/>
                              <w:divBdr>
                                <w:top w:val="none" w:sz="0" w:space="0" w:color="auto"/>
                                <w:left w:val="none" w:sz="0" w:space="0" w:color="auto"/>
                                <w:bottom w:val="none" w:sz="0" w:space="0" w:color="auto"/>
                                <w:right w:val="none" w:sz="0" w:space="0" w:color="auto"/>
                              </w:divBdr>
                              <w:divsChild>
                                <w:div w:id="74327505">
                                  <w:marLeft w:val="0"/>
                                  <w:marRight w:val="0"/>
                                  <w:marTop w:val="0"/>
                                  <w:marBottom w:val="0"/>
                                  <w:divBdr>
                                    <w:top w:val="none" w:sz="0" w:space="0" w:color="auto"/>
                                    <w:left w:val="none" w:sz="0" w:space="0" w:color="auto"/>
                                    <w:bottom w:val="none" w:sz="0" w:space="0" w:color="auto"/>
                                    <w:right w:val="none" w:sz="0" w:space="0" w:color="auto"/>
                                  </w:divBdr>
                                  <w:divsChild>
                                    <w:div w:id="174687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454663">
      <w:bodyDiv w:val="1"/>
      <w:marLeft w:val="0"/>
      <w:marRight w:val="0"/>
      <w:marTop w:val="0"/>
      <w:marBottom w:val="0"/>
      <w:divBdr>
        <w:top w:val="none" w:sz="0" w:space="0" w:color="auto"/>
        <w:left w:val="none" w:sz="0" w:space="0" w:color="auto"/>
        <w:bottom w:val="none" w:sz="0" w:space="0" w:color="auto"/>
        <w:right w:val="none" w:sz="0" w:space="0" w:color="auto"/>
      </w:divBdr>
      <w:divsChild>
        <w:div w:id="574509773">
          <w:marLeft w:val="0"/>
          <w:marRight w:val="0"/>
          <w:marTop w:val="0"/>
          <w:marBottom w:val="0"/>
          <w:divBdr>
            <w:top w:val="none" w:sz="0" w:space="0" w:color="auto"/>
            <w:left w:val="none" w:sz="0" w:space="0" w:color="auto"/>
            <w:bottom w:val="none" w:sz="0" w:space="0" w:color="auto"/>
            <w:right w:val="none" w:sz="0" w:space="0" w:color="auto"/>
          </w:divBdr>
          <w:divsChild>
            <w:div w:id="363019152">
              <w:marLeft w:val="-225"/>
              <w:marRight w:val="-225"/>
              <w:marTop w:val="0"/>
              <w:marBottom w:val="0"/>
              <w:divBdr>
                <w:top w:val="none" w:sz="0" w:space="0" w:color="auto"/>
                <w:left w:val="none" w:sz="0" w:space="0" w:color="auto"/>
                <w:bottom w:val="none" w:sz="0" w:space="0" w:color="auto"/>
                <w:right w:val="none" w:sz="0" w:space="0" w:color="auto"/>
              </w:divBdr>
              <w:divsChild>
                <w:div w:id="1382167319">
                  <w:marLeft w:val="0"/>
                  <w:marRight w:val="0"/>
                  <w:marTop w:val="0"/>
                  <w:marBottom w:val="0"/>
                  <w:divBdr>
                    <w:top w:val="none" w:sz="0" w:space="0" w:color="auto"/>
                    <w:left w:val="none" w:sz="0" w:space="0" w:color="auto"/>
                    <w:bottom w:val="none" w:sz="0" w:space="0" w:color="auto"/>
                    <w:right w:val="none" w:sz="0" w:space="0" w:color="auto"/>
                  </w:divBdr>
                  <w:divsChild>
                    <w:div w:id="1837450467">
                      <w:marLeft w:val="-225"/>
                      <w:marRight w:val="-225"/>
                      <w:marTop w:val="0"/>
                      <w:marBottom w:val="0"/>
                      <w:divBdr>
                        <w:top w:val="none" w:sz="0" w:space="0" w:color="auto"/>
                        <w:left w:val="none" w:sz="0" w:space="0" w:color="auto"/>
                        <w:bottom w:val="none" w:sz="0" w:space="0" w:color="auto"/>
                        <w:right w:val="none" w:sz="0" w:space="0" w:color="auto"/>
                      </w:divBdr>
                      <w:divsChild>
                        <w:div w:id="963274809">
                          <w:marLeft w:val="0"/>
                          <w:marRight w:val="0"/>
                          <w:marTop w:val="0"/>
                          <w:marBottom w:val="0"/>
                          <w:divBdr>
                            <w:top w:val="none" w:sz="0" w:space="0" w:color="auto"/>
                            <w:left w:val="none" w:sz="0" w:space="0" w:color="auto"/>
                            <w:bottom w:val="none" w:sz="0" w:space="0" w:color="auto"/>
                            <w:right w:val="none" w:sz="0" w:space="0" w:color="auto"/>
                          </w:divBdr>
                          <w:divsChild>
                            <w:div w:id="1527479670">
                              <w:marLeft w:val="0"/>
                              <w:marRight w:val="0"/>
                              <w:marTop w:val="0"/>
                              <w:marBottom w:val="0"/>
                              <w:divBdr>
                                <w:top w:val="none" w:sz="0" w:space="0" w:color="auto"/>
                                <w:left w:val="none" w:sz="0" w:space="0" w:color="auto"/>
                                <w:bottom w:val="none" w:sz="0" w:space="0" w:color="auto"/>
                                <w:right w:val="none" w:sz="0" w:space="0" w:color="auto"/>
                              </w:divBdr>
                              <w:divsChild>
                                <w:div w:id="1647316235">
                                  <w:marLeft w:val="0"/>
                                  <w:marRight w:val="0"/>
                                  <w:marTop w:val="0"/>
                                  <w:marBottom w:val="0"/>
                                  <w:divBdr>
                                    <w:top w:val="none" w:sz="0" w:space="0" w:color="auto"/>
                                    <w:left w:val="none" w:sz="0" w:space="0" w:color="auto"/>
                                    <w:bottom w:val="none" w:sz="0" w:space="0" w:color="auto"/>
                                    <w:right w:val="none" w:sz="0" w:space="0" w:color="auto"/>
                                  </w:divBdr>
                                  <w:divsChild>
                                    <w:div w:id="991562075">
                                      <w:marLeft w:val="0"/>
                                      <w:marRight w:val="0"/>
                                      <w:marTop w:val="0"/>
                                      <w:marBottom w:val="0"/>
                                      <w:divBdr>
                                        <w:top w:val="none" w:sz="0" w:space="0" w:color="auto"/>
                                        <w:left w:val="none" w:sz="0" w:space="0" w:color="auto"/>
                                        <w:bottom w:val="none" w:sz="0" w:space="0" w:color="auto"/>
                                        <w:right w:val="none" w:sz="0" w:space="0" w:color="auto"/>
                                      </w:divBdr>
                                      <w:divsChild>
                                        <w:div w:id="1289626645">
                                          <w:marLeft w:val="0"/>
                                          <w:marRight w:val="0"/>
                                          <w:marTop w:val="0"/>
                                          <w:marBottom w:val="0"/>
                                          <w:divBdr>
                                            <w:top w:val="none" w:sz="0" w:space="0" w:color="auto"/>
                                            <w:left w:val="none" w:sz="0" w:space="0" w:color="auto"/>
                                            <w:bottom w:val="none" w:sz="0" w:space="0" w:color="auto"/>
                                            <w:right w:val="none" w:sz="0" w:space="0" w:color="auto"/>
                                          </w:divBdr>
                                          <w:divsChild>
                                            <w:div w:id="144107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49972219">
      <w:bodyDiv w:val="1"/>
      <w:marLeft w:val="0"/>
      <w:marRight w:val="0"/>
      <w:marTop w:val="0"/>
      <w:marBottom w:val="0"/>
      <w:divBdr>
        <w:top w:val="none" w:sz="0" w:space="0" w:color="auto"/>
        <w:left w:val="none" w:sz="0" w:space="0" w:color="auto"/>
        <w:bottom w:val="none" w:sz="0" w:space="0" w:color="auto"/>
        <w:right w:val="none" w:sz="0" w:space="0" w:color="auto"/>
      </w:divBdr>
      <w:divsChild>
        <w:div w:id="757024197">
          <w:marLeft w:val="0"/>
          <w:marRight w:val="0"/>
          <w:marTop w:val="0"/>
          <w:marBottom w:val="0"/>
          <w:divBdr>
            <w:top w:val="none" w:sz="0" w:space="0" w:color="auto"/>
            <w:left w:val="none" w:sz="0" w:space="0" w:color="auto"/>
            <w:bottom w:val="none" w:sz="0" w:space="0" w:color="auto"/>
            <w:right w:val="none" w:sz="0" w:space="0" w:color="auto"/>
          </w:divBdr>
          <w:divsChild>
            <w:div w:id="1389107376">
              <w:marLeft w:val="-225"/>
              <w:marRight w:val="-225"/>
              <w:marTop w:val="0"/>
              <w:marBottom w:val="0"/>
              <w:divBdr>
                <w:top w:val="none" w:sz="0" w:space="0" w:color="auto"/>
                <w:left w:val="none" w:sz="0" w:space="0" w:color="auto"/>
                <w:bottom w:val="none" w:sz="0" w:space="0" w:color="auto"/>
                <w:right w:val="none" w:sz="0" w:space="0" w:color="auto"/>
              </w:divBdr>
              <w:divsChild>
                <w:div w:id="1441796219">
                  <w:marLeft w:val="0"/>
                  <w:marRight w:val="0"/>
                  <w:marTop w:val="0"/>
                  <w:marBottom w:val="0"/>
                  <w:divBdr>
                    <w:top w:val="none" w:sz="0" w:space="0" w:color="auto"/>
                    <w:left w:val="none" w:sz="0" w:space="0" w:color="auto"/>
                    <w:bottom w:val="none" w:sz="0" w:space="0" w:color="auto"/>
                    <w:right w:val="none" w:sz="0" w:space="0" w:color="auto"/>
                  </w:divBdr>
                  <w:divsChild>
                    <w:div w:id="1749382862">
                      <w:marLeft w:val="-225"/>
                      <w:marRight w:val="-225"/>
                      <w:marTop w:val="0"/>
                      <w:marBottom w:val="0"/>
                      <w:divBdr>
                        <w:top w:val="none" w:sz="0" w:space="0" w:color="auto"/>
                        <w:left w:val="none" w:sz="0" w:space="0" w:color="auto"/>
                        <w:bottom w:val="none" w:sz="0" w:space="0" w:color="auto"/>
                        <w:right w:val="none" w:sz="0" w:space="0" w:color="auto"/>
                      </w:divBdr>
                      <w:divsChild>
                        <w:div w:id="1571577308">
                          <w:marLeft w:val="0"/>
                          <w:marRight w:val="0"/>
                          <w:marTop w:val="0"/>
                          <w:marBottom w:val="0"/>
                          <w:divBdr>
                            <w:top w:val="none" w:sz="0" w:space="0" w:color="auto"/>
                            <w:left w:val="none" w:sz="0" w:space="0" w:color="auto"/>
                            <w:bottom w:val="none" w:sz="0" w:space="0" w:color="auto"/>
                            <w:right w:val="none" w:sz="0" w:space="0" w:color="auto"/>
                          </w:divBdr>
                          <w:divsChild>
                            <w:div w:id="585774163">
                              <w:marLeft w:val="0"/>
                              <w:marRight w:val="0"/>
                              <w:marTop w:val="0"/>
                              <w:marBottom w:val="0"/>
                              <w:divBdr>
                                <w:top w:val="none" w:sz="0" w:space="0" w:color="auto"/>
                                <w:left w:val="none" w:sz="0" w:space="0" w:color="auto"/>
                                <w:bottom w:val="none" w:sz="0" w:space="0" w:color="auto"/>
                                <w:right w:val="none" w:sz="0" w:space="0" w:color="auto"/>
                              </w:divBdr>
                              <w:divsChild>
                                <w:div w:id="36904242">
                                  <w:marLeft w:val="0"/>
                                  <w:marRight w:val="0"/>
                                  <w:marTop w:val="0"/>
                                  <w:marBottom w:val="0"/>
                                  <w:divBdr>
                                    <w:top w:val="none" w:sz="0" w:space="0" w:color="auto"/>
                                    <w:left w:val="none" w:sz="0" w:space="0" w:color="auto"/>
                                    <w:bottom w:val="none" w:sz="0" w:space="0" w:color="auto"/>
                                    <w:right w:val="none" w:sz="0" w:space="0" w:color="auto"/>
                                  </w:divBdr>
                                  <w:divsChild>
                                    <w:div w:id="178704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81989163">
      <w:bodyDiv w:val="1"/>
      <w:marLeft w:val="0"/>
      <w:marRight w:val="0"/>
      <w:marTop w:val="0"/>
      <w:marBottom w:val="0"/>
      <w:divBdr>
        <w:top w:val="none" w:sz="0" w:space="0" w:color="auto"/>
        <w:left w:val="none" w:sz="0" w:space="0" w:color="auto"/>
        <w:bottom w:val="none" w:sz="0" w:space="0" w:color="auto"/>
        <w:right w:val="none" w:sz="0" w:space="0" w:color="auto"/>
      </w:divBdr>
      <w:divsChild>
        <w:div w:id="430468286">
          <w:marLeft w:val="0"/>
          <w:marRight w:val="0"/>
          <w:marTop w:val="0"/>
          <w:marBottom w:val="0"/>
          <w:divBdr>
            <w:top w:val="none" w:sz="0" w:space="0" w:color="auto"/>
            <w:left w:val="none" w:sz="0" w:space="0" w:color="auto"/>
            <w:bottom w:val="none" w:sz="0" w:space="0" w:color="auto"/>
            <w:right w:val="none" w:sz="0" w:space="0" w:color="auto"/>
          </w:divBdr>
          <w:divsChild>
            <w:div w:id="2029912115">
              <w:marLeft w:val="-225"/>
              <w:marRight w:val="-225"/>
              <w:marTop w:val="0"/>
              <w:marBottom w:val="0"/>
              <w:divBdr>
                <w:top w:val="none" w:sz="0" w:space="0" w:color="auto"/>
                <w:left w:val="none" w:sz="0" w:space="0" w:color="auto"/>
                <w:bottom w:val="none" w:sz="0" w:space="0" w:color="auto"/>
                <w:right w:val="none" w:sz="0" w:space="0" w:color="auto"/>
              </w:divBdr>
              <w:divsChild>
                <w:div w:id="1776051724">
                  <w:marLeft w:val="0"/>
                  <w:marRight w:val="0"/>
                  <w:marTop w:val="0"/>
                  <w:marBottom w:val="0"/>
                  <w:divBdr>
                    <w:top w:val="none" w:sz="0" w:space="0" w:color="auto"/>
                    <w:left w:val="none" w:sz="0" w:space="0" w:color="auto"/>
                    <w:bottom w:val="none" w:sz="0" w:space="0" w:color="auto"/>
                    <w:right w:val="none" w:sz="0" w:space="0" w:color="auto"/>
                  </w:divBdr>
                  <w:divsChild>
                    <w:div w:id="905064804">
                      <w:marLeft w:val="-225"/>
                      <w:marRight w:val="-225"/>
                      <w:marTop w:val="0"/>
                      <w:marBottom w:val="0"/>
                      <w:divBdr>
                        <w:top w:val="none" w:sz="0" w:space="0" w:color="auto"/>
                        <w:left w:val="none" w:sz="0" w:space="0" w:color="auto"/>
                        <w:bottom w:val="none" w:sz="0" w:space="0" w:color="auto"/>
                        <w:right w:val="none" w:sz="0" w:space="0" w:color="auto"/>
                      </w:divBdr>
                      <w:divsChild>
                        <w:div w:id="1559434173">
                          <w:marLeft w:val="0"/>
                          <w:marRight w:val="0"/>
                          <w:marTop w:val="0"/>
                          <w:marBottom w:val="0"/>
                          <w:divBdr>
                            <w:top w:val="none" w:sz="0" w:space="0" w:color="auto"/>
                            <w:left w:val="none" w:sz="0" w:space="0" w:color="auto"/>
                            <w:bottom w:val="none" w:sz="0" w:space="0" w:color="auto"/>
                            <w:right w:val="none" w:sz="0" w:space="0" w:color="auto"/>
                          </w:divBdr>
                          <w:divsChild>
                            <w:div w:id="1607693806">
                              <w:marLeft w:val="0"/>
                              <w:marRight w:val="0"/>
                              <w:marTop w:val="0"/>
                              <w:marBottom w:val="0"/>
                              <w:divBdr>
                                <w:top w:val="none" w:sz="0" w:space="0" w:color="auto"/>
                                <w:left w:val="none" w:sz="0" w:space="0" w:color="auto"/>
                                <w:bottom w:val="none" w:sz="0" w:space="0" w:color="auto"/>
                                <w:right w:val="none" w:sz="0" w:space="0" w:color="auto"/>
                              </w:divBdr>
                              <w:divsChild>
                                <w:div w:id="2128742303">
                                  <w:marLeft w:val="0"/>
                                  <w:marRight w:val="0"/>
                                  <w:marTop w:val="0"/>
                                  <w:marBottom w:val="0"/>
                                  <w:divBdr>
                                    <w:top w:val="none" w:sz="0" w:space="0" w:color="auto"/>
                                    <w:left w:val="none" w:sz="0" w:space="0" w:color="auto"/>
                                    <w:bottom w:val="none" w:sz="0" w:space="0" w:color="auto"/>
                                    <w:right w:val="none" w:sz="0" w:space="0" w:color="auto"/>
                                  </w:divBdr>
                                  <w:divsChild>
                                    <w:div w:id="51107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glossaryDocument" Target="glossary/document.xml" Id="Rc7a72678ad5e436f" /><Relationship Type="http://schemas.openxmlformats.org/officeDocument/2006/relationships/hyperlink" Target="https://kunskapsbanken.cancercentrum.se/globalassets/cancerdiagnoser/tjock--och-andtarm-anal/kvalitetsregister/manualuppfoljning_2014.pdf" TargetMode="External" Id="Rde3cc419375b4e7f" /><Relationship Type="http://schemas.openxmlformats.org/officeDocument/2006/relationships/hyperlink" Target="https://svenskgastroenterologi.se/wp-content/uploads/2017/06/riktlinjer_polypborttagning_sgf_final_161107.pdf" TargetMode="External" Id="R1490d2065c3140c4" /><Relationship Type="http://schemas.openxmlformats.org/officeDocument/2006/relationships/hyperlink" Target="https://cancercentrum.se/samverkan/vara-uppdrag/cancerrehabilitering/vardprogram/gallande-vardprogram/16.-langvariga-eller-sena-komplikationer-till-cancerbehandling/" TargetMode="External" Id="R16efe85bbba8446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74d7393d-b907-4e7a-8298-10642b7016c6}"/>
      </w:docPartPr>
      <w:docPartBody>
        <w:p w14:paraId="244962B0">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Uppföljning av kolorektalcanceropererade patienter i NU-sjukvården</dc:title>
  <dc:subject/>
  <dc:creator/>
  <keywords/>
  <lastModifiedBy>Lisa Hermansson</lastModifiedBy>
  <revision>57</revision>
  <lastPrinted>2016-03-31T01:56:00.0000000Z</lastPrinted>
  <dcterms:created xsi:type="dcterms:W3CDTF">2021-05-27T00:25:00.0000000Z</dcterms:created>
  <dcterms:modified xsi:type="dcterms:W3CDTF">2024-04-16T11:42:53.0000000Z</dcterms:modified>
</coreProperties>
</file>