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777AF7" w14:textId="77777777" w:rsidR="00042145" w:rsidRDefault="00042145" w:rsidP="009A32ED">
      <w:pPr>
        <w:pStyle w:val="Rubrik1"/>
      </w:pPr>
      <w:bookmarkStart w:id="0" w:name="_Toc321146591"/>
    </w:p>
    <w:p w14:paraId="3F710D10" w14:textId="77777777" w:rsidR="00387484" w:rsidRDefault="00387484" w:rsidP="009A32ED">
      <w:pPr>
        <w:pStyle w:val="Rubrik1"/>
      </w:pPr>
    </w:p>
    <w:p w14:paraId="29C82E79" w14:textId="77777777" w:rsidR="00387484" w:rsidRDefault="00387484" w:rsidP="009A32ED">
      <w:pPr>
        <w:pStyle w:val="Rubrik1"/>
      </w:pPr>
    </w:p>
    <w:p w14:paraId="061914D4" w14:textId="6F0EE731" w:rsidR="00184167" w:rsidRDefault="00362F4F" w:rsidP="009A32ED">
      <w:pPr>
        <w:pStyle w:val="Rubrik1"/>
      </w:pPr>
      <w:r>
        <w:t>Perioperativ och akut smärtlindring hos patienter som behandlas med metadon eller bu</w:t>
      </w:r>
      <w:r w:rsidR="00C678FC">
        <w:t>prenorfin</w:t>
      </w:r>
    </w:p>
    <w:p w14:paraId="661CFF56" w14:textId="636DB175" w:rsidR="00387484" w:rsidRDefault="00387484" w:rsidP="00387484">
      <w:pPr>
        <w:pStyle w:val="Rubrik2"/>
      </w:pPr>
      <w:r>
        <w:t>Revidering i denna version</w:t>
      </w:r>
    </w:p>
    <w:p w14:paraId="5E4F3369" w14:textId="65E1A5CB" w:rsidR="00967B03" w:rsidRPr="00967B03" w:rsidRDefault="00DD781A" w:rsidP="00967B03">
      <w:r>
        <w:t>Uppdaterad i giltighetstid</w:t>
      </w:r>
      <w:r w:rsidR="00A519FF">
        <w:t xml:space="preserve"> och tillägg av bilaga</w:t>
      </w:r>
      <w:r>
        <w:t xml:space="preserve">. </w:t>
      </w:r>
    </w:p>
    <w:p w14:paraId="62727EBF" w14:textId="77777777" w:rsidR="00F00924" w:rsidRPr="00E870E9" w:rsidRDefault="00F00924" w:rsidP="00F00924">
      <w:pPr>
        <w:pStyle w:val="Rubrik2"/>
      </w:pPr>
      <w:r w:rsidRPr="00E870E9">
        <w:t xml:space="preserve">Syfte </w:t>
      </w:r>
    </w:p>
    <w:p w14:paraId="5D7560F1" w14:textId="77777777" w:rsidR="00F00924" w:rsidRPr="00E870E9" w:rsidRDefault="00F00924" w:rsidP="00042145">
      <w:pPr>
        <w:pStyle w:val="Default"/>
        <w:ind w:left="567"/>
        <w:rPr>
          <w:rFonts w:ascii="Times New Roman" w:hAnsi="Times New Roman" w:cs="Times New Roman"/>
          <w:spacing w:val="2"/>
          <w:lang w:val="sv-SE"/>
        </w:rPr>
      </w:pPr>
      <w:r w:rsidRPr="00E870E9">
        <w:rPr>
          <w:rFonts w:ascii="Times New Roman" w:hAnsi="Times New Roman" w:cs="Times New Roman"/>
          <w:spacing w:val="-2"/>
          <w:lang w:val="sv-SE"/>
        </w:rPr>
        <w:t>Att hos patienter som behandlas med metadon och buprenorfin säkerställa en adekvat smärtlindring samt undvika abstinens och överdosering</w:t>
      </w:r>
      <w:r w:rsidRPr="00E870E9">
        <w:rPr>
          <w:rFonts w:ascii="Times New Roman" w:hAnsi="Times New Roman" w:cs="Times New Roman"/>
          <w:spacing w:val="2"/>
          <w:lang w:val="sv-SE"/>
        </w:rPr>
        <w:t xml:space="preserve">. </w:t>
      </w:r>
    </w:p>
    <w:p w14:paraId="7B14EB8B" w14:textId="77777777" w:rsidR="00F00924" w:rsidRPr="00E870E9" w:rsidRDefault="00F00924" w:rsidP="00F00924">
      <w:pPr>
        <w:pStyle w:val="Default"/>
        <w:jc w:val="both"/>
        <w:rPr>
          <w:rFonts w:ascii="Times New Roman" w:hAnsi="Times New Roman" w:cs="Times New Roman"/>
          <w:spacing w:val="2"/>
          <w:lang w:val="sv-SE"/>
        </w:rPr>
      </w:pPr>
    </w:p>
    <w:p w14:paraId="6C9D2635" w14:textId="77777777" w:rsidR="00F00924" w:rsidRPr="00F43A46" w:rsidRDefault="00F00924" w:rsidP="00F00924">
      <w:pPr>
        <w:pStyle w:val="Rubrik2"/>
      </w:pPr>
      <w:r w:rsidRPr="00F43A46">
        <w:t xml:space="preserve">Vilka berörs </w:t>
      </w:r>
    </w:p>
    <w:p w14:paraId="63CFC30D" w14:textId="4ACB4C07" w:rsidR="00F00924" w:rsidRPr="00F43A46" w:rsidRDefault="00F00924" w:rsidP="00387484">
      <w:pPr>
        <w:pStyle w:val="Default"/>
        <w:ind w:left="567"/>
        <w:rPr>
          <w:rFonts w:ascii="Times New Roman" w:hAnsi="Times New Roman" w:cs="Times New Roman"/>
          <w:lang w:val="sv-SE"/>
        </w:rPr>
      </w:pPr>
      <w:r w:rsidRPr="00F43A46">
        <w:rPr>
          <w:rFonts w:ascii="Times New Roman" w:hAnsi="Times New Roman" w:cs="Times New Roman"/>
          <w:lang w:val="sv-SE"/>
        </w:rPr>
        <w:t>Läkare och sjuksköterskor inom A</w:t>
      </w:r>
      <w:r w:rsidR="00967B03">
        <w:rPr>
          <w:rFonts w:ascii="Times New Roman" w:hAnsi="Times New Roman" w:cs="Times New Roman"/>
          <w:lang w:val="sv-SE"/>
        </w:rPr>
        <w:t>n</w:t>
      </w:r>
      <w:r w:rsidRPr="00F43A46">
        <w:rPr>
          <w:rFonts w:ascii="Times New Roman" w:hAnsi="Times New Roman" w:cs="Times New Roman"/>
          <w:lang w:val="sv-SE"/>
        </w:rPr>
        <w:t>OpIVA</w:t>
      </w:r>
      <w:r>
        <w:rPr>
          <w:rFonts w:ascii="Times New Roman" w:hAnsi="Times New Roman" w:cs="Times New Roman"/>
          <w:lang w:val="sv-SE"/>
        </w:rPr>
        <w:t xml:space="preserve"> och andra opererande och akut-verksamheter inom</w:t>
      </w:r>
      <w:r w:rsidRPr="00F43A46">
        <w:rPr>
          <w:rFonts w:ascii="Times New Roman" w:hAnsi="Times New Roman" w:cs="Times New Roman"/>
          <w:lang w:val="sv-SE"/>
        </w:rPr>
        <w:t xml:space="preserve"> NU-sjukvården</w:t>
      </w:r>
    </w:p>
    <w:p w14:paraId="6CD3D482" w14:textId="77777777" w:rsidR="00F00924" w:rsidRDefault="00F00924" w:rsidP="00F00924">
      <w:pPr>
        <w:pStyle w:val="Default"/>
        <w:jc w:val="both"/>
        <w:rPr>
          <w:rFonts w:ascii="Times New Roman" w:hAnsi="Times New Roman" w:cs="Times New Roman"/>
          <w:b/>
          <w:bCs/>
          <w:lang w:val="sv-SE"/>
        </w:rPr>
      </w:pPr>
    </w:p>
    <w:p w14:paraId="158C6223" w14:textId="77777777" w:rsidR="00F00924" w:rsidRPr="00F43A46" w:rsidRDefault="00F00924" w:rsidP="00D427C8">
      <w:pPr>
        <w:pStyle w:val="Rubrik2"/>
      </w:pPr>
      <w:r w:rsidRPr="00F43A46">
        <w:t xml:space="preserve">Bakgrund </w:t>
      </w:r>
    </w:p>
    <w:p w14:paraId="459D8333" w14:textId="4E82906D" w:rsidR="00F00924" w:rsidRPr="00410044" w:rsidRDefault="00F00924" w:rsidP="00D427C8">
      <w:pPr>
        <w:pStyle w:val="Default"/>
        <w:ind w:left="567"/>
        <w:rPr>
          <w:rFonts w:ascii="Times New Roman" w:hAnsi="Times New Roman" w:cs="Times New Roman"/>
          <w:lang w:val="sv-SE"/>
        </w:rPr>
      </w:pPr>
      <w:r w:rsidRPr="00410044">
        <w:rPr>
          <w:rFonts w:ascii="Times New Roman" w:hAnsi="Times New Roman" w:cs="Times New Roman"/>
          <w:lang w:val="sv-SE"/>
        </w:rPr>
        <w:t xml:space="preserve">Metadon och buprenorfin används som substitutionsbehandling till opioidberoende patienter. Patienter som är insatta på dessa preparat har ofta tagit höga opioiddoser. Preparaten används också som renodlad smärtbehandling och är särskilt lämpliga till patienter med uttalad toleransutveckling (vilket inte ska förväxlas med missbruk) och/eller till de som utvecklat ett problematiskt bruk av opioider. Det är viktigt att högdos opioidbehandling inte blir avbruten då risk för utveckling av abstinens annars föreligger. Dessutom blir den perioperativa smärtlindringen mycket komplicerad om patientens ordinarie behandling bryts. </w:t>
      </w:r>
      <w:r w:rsidR="00DA0155">
        <w:rPr>
          <w:rFonts w:ascii="Times New Roman" w:hAnsi="Times New Roman" w:cs="Times New Roman"/>
          <w:lang w:val="sv-SE"/>
        </w:rPr>
        <w:br/>
      </w:r>
      <w:r w:rsidRPr="00410044">
        <w:rPr>
          <w:rFonts w:ascii="Times New Roman" w:hAnsi="Times New Roman" w:cs="Times New Roman"/>
          <w:lang w:val="sv-SE"/>
        </w:rPr>
        <w:lastRenderedPageBreak/>
        <w:t xml:space="preserve">För information kring ekvipotens i förhållande till andra opioider hänvisas till ”Opioider dosekvivalens”, Samverkanswebben Region Uppsala. </w:t>
      </w:r>
    </w:p>
    <w:p w14:paraId="46BF14FE" w14:textId="77777777" w:rsidR="00F00924" w:rsidRPr="00410044" w:rsidRDefault="00F00924" w:rsidP="00D427C8">
      <w:pPr>
        <w:pStyle w:val="Default"/>
        <w:ind w:left="567"/>
        <w:rPr>
          <w:rFonts w:ascii="Times New Roman" w:hAnsi="Times New Roman" w:cs="Times New Roman"/>
        </w:rPr>
      </w:pPr>
      <w:r w:rsidRPr="00410044">
        <w:rPr>
          <w:rFonts w:ascii="Times New Roman" w:hAnsi="Times New Roman" w:cs="Times New Roman"/>
          <w:lang w:val="sv-SE"/>
        </w:rPr>
        <w:t xml:space="preserve">Tecken på abstinens är svettning, tremor, oro, ångest, rinnsnuva, gåshud, gäspningar, gråt. Senare tecken vid obehandlad abstinens är diarréer, buksmärta, kräkningar, värmevallningar, hypertoni, tackykardi, temperaturstegring eller muskelryckningar/kramp. Även om opiatabstinens kan upplevas synnerligen obehaglig är den i de flesta fall ofarlig. </w:t>
      </w:r>
      <w:r w:rsidRPr="00410044">
        <w:rPr>
          <w:rFonts w:ascii="Times New Roman" w:hAnsi="Times New Roman" w:cs="Times New Roman"/>
        </w:rPr>
        <w:t>Utveckling av abstinens kan variera beroende på opioidens halveringstid.</w:t>
      </w:r>
    </w:p>
    <w:p w14:paraId="2B952978" w14:textId="77777777" w:rsidR="00F00924" w:rsidRPr="00F43A46" w:rsidRDefault="00F00924" w:rsidP="00F00924">
      <w:pPr>
        <w:pStyle w:val="Default"/>
        <w:jc w:val="both"/>
        <w:rPr>
          <w:rFonts w:ascii="Times New Roman" w:hAnsi="Times New Roman" w:cs="Times New Roman"/>
        </w:rPr>
      </w:pPr>
    </w:p>
    <w:p w14:paraId="1464A83A" w14:textId="77777777" w:rsidR="00F00924" w:rsidRPr="00F43A46" w:rsidRDefault="00F00924" w:rsidP="00F00924">
      <w:pPr>
        <w:autoSpaceDE w:val="0"/>
        <w:autoSpaceDN w:val="0"/>
        <w:adjustRightInd w:val="0"/>
        <w:spacing w:after="0" w:line="240" w:lineRule="auto"/>
        <w:rPr>
          <w:rFonts w:ascii="Arial" w:hAnsi="Arial" w:cs="Arial"/>
          <w:color w:val="000000"/>
        </w:rPr>
      </w:pPr>
    </w:p>
    <w:tbl>
      <w:tblPr>
        <w:tblW w:w="9316" w:type="dxa"/>
        <w:tblBorders>
          <w:top w:val="none" w:sz="6" w:space="0" w:color="auto"/>
          <w:left w:val="none" w:sz="6" w:space="0" w:color="auto"/>
          <w:bottom w:val="none" w:sz="6" w:space="0" w:color="auto"/>
          <w:right w:val="none" w:sz="6" w:space="0" w:color="auto"/>
        </w:tblBorders>
        <w:tblLayout w:type="fixed"/>
        <w:tblLook w:val="0000" w:firstRow="0" w:lastRow="0" w:firstColumn="0" w:lastColumn="0" w:noHBand="0" w:noVBand="0"/>
      </w:tblPr>
      <w:tblGrid>
        <w:gridCol w:w="2329"/>
        <w:gridCol w:w="2329"/>
        <w:gridCol w:w="2329"/>
        <w:gridCol w:w="2329"/>
      </w:tblGrid>
      <w:tr w:rsidR="00F00924" w:rsidRPr="00F43A46" w14:paraId="41736348" w14:textId="77777777" w:rsidTr="00FC69C5">
        <w:trPr>
          <w:trHeight w:val="144"/>
        </w:trPr>
        <w:tc>
          <w:tcPr>
            <w:tcW w:w="2329" w:type="dxa"/>
            <w:tcBorders>
              <w:top w:val="none" w:sz="6" w:space="0" w:color="auto"/>
              <w:bottom w:val="none" w:sz="6" w:space="0" w:color="auto"/>
              <w:right w:val="none" w:sz="6" w:space="0" w:color="auto"/>
            </w:tcBorders>
          </w:tcPr>
          <w:p w14:paraId="3FF6BF7E" w14:textId="77777777" w:rsidR="00F00924" w:rsidRDefault="00F00924" w:rsidP="002404AA">
            <w:pPr>
              <w:autoSpaceDE w:val="0"/>
              <w:autoSpaceDN w:val="0"/>
              <w:adjustRightInd w:val="0"/>
              <w:spacing w:after="0" w:line="240" w:lineRule="auto"/>
              <w:ind w:right="-48"/>
              <w:rPr>
                <w:rFonts w:ascii="Arial" w:hAnsi="Arial" w:cs="Arial"/>
                <w:color w:val="000000"/>
                <w:sz w:val="20"/>
                <w:szCs w:val="20"/>
              </w:rPr>
            </w:pPr>
            <w:r w:rsidRPr="007D02D9">
              <w:rPr>
                <w:rFonts w:ascii="Arial" w:hAnsi="Arial" w:cs="Arial"/>
                <w:b/>
                <w:bCs/>
                <w:color w:val="000000"/>
                <w:sz w:val="20"/>
                <w:szCs w:val="20"/>
              </w:rPr>
              <w:t>Tid till abstinens</w:t>
            </w:r>
            <w:r w:rsidR="006E4A3C">
              <w:rPr>
                <w:rFonts w:ascii="Arial" w:hAnsi="Arial" w:cs="Arial"/>
                <w:b/>
                <w:bCs/>
                <w:color w:val="000000"/>
                <w:sz w:val="20"/>
                <w:szCs w:val="20"/>
              </w:rPr>
              <w:t>-</w:t>
            </w:r>
            <w:r w:rsidRPr="007D02D9">
              <w:rPr>
                <w:rFonts w:ascii="Arial" w:hAnsi="Arial" w:cs="Arial"/>
                <w:b/>
                <w:bCs/>
                <w:color w:val="000000"/>
                <w:sz w:val="20"/>
                <w:szCs w:val="20"/>
              </w:rPr>
              <w:t xml:space="preserve">utveckling för olika opioider </w:t>
            </w:r>
            <w:r w:rsidR="009C70C4" w:rsidRPr="006E4A3C">
              <w:rPr>
                <w:rFonts w:ascii="Arial" w:hAnsi="Arial" w:cs="Arial"/>
                <w:b/>
                <w:bCs/>
                <w:color w:val="000000"/>
                <w:sz w:val="20"/>
                <w:szCs w:val="20"/>
              </w:rPr>
              <w:t>o</w:t>
            </w:r>
            <w:r w:rsidRPr="006E4A3C">
              <w:rPr>
                <w:rFonts w:ascii="Arial" w:hAnsi="Arial" w:cs="Arial"/>
                <w:b/>
                <w:bCs/>
                <w:color w:val="000000"/>
                <w:sz w:val="20"/>
                <w:szCs w:val="20"/>
              </w:rPr>
              <w:t>pioid</w:t>
            </w:r>
            <w:r w:rsidRPr="009C70C4">
              <w:rPr>
                <w:rFonts w:ascii="Arial" w:hAnsi="Arial" w:cs="Arial"/>
                <w:color w:val="000000"/>
                <w:sz w:val="20"/>
                <w:szCs w:val="20"/>
              </w:rPr>
              <w:t xml:space="preserve"> </w:t>
            </w:r>
            <w:r w:rsidR="006E4A3C">
              <w:rPr>
                <w:rFonts w:ascii="Arial" w:hAnsi="Arial" w:cs="Arial"/>
                <w:color w:val="000000"/>
                <w:sz w:val="20"/>
                <w:szCs w:val="20"/>
              </w:rPr>
              <w:t xml:space="preserve"> </w:t>
            </w:r>
          </w:p>
          <w:p w14:paraId="7496856B" w14:textId="0987F60B" w:rsidR="006E4A3C" w:rsidRPr="007D02D9" w:rsidRDefault="006E4A3C" w:rsidP="002404AA">
            <w:pPr>
              <w:autoSpaceDE w:val="0"/>
              <w:autoSpaceDN w:val="0"/>
              <w:adjustRightInd w:val="0"/>
              <w:spacing w:after="0" w:line="240" w:lineRule="auto"/>
              <w:ind w:right="-48"/>
              <w:rPr>
                <w:rFonts w:ascii="Arial" w:hAnsi="Arial" w:cs="Arial"/>
                <w:b/>
                <w:bCs/>
                <w:color w:val="000000"/>
                <w:sz w:val="20"/>
                <w:szCs w:val="20"/>
              </w:rPr>
            </w:pPr>
          </w:p>
        </w:tc>
        <w:tc>
          <w:tcPr>
            <w:tcW w:w="2329" w:type="dxa"/>
            <w:tcBorders>
              <w:top w:val="none" w:sz="6" w:space="0" w:color="auto"/>
              <w:left w:val="none" w:sz="6" w:space="0" w:color="auto"/>
              <w:bottom w:val="none" w:sz="6" w:space="0" w:color="auto"/>
              <w:right w:val="none" w:sz="6" w:space="0" w:color="auto"/>
            </w:tcBorders>
          </w:tcPr>
          <w:p w14:paraId="4D895D98" w14:textId="77777777" w:rsidR="00F00924" w:rsidRPr="007A01DC" w:rsidRDefault="00F00924" w:rsidP="002404AA">
            <w:pPr>
              <w:autoSpaceDE w:val="0"/>
              <w:autoSpaceDN w:val="0"/>
              <w:adjustRightInd w:val="0"/>
              <w:spacing w:after="0" w:line="240" w:lineRule="auto"/>
              <w:ind w:right="-48"/>
              <w:rPr>
                <w:rFonts w:ascii="Arial" w:hAnsi="Arial" w:cs="Arial"/>
                <w:b/>
                <w:bCs/>
                <w:color w:val="000000"/>
                <w:sz w:val="20"/>
                <w:szCs w:val="20"/>
              </w:rPr>
            </w:pPr>
            <w:r w:rsidRPr="007A01DC">
              <w:rPr>
                <w:rFonts w:ascii="Arial" w:hAnsi="Arial" w:cs="Arial"/>
                <w:b/>
                <w:bCs/>
                <w:color w:val="000000"/>
                <w:sz w:val="20"/>
                <w:szCs w:val="20"/>
              </w:rPr>
              <w:t xml:space="preserve">debut </w:t>
            </w:r>
          </w:p>
        </w:tc>
        <w:tc>
          <w:tcPr>
            <w:tcW w:w="2329" w:type="dxa"/>
            <w:tcBorders>
              <w:top w:val="none" w:sz="6" w:space="0" w:color="auto"/>
              <w:left w:val="none" w:sz="6" w:space="0" w:color="auto"/>
              <w:bottom w:val="none" w:sz="6" w:space="0" w:color="auto"/>
              <w:right w:val="none" w:sz="6" w:space="0" w:color="auto"/>
            </w:tcBorders>
          </w:tcPr>
          <w:p w14:paraId="29D876A6" w14:textId="77777777" w:rsidR="00F00924" w:rsidRPr="007A01DC" w:rsidRDefault="00F00924" w:rsidP="002404AA">
            <w:pPr>
              <w:autoSpaceDE w:val="0"/>
              <w:autoSpaceDN w:val="0"/>
              <w:adjustRightInd w:val="0"/>
              <w:spacing w:after="0" w:line="240" w:lineRule="auto"/>
              <w:ind w:right="-48"/>
              <w:rPr>
                <w:rFonts w:ascii="Arial" w:hAnsi="Arial" w:cs="Arial"/>
                <w:b/>
                <w:bCs/>
                <w:color w:val="000000"/>
                <w:sz w:val="20"/>
                <w:szCs w:val="20"/>
              </w:rPr>
            </w:pPr>
            <w:r w:rsidRPr="007A01DC">
              <w:rPr>
                <w:rFonts w:ascii="Arial" w:hAnsi="Arial" w:cs="Arial"/>
                <w:b/>
                <w:bCs/>
                <w:color w:val="000000"/>
                <w:sz w:val="20"/>
                <w:szCs w:val="20"/>
              </w:rPr>
              <w:t xml:space="preserve">Högsta intensitet </w:t>
            </w:r>
          </w:p>
        </w:tc>
        <w:tc>
          <w:tcPr>
            <w:tcW w:w="2329" w:type="dxa"/>
            <w:tcBorders>
              <w:top w:val="none" w:sz="6" w:space="0" w:color="auto"/>
              <w:left w:val="none" w:sz="6" w:space="0" w:color="auto"/>
              <w:bottom w:val="none" w:sz="6" w:space="0" w:color="auto"/>
            </w:tcBorders>
          </w:tcPr>
          <w:p w14:paraId="704C7D64" w14:textId="77777777" w:rsidR="00F00924" w:rsidRPr="007A01DC" w:rsidRDefault="00F00924" w:rsidP="002404AA">
            <w:pPr>
              <w:autoSpaceDE w:val="0"/>
              <w:autoSpaceDN w:val="0"/>
              <w:adjustRightInd w:val="0"/>
              <w:spacing w:after="0" w:line="240" w:lineRule="auto"/>
              <w:ind w:right="-48"/>
              <w:rPr>
                <w:rFonts w:ascii="Arial" w:hAnsi="Arial" w:cs="Arial"/>
                <w:b/>
                <w:bCs/>
                <w:color w:val="000000"/>
                <w:sz w:val="20"/>
                <w:szCs w:val="20"/>
              </w:rPr>
            </w:pPr>
            <w:r w:rsidRPr="007A01DC">
              <w:rPr>
                <w:rFonts w:ascii="Arial" w:hAnsi="Arial" w:cs="Arial"/>
                <w:b/>
                <w:bCs/>
                <w:color w:val="000000"/>
                <w:sz w:val="20"/>
                <w:szCs w:val="20"/>
              </w:rPr>
              <w:t xml:space="preserve">varaktighet </w:t>
            </w:r>
          </w:p>
        </w:tc>
      </w:tr>
      <w:tr w:rsidR="00F00924" w:rsidRPr="00F43A46" w14:paraId="4C484C62" w14:textId="77777777" w:rsidTr="00FC69C5">
        <w:trPr>
          <w:trHeight w:val="144"/>
        </w:trPr>
        <w:tc>
          <w:tcPr>
            <w:tcW w:w="2329" w:type="dxa"/>
            <w:tcBorders>
              <w:top w:val="none" w:sz="6" w:space="0" w:color="auto"/>
              <w:bottom w:val="none" w:sz="6" w:space="0" w:color="auto"/>
              <w:right w:val="none" w:sz="6" w:space="0" w:color="auto"/>
            </w:tcBorders>
          </w:tcPr>
          <w:p w14:paraId="02B4A809" w14:textId="77777777" w:rsidR="00F00924" w:rsidRPr="00F43A46" w:rsidRDefault="00F00924" w:rsidP="002404AA">
            <w:pPr>
              <w:autoSpaceDE w:val="0"/>
              <w:autoSpaceDN w:val="0"/>
              <w:adjustRightInd w:val="0"/>
              <w:spacing w:after="0" w:line="240" w:lineRule="auto"/>
              <w:ind w:right="-48"/>
              <w:rPr>
                <w:rFonts w:ascii="Arial" w:hAnsi="Arial" w:cs="Arial"/>
                <w:color w:val="000000"/>
                <w:sz w:val="20"/>
                <w:szCs w:val="20"/>
              </w:rPr>
            </w:pPr>
            <w:r w:rsidRPr="00F43A46">
              <w:rPr>
                <w:rFonts w:ascii="Arial" w:hAnsi="Arial" w:cs="Arial"/>
                <w:color w:val="000000"/>
                <w:sz w:val="20"/>
                <w:szCs w:val="20"/>
              </w:rPr>
              <w:t xml:space="preserve">Heroin </w:t>
            </w:r>
          </w:p>
        </w:tc>
        <w:tc>
          <w:tcPr>
            <w:tcW w:w="2329" w:type="dxa"/>
            <w:tcBorders>
              <w:top w:val="none" w:sz="6" w:space="0" w:color="auto"/>
              <w:left w:val="none" w:sz="6" w:space="0" w:color="auto"/>
              <w:bottom w:val="none" w:sz="6" w:space="0" w:color="auto"/>
              <w:right w:val="none" w:sz="6" w:space="0" w:color="auto"/>
            </w:tcBorders>
          </w:tcPr>
          <w:p w14:paraId="679F23CE" w14:textId="77777777" w:rsidR="00F00924" w:rsidRPr="00F43A46" w:rsidRDefault="00F00924" w:rsidP="002404AA">
            <w:pPr>
              <w:autoSpaceDE w:val="0"/>
              <w:autoSpaceDN w:val="0"/>
              <w:adjustRightInd w:val="0"/>
              <w:spacing w:after="0" w:line="240" w:lineRule="auto"/>
              <w:ind w:right="-48"/>
              <w:rPr>
                <w:rFonts w:ascii="Arial" w:hAnsi="Arial" w:cs="Arial"/>
                <w:color w:val="000000"/>
                <w:sz w:val="20"/>
                <w:szCs w:val="20"/>
              </w:rPr>
            </w:pPr>
            <w:r w:rsidRPr="00F43A46">
              <w:rPr>
                <w:rFonts w:ascii="Arial" w:hAnsi="Arial" w:cs="Arial"/>
                <w:color w:val="000000"/>
                <w:sz w:val="20"/>
                <w:szCs w:val="20"/>
              </w:rPr>
              <w:t xml:space="preserve">4-6 timmar </w:t>
            </w:r>
          </w:p>
        </w:tc>
        <w:tc>
          <w:tcPr>
            <w:tcW w:w="2329" w:type="dxa"/>
            <w:tcBorders>
              <w:top w:val="none" w:sz="6" w:space="0" w:color="auto"/>
              <w:left w:val="none" w:sz="6" w:space="0" w:color="auto"/>
              <w:bottom w:val="none" w:sz="6" w:space="0" w:color="auto"/>
              <w:right w:val="none" w:sz="6" w:space="0" w:color="auto"/>
            </w:tcBorders>
          </w:tcPr>
          <w:p w14:paraId="5F2D7B11" w14:textId="77777777" w:rsidR="00F00924" w:rsidRPr="00F43A46" w:rsidRDefault="00F00924" w:rsidP="002404AA">
            <w:pPr>
              <w:autoSpaceDE w:val="0"/>
              <w:autoSpaceDN w:val="0"/>
              <w:adjustRightInd w:val="0"/>
              <w:spacing w:after="0" w:line="240" w:lineRule="auto"/>
              <w:ind w:right="-48"/>
              <w:rPr>
                <w:rFonts w:ascii="Arial" w:hAnsi="Arial" w:cs="Arial"/>
                <w:color w:val="000000"/>
                <w:sz w:val="20"/>
                <w:szCs w:val="20"/>
              </w:rPr>
            </w:pPr>
            <w:r w:rsidRPr="00F43A46">
              <w:rPr>
                <w:rFonts w:ascii="Arial" w:hAnsi="Arial" w:cs="Arial"/>
                <w:color w:val="000000"/>
                <w:sz w:val="20"/>
                <w:szCs w:val="20"/>
              </w:rPr>
              <w:t xml:space="preserve">24-48 timmar </w:t>
            </w:r>
          </w:p>
        </w:tc>
        <w:tc>
          <w:tcPr>
            <w:tcW w:w="2329" w:type="dxa"/>
            <w:tcBorders>
              <w:top w:val="none" w:sz="6" w:space="0" w:color="auto"/>
              <w:left w:val="none" w:sz="6" w:space="0" w:color="auto"/>
              <w:bottom w:val="none" w:sz="6" w:space="0" w:color="auto"/>
            </w:tcBorders>
          </w:tcPr>
          <w:p w14:paraId="6ED714DD" w14:textId="77777777" w:rsidR="00F00924" w:rsidRPr="00F43A46" w:rsidRDefault="00F00924" w:rsidP="002404AA">
            <w:pPr>
              <w:autoSpaceDE w:val="0"/>
              <w:autoSpaceDN w:val="0"/>
              <w:adjustRightInd w:val="0"/>
              <w:spacing w:after="0" w:line="240" w:lineRule="auto"/>
              <w:ind w:right="-48"/>
              <w:rPr>
                <w:rFonts w:ascii="Arial" w:hAnsi="Arial" w:cs="Arial"/>
                <w:color w:val="000000"/>
                <w:sz w:val="20"/>
                <w:szCs w:val="20"/>
              </w:rPr>
            </w:pPr>
            <w:r w:rsidRPr="00F43A46">
              <w:rPr>
                <w:rFonts w:ascii="Arial" w:hAnsi="Arial" w:cs="Arial"/>
                <w:color w:val="000000"/>
                <w:sz w:val="20"/>
                <w:szCs w:val="20"/>
              </w:rPr>
              <w:t xml:space="preserve">5-14 dagar </w:t>
            </w:r>
          </w:p>
        </w:tc>
      </w:tr>
      <w:tr w:rsidR="00F00924" w:rsidRPr="00F43A46" w14:paraId="64D1D553" w14:textId="77777777" w:rsidTr="00FC69C5">
        <w:trPr>
          <w:trHeight w:val="144"/>
        </w:trPr>
        <w:tc>
          <w:tcPr>
            <w:tcW w:w="2329" w:type="dxa"/>
            <w:tcBorders>
              <w:top w:val="none" w:sz="6" w:space="0" w:color="auto"/>
              <w:bottom w:val="none" w:sz="6" w:space="0" w:color="auto"/>
              <w:right w:val="none" w:sz="6" w:space="0" w:color="auto"/>
            </w:tcBorders>
          </w:tcPr>
          <w:p w14:paraId="0CA72D3D" w14:textId="77777777" w:rsidR="00F00924" w:rsidRPr="00F43A46" w:rsidRDefault="00F00924" w:rsidP="002404AA">
            <w:pPr>
              <w:autoSpaceDE w:val="0"/>
              <w:autoSpaceDN w:val="0"/>
              <w:adjustRightInd w:val="0"/>
              <w:spacing w:after="0" w:line="240" w:lineRule="auto"/>
              <w:ind w:right="-48"/>
              <w:rPr>
                <w:rFonts w:ascii="Arial" w:hAnsi="Arial" w:cs="Arial"/>
                <w:color w:val="000000"/>
                <w:sz w:val="20"/>
                <w:szCs w:val="20"/>
              </w:rPr>
            </w:pPr>
            <w:r w:rsidRPr="00F43A46">
              <w:rPr>
                <w:rFonts w:ascii="Arial" w:hAnsi="Arial" w:cs="Arial"/>
                <w:color w:val="000000"/>
                <w:sz w:val="20"/>
                <w:szCs w:val="20"/>
              </w:rPr>
              <w:t xml:space="preserve">Morfin </w:t>
            </w:r>
          </w:p>
        </w:tc>
        <w:tc>
          <w:tcPr>
            <w:tcW w:w="2329" w:type="dxa"/>
            <w:tcBorders>
              <w:top w:val="none" w:sz="6" w:space="0" w:color="auto"/>
              <w:left w:val="none" w:sz="6" w:space="0" w:color="auto"/>
              <w:bottom w:val="none" w:sz="6" w:space="0" w:color="auto"/>
              <w:right w:val="none" w:sz="6" w:space="0" w:color="auto"/>
            </w:tcBorders>
          </w:tcPr>
          <w:p w14:paraId="047F2447" w14:textId="77777777" w:rsidR="00F00924" w:rsidRPr="00F43A46" w:rsidRDefault="00F00924" w:rsidP="002404AA">
            <w:pPr>
              <w:autoSpaceDE w:val="0"/>
              <w:autoSpaceDN w:val="0"/>
              <w:adjustRightInd w:val="0"/>
              <w:spacing w:after="0" w:line="240" w:lineRule="auto"/>
              <w:ind w:right="-48"/>
              <w:rPr>
                <w:rFonts w:ascii="Arial" w:hAnsi="Arial" w:cs="Arial"/>
                <w:color w:val="000000"/>
                <w:sz w:val="20"/>
                <w:szCs w:val="20"/>
              </w:rPr>
            </w:pPr>
            <w:r w:rsidRPr="00F43A46">
              <w:rPr>
                <w:rFonts w:ascii="Arial" w:hAnsi="Arial" w:cs="Arial"/>
                <w:color w:val="000000"/>
                <w:sz w:val="20"/>
                <w:szCs w:val="20"/>
              </w:rPr>
              <w:t xml:space="preserve">6-18 timmar </w:t>
            </w:r>
          </w:p>
        </w:tc>
        <w:tc>
          <w:tcPr>
            <w:tcW w:w="2329" w:type="dxa"/>
            <w:tcBorders>
              <w:top w:val="none" w:sz="6" w:space="0" w:color="auto"/>
              <w:left w:val="none" w:sz="6" w:space="0" w:color="auto"/>
              <w:bottom w:val="none" w:sz="6" w:space="0" w:color="auto"/>
              <w:right w:val="none" w:sz="6" w:space="0" w:color="auto"/>
            </w:tcBorders>
          </w:tcPr>
          <w:p w14:paraId="1C9F643A" w14:textId="77777777" w:rsidR="00F00924" w:rsidRPr="00F43A46" w:rsidRDefault="00F00924" w:rsidP="002404AA">
            <w:pPr>
              <w:autoSpaceDE w:val="0"/>
              <w:autoSpaceDN w:val="0"/>
              <w:adjustRightInd w:val="0"/>
              <w:spacing w:after="0" w:line="240" w:lineRule="auto"/>
              <w:ind w:right="-48"/>
              <w:rPr>
                <w:rFonts w:ascii="Arial" w:hAnsi="Arial" w:cs="Arial"/>
                <w:color w:val="000000"/>
                <w:sz w:val="20"/>
                <w:szCs w:val="20"/>
              </w:rPr>
            </w:pPr>
            <w:r w:rsidRPr="00F43A46">
              <w:rPr>
                <w:rFonts w:ascii="Arial" w:hAnsi="Arial" w:cs="Arial"/>
                <w:color w:val="000000"/>
                <w:sz w:val="20"/>
                <w:szCs w:val="20"/>
              </w:rPr>
              <w:t xml:space="preserve">48-72 timmar </w:t>
            </w:r>
          </w:p>
        </w:tc>
        <w:tc>
          <w:tcPr>
            <w:tcW w:w="2329" w:type="dxa"/>
            <w:tcBorders>
              <w:top w:val="none" w:sz="6" w:space="0" w:color="auto"/>
              <w:left w:val="none" w:sz="6" w:space="0" w:color="auto"/>
              <w:bottom w:val="none" w:sz="6" w:space="0" w:color="auto"/>
            </w:tcBorders>
          </w:tcPr>
          <w:p w14:paraId="29D4D3E6" w14:textId="77777777" w:rsidR="00F00924" w:rsidRPr="00F43A46" w:rsidRDefault="00F00924" w:rsidP="002404AA">
            <w:pPr>
              <w:autoSpaceDE w:val="0"/>
              <w:autoSpaceDN w:val="0"/>
              <w:adjustRightInd w:val="0"/>
              <w:spacing w:after="0" w:line="240" w:lineRule="auto"/>
              <w:ind w:right="-48"/>
              <w:rPr>
                <w:rFonts w:ascii="Arial" w:hAnsi="Arial" w:cs="Arial"/>
                <w:color w:val="000000"/>
                <w:sz w:val="20"/>
                <w:szCs w:val="20"/>
              </w:rPr>
            </w:pPr>
            <w:r w:rsidRPr="00F43A46">
              <w:rPr>
                <w:rFonts w:ascii="Arial" w:hAnsi="Arial" w:cs="Arial"/>
                <w:color w:val="000000"/>
                <w:sz w:val="20"/>
                <w:szCs w:val="20"/>
              </w:rPr>
              <w:t xml:space="preserve">7-14 dagar </w:t>
            </w:r>
          </w:p>
        </w:tc>
      </w:tr>
      <w:tr w:rsidR="00F00924" w:rsidRPr="00F43A46" w14:paraId="04DCC64C" w14:textId="77777777" w:rsidTr="00FC69C5">
        <w:trPr>
          <w:trHeight w:val="144"/>
        </w:trPr>
        <w:tc>
          <w:tcPr>
            <w:tcW w:w="2329" w:type="dxa"/>
            <w:tcBorders>
              <w:top w:val="none" w:sz="6" w:space="0" w:color="auto"/>
              <w:bottom w:val="none" w:sz="6" w:space="0" w:color="auto"/>
              <w:right w:val="none" w:sz="6" w:space="0" w:color="auto"/>
            </w:tcBorders>
          </w:tcPr>
          <w:p w14:paraId="60F1C8E3" w14:textId="77777777" w:rsidR="00F00924" w:rsidRPr="00F43A46" w:rsidRDefault="00F00924" w:rsidP="002404AA">
            <w:pPr>
              <w:autoSpaceDE w:val="0"/>
              <w:autoSpaceDN w:val="0"/>
              <w:adjustRightInd w:val="0"/>
              <w:spacing w:after="0" w:line="240" w:lineRule="auto"/>
              <w:ind w:right="-48"/>
              <w:rPr>
                <w:rFonts w:ascii="Arial" w:hAnsi="Arial" w:cs="Arial"/>
                <w:color w:val="000000"/>
                <w:sz w:val="20"/>
                <w:szCs w:val="20"/>
              </w:rPr>
            </w:pPr>
            <w:r w:rsidRPr="00F43A46">
              <w:rPr>
                <w:rFonts w:ascii="Arial" w:hAnsi="Arial" w:cs="Arial"/>
                <w:color w:val="000000"/>
                <w:sz w:val="20"/>
                <w:szCs w:val="20"/>
              </w:rPr>
              <w:t xml:space="preserve">Metadon </w:t>
            </w:r>
          </w:p>
        </w:tc>
        <w:tc>
          <w:tcPr>
            <w:tcW w:w="2329" w:type="dxa"/>
            <w:tcBorders>
              <w:top w:val="none" w:sz="6" w:space="0" w:color="auto"/>
              <w:left w:val="none" w:sz="6" w:space="0" w:color="auto"/>
              <w:bottom w:val="none" w:sz="6" w:space="0" w:color="auto"/>
              <w:right w:val="none" w:sz="6" w:space="0" w:color="auto"/>
            </w:tcBorders>
          </w:tcPr>
          <w:p w14:paraId="36B49058" w14:textId="77777777" w:rsidR="00F00924" w:rsidRPr="00F43A46" w:rsidRDefault="00F00924" w:rsidP="002404AA">
            <w:pPr>
              <w:autoSpaceDE w:val="0"/>
              <w:autoSpaceDN w:val="0"/>
              <w:adjustRightInd w:val="0"/>
              <w:spacing w:after="0" w:line="240" w:lineRule="auto"/>
              <w:ind w:right="-48"/>
              <w:rPr>
                <w:rFonts w:ascii="Arial" w:hAnsi="Arial" w:cs="Arial"/>
                <w:color w:val="000000"/>
                <w:sz w:val="20"/>
                <w:szCs w:val="20"/>
              </w:rPr>
            </w:pPr>
            <w:r w:rsidRPr="00F43A46">
              <w:rPr>
                <w:rFonts w:ascii="Arial" w:hAnsi="Arial" w:cs="Arial"/>
                <w:color w:val="000000"/>
                <w:sz w:val="20"/>
                <w:szCs w:val="20"/>
              </w:rPr>
              <w:t xml:space="preserve">24-48 timmar </w:t>
            </w:r>
          </w:p>
        </w:tc>
        <w:tc>
          <w:tcPr>
            <w:tcW w:w="2329" w:type="dxa"/>
            <w:tcBorders>
              <w:top w:val="none" w:sz="6" w:space="0" w:color="auto"/>
              <w:left w:val="none" w:sz="6" w:space="0" w:color="auto"/>
              <w:bottom w:val="none" w:sz="6" w:space="0" w:color="auto"/>
              <w:right w:val="none" w:sz="6" w:space="0" w:color="auto"/>
            </w:tcBorders>
          </w:tcPr>
          <w:p w14:paraId="48125EAE" w14:textId="77777777" w:rsidR="00F00924" w:rsidRPr="00F43A46" w:rsidRDefault="00F00924" w:rsidP="002404AA">
            <w:pPr>
              <w:autoSpaceDE w:val="0"/>
              <w:autoSpaceDN w:val="0"/>
              <w:adjustRightInd w:val="0"/>
              <w:spacing w:after="0" w:line="240" w:lineRule="auto"/>
              <w:ind w:right="-48"/>
              <w:rPr>
                <w:rFonts w:ascii="Arial" w:hAnsi="Arial" w:cs="Arial"/>
                <w:color w:val="000000"/>
                <w:sz w:val="20"/>
                <w:szCs w:val="20"/>
              </w:rPr>
            </w:pPr>
            <w:r w:rsidRPr="00F43A46">
              <w:rPr>
                <w:rFonts w:ascii="Arial" w:hAnsi="Arial" w:cs="Arial"/>
                <w:color w:val="000000"/>
                <w:sz w:val="20"/>
                <w:szCs w:val="20"/>
              </w:rPr>
              <w:t xml:space="preserve">3-14 dagar </w:t>
            </w:r>
          </w:p>
        </w:tc>
        <w:tc>
          <w:tcPr>
            <w:tcW w:w="2329" w:type="dxa"/>
            <w:tcBorders>
              <w:top w:val="none" w:sz="6" w:space="0" w:color="auto"/>
              <w:left w:val="none" w:sz="6" w:space="0" w:color="auto"/>
              <w:bottom w:val="none" w:sz="6" w:space="0" w:color="auto"/>
            </w:tcBorders>
          </w:tcPr>
          <w:p w14:paraId="03C70378" w14:textId="77777777" w:rsidR="00F00924" w:rsidRPr="00F43A46" w:rsidRDefault="00F00924" w:rsidP="002404AA">
            <w:pPr>
              <w:autoSpaceDE w:val="0"/>
              <w:autoSpaceDN w:val="0"/>
              <w:adjustRightInd w:val="0"/>
              <w:spacing w:after="0" w:line="240" w:lineRule="auto"/>
              <w:ind w:right="-48"/>
              <w:rPr>
                <w:rFonts w:ascii="Arial" w:hAnsi="Arial" w:cs="Arial"/>
                <w:color w:val="000000"/>
                <w:sz w:val="20"/>
                <w:szCs w:val="20"/>
              </w:rPr>
            </w:pPr>
            <w:r w:rsidRPr="00F43A46">
              <w:rPr>
                <w:rFonts w:ascii="Arial" w:hAnsi="Arial" w:cs="Arial"/>
                <w:color w:val="000000"/>
                <w:sz w:val="20"/>
                <w:szCs w:val="20"/>
              </w:rPr>
              <w:t xml:space="preserve">2-3 veckor </w:t>
            </w:r>
          </w:p>
        </w:tc>
      </w:tr>
    </w:tbl>
    <w:p w14:paraId="24B011D3" w14:textId="77777777" w:rsidR="00F00924" w:rsidRPr="00F43A46" w:rsidRDefault="00F00924" w:rsidP="002404AA">
      <w:pPr>
        <w:pStyle w:val="Default"/>
        <w:ind w:left="567"/>
        <w:jc w:val="both"/>
        <w:rPr>
          <w:rFonts w:ascii="Times New Roman" w:hAnsi="Times New Roman" w:cs="Times New Roman"/>
        </w:rPr>
      </w:pPr>
    </w:p>
    <w:p w14:paraId="11A898AF" w14:textId="77777777" w:rsidR="00F00924" w:rsidRPr="00F43A46" w:rsidRDefault="00F00924" w:rsidP="002404AA">
      <w:pPr>
        <w:pStyle w:val="Default"/>
        <w:ind w:left="567"/>
        <w:jc w:val="both"/>
        <w:rPr>
          <w:rFonts w:ascii="Times New Roman" w:hAnsi="Times New Roman" w:cs="Times New Roman"/>
        </w:rPr>
      </w:pPr>
    </w:p>
    <w:p w14:paraId="0BF61A90" w14:textId="0B96D006" w:rsidR="00F00924" w:rsidRDefault="00F00924" w:rsidP="002404AA">
      <w:pPr>
        <w:pStyle w:val="Default"/>
        <w:ind w:left="567"/>
        <w:rPr>
          <w:rFonts w:ascii="Times New Roman" w:hAnsi="Times New Roman" w:cs="Times New Roman"/>
          <w:lang w:val="sv-SE"/>
        </w:rPr>
      </w:pPr>
      <w:r w:rsidRPr="00F43A46">
        <w:rPr>
          <w:rFonts w:ascii="Times New Roman" w:hAnsi="Times New Roman" w:cs="Times New Roman"/>
          <w:b/>
          <w:bCs/>
          <w:lang w:val="sv-SE"/>
        </w:rPr>
        <w:t>Metadon</w:t>
      </w:r>
      <w:r w:rsidRPr="00F43A46">
        <w:rPr>
          <w:rFonts w:ascii="Times New Roman" w:hAnsi="Times New Roman" w:cs="Times New Roman"/>
          <w:lang w:val="sv-SE"/>
        </w:rPr>
        <w:t xml:space="preserve"> har lång halveringstid med hög interindividuell variabilitet vad gäller farmakokinetik. Preparatet är en </w:t>
      </w:r>
      <w:r w:rsidRPr="00F43A46">
        <w:rPr>
          <w:rFonts w:ascii="Times New Roman" w:hAnsi="Times New Roman" w:cs="Times New Roman"/>
        </w:rPr>
        <w:t>μ</w:t>
      </w:r>
      <w:r w:rsidRPr="00F43A46">
        <w:rPr>
          <w:rFonts w:ascii="Times New Roman" w:hAnsi="Times New Roman" w:cs="Times New Roman"/>
          <w:lang w:val="sv-SE"/>
        </w:rPr>
        <w:t xml:space="preserve">-agonist, blockerar NMDA-receptorn och verkar som noradrenalin- och serotoninåterupptagshämmare. Preparatet har många interaktioner och kan orsaka QTc-förlängning med risk för allvarlig ventrikelarytmi. Vanlig dosering vid substitutionsbehandling är 80-120 mg/dygn, även om enstaka patienter fortfarande kan ha doser upp till 200 mg/dygn. Vid smärtindikation är dosen oftast lägre, ca 20-60 mg/dygn, vanligen 30 mg eller under. Vid njursvikt måste dosen reduceras. </w:t>
      </w:r>
    </w:p>
    <w:p w14:paraId="7B65C77F" w14:textId="77777777" w:rsidR="00F00924" w:rsidRPr="00F43A46" w:rsidRDefault="00F00924" w:rsidP="002404AA">
      <w:pPr>
        <w:pStyle w:val="Default"/>
        <w:ind w:left="567"/>
        <w:rPr>
          <w:rFonts w:ascii="Times New Roman" w:hAnsi="Times New Roman" w:cs="Times New Roman"/>
          <w:lang w:val="sv-SE"/>
        </w:rPr>
      </w:pPr>
    </w:p>
    <w:p w14:paraId="0AA35464" w14:textId="4B04C41B" w:rsidR="00F00924" w:rsidRDefault="00F00924" w:rsidP="002404AA">
      <w:pPr>
        <w:spacing w:line="240" w:lineRule="auto"/>
      </w:pPr>
      <w:r w:rsidRPr="00F43A46">
        <w:rPr>
          <w:b/>
          <w:bCs/>
        </w:rPr>
        <w:t>Buprenorfin</w:t>
      </w:r>
      <w:r w:rsidRPr="00F43A46">
        <w:t xml:space="preserve"> är en partiell opioidagonist som binder kraftigt till μ-receptorn. I hög dos blockerar därför buprenorfin effekt av andra opioider. Detta innebär att om buprenorfindosen är &gt;10-12 mg/dygn kan effekten av andra opioider utebli. Substitutionsbehandling vid opioidmissbruk ligger i dosområde 8-32 (40) mg/dygn. Högdosbehandling med buprenorfin för svår smärta kan ligga i dosområdet 4-16 mg/dygn. Lågdosbehandling med buprenorfinplåster eller resoriblett Temgesic kan vara framgångsrik hos många patienter, där en av fördelarna är mindre grad av toleransutveckling. I doser &lt;40 μg/h behöver man sällan oroa sig för att andra opioider inte ska fungera</w:t>
      </w:r>
      <w:r w:rsidR="00234FB6">
        <w:t>.</w:t>
      </w:r>
    </w:p>
    <w:p w14:paraId="1959EB3F" w14:textId="77777777" w:rsidR="00234FB6" w:rsidRDefault="00234FB6" w:rsidP="002404AA">
      <w:pPr>
        <w:spacing w:line="240" w:lineRule="auto"/>
      </w:pPr>
    </w:p>
    <w:p w14:paraId="05A1A108" w14:textId="7CB94565" w:rsidR="00F00924" w:rsidRDefault="00F00924" w:rsidP="002404AA">
      <w:pPr>
        <w:pStyle w:val="Rubrik2"/>
      </w:pPr>
      <w:r w:rsidRPr="00F43A46">
        <w:t xml:space="preserve">Rekommendation för handläggning av </w:t>
      </w:r>
      <w:r>
        <w:t>METADON</w:t>
      </w:r>
      <w:r w:rsidR="00FB68ED">
        <w:t>-</w:t>
      </w:r>
      <w:r w:rsidR="00DB3E63">
        <w:t xml:space="preserve"> </w:t>
      </w:r>
      <w:r w:rsidRPr="00F43A46">
        <w:t xml:space="preserve">behandlade patienter perioperativt eller vid akuta situationer </w:t>
      </w:r>
    </w:p>
    <w:p w14:paraId="24AB7119" w14:textId="77777777" w:rsidR="00F00924" w:rsidRPr="00F43A46" w:rsidRDefault="00F00924" w:rsidP="002404AA">
      <w:pPr>
        <w:pStyle w:val="Default"/>
        <w:ind w:left="567"/>
        <w:rPr>
          <w:rFonts w:ascii="Times New Roman" w:hAnsi="Times New Roman" w:cs="Times New Roman"/>
          <w:lang w:val="sv-SE"/>
        </w:rPr>
      </w:pPr>
    </w:p>
    <w:p w14:paraId="601E809B" w14:textId="77777777" w:rsidR="00F00924" w:rsidRDefault="00F00924" w:rsidP="002404AA">
      <w:pPr>
        <w:pStyle w:val="Default"/>
        <w:spacing w:after="27"/>
        <w:ind w:left="567"/>
        <w:rPr>
          <w:rFonts w:ascii="Times New Roman" w:hAnsi="Times New Roman" w:cs="Times New Roman"/>
          <w:lang w:val="sv-SE"/>
        </w:rPr>
      </w:pPr>
      <w:r w:rsidRPr="00F43A46">
        <w:rPr>
          <w:rFonts w:ascii="Times New Roman" w:hAnsi="Times New Roman" w:cs="Times New Roman"/>
          <w:lang w:val="sv-SE"/>
        </w:rPr>
        <w:t xml:space="preserve">• Vid preoperativ bedömning tas kontakt med smärtteamet och/eller beroendemottagningen (LARO) för planering av optimal smärtlindring och perioperativ handläggning. Använd multimodal smärtlindring enligt rutin </w:t>
      </w:r>
    </w:p>
    <w:p w14:paraId="0D38A0D0" w14:textId="77777777" w:rsidR="00F00924" w:rsidRPr="00F43A46" w:rsidRDefault="00F00924" w:rsidP="002404AA">
      <w:pPr>
        <w:pStyle w:val="Default"/>
        <w:spacing w:after="27"/>
        <w:ind w:left="567"/>
        <w:rPr>
          <w:rFonts w:ascii="Times New Roman" w:hAnsi="Times New Roman" w:cs="Times New Roman"/>
          <w:lang w:val="sv-SE"/>
        </w:rPr>
      </w:pPr>
      <w:r w:rsidRPr="00F43A46">
        <w:rPr>
          <w:rFonts w:ascii="Times New Roman" w:hAnsi="Times New Roman" w:cs="Times New Roman"/>
          <w:lang w:val="sv-SE"/>
        </w:rPr>
        <w:t xml:space="preserve"> </w:t>
      </w:r>
    </w:p>
    <w:p w14:paraId="507E119F" w14:textId="77777777" w:rsidR="00F00924" w:rsidRDefault="00F00924" w:rsidP="002404AA">
      <w:pPr>
        <w:pStyle w:val="Default"/>
        <w:spacing w:after="27"/>
        <w:ind w:left="567"/>
        <w:rPr>
          <w:rFonts w:ascii="Times New Roman" w:hAnsi="Times New Roman" w:cs="Times New Roman"/>
          <w:lang w:val="sv-SE"/>
        </w:rPr>
      </w:pPr>
      <w:r w:rsidRPr="00F43A46">
        <w:rPr>
          <w:rFonts w:ascii="Times New Roman" w:hAnsi="Times New Roman" w:cs="Times New Roman"/>
          <w:lang w:val="sv-SE"/>
        </w:rPr>
        <w:lastRenderedPageBreak/>
        <w:t xml:space="preserve">• Metadonbehandlingen bör inte avbrytas. Ordinarie dygnsdos ska behållas men delas upp i 3- dos. </w:t>
      </w:r>
    </w:p>
    <w:p w14:paraId="0F76D43C" w14:textId="77777777" w:rsidR="00F00924" w:rsidRPr="00F43A46" w:rsidRDefault="00F00924" w:rsidP="002404AA">
      <w:pPr>
        <w:pStyle w:val="Default"/>
        <w:spacing w:after="27"/>
        <w:ind w:left="567"/>
        <w:rPr>
          <w:rFonts w:ascii="Times New Roman" w:hAnsi="Times New Roman" w:cs="Times New Roman"/>
          <w:lang w:val="sv-SE"/>
        </w:rPr>
      </w:pPr>
    </w:p>
    <w:p w14:paraId="5CB8C29C" w14:textId="77777777" w:rsidR="00F00924" w:rsidRDefault="00F00924" w:rsidP="002404AA">
      <w:pPr>
        <w:pStyle w:val="Default"/>
        <w:spacing w:after="27"/>
        <w:ind w:left="567"/>
        <w:rPr>
          <w:rFonts w:ascii="Times New Roman" w:hAnsi="Times New Roman" w:cs="Times New Roman"/>
          <w:lang w:val="sv-SE"/>
        </w:rPr>
      </w:pPr>
      <w:r w:rsidRPr="00F43A46">
        <w:rPr>
          <w:rFonts w:ascii="Times New Roman" w:hAnsi="Times New Roman" w:cs="Times New Roman"/>
          <w:lang w:val="sv-SE"/>
        </w:rPr>
        <w:t xml:space="preserve">• Om peroral medicinering inte är möjlig bör metadon ges intravenöst. Grundregeln är att intravenös dos metadon ungefär motsvarar </w:t>
      </w:r>
      <w:r>
        <w:rPr>
          <w:rFonts w:ascii="Times New Roman" w:hAnsi="Times New Roman" w:cs="Times New Roman"/>
          <w:lang w:val="sv-SE"/>
        </w:rPr>
        <w:t>8</w:t>
      </w:r>
      <w:r w:rsidRPr="00F43A46">
        <w:rPr>
          <w:rFonts w:ascii="Times New Roman" w:hAnsi="Times New Roman" w:cs="Times New Roman"/>
          <w:lang w:val="sv-SE"/>
        </w:rPr>
        <w:t xml:space="preserve">0% av den perorala dosen, som fördelas i tre doser under dygnet. </w:t>
      </w:r>
    </w:p>
    <w:p w14:paraId="370EB915" w14:textId="77777777" w:rsidR="00F00924" w:rsidRPr="00F43A46" w:rsidRDefault="00F00924" w:rsidP="002404AA">
      <w:pPr>
        <w:pStyle w:val="Default"/>
        <w:spacing w:after="27"/>
        <w:ind w:left="567"/>
        <w:rPr>
          <w:rFonts w:ascii="Times New Roman" w:hAnsi="Times New Roman" w:cs="Times New Roman"/>
          <w:lang w:val="sv-SE"/>
        </w:rPr>
      </w:pPr>
    </w:p>
    <w:p w14:paraId="4ADF2F5F" w14:textId="77777777" w:rsidR="00F00924" w:rsidRPr="00293BB7" w:rsidRDefault="00F00924" w:rsidP="002404AA">
      <w:pPr>
        <w:pStyle w:val="Default"/>
        <w:spacing w:after="27"/>
        <w:ind w:left="567"/>
        <w:rPr>
          <w:rFonts w:ascii="Times New Roman" w:hAnsi="Times New Roman" w:cs="Times New Roman"/>
          <w:lang w:val="sv-SE"/>
        </w:rPr>
      </w:pPr>
      <w:r w:rsidRPr="00F43A46">
        <w:rPr>
          <w:rFonts w:ascii="Times New Roman" w:hAnsi="Times New Roman" w:cs="Times New Roman"/>
          <w:lang w:val="sv-SE"/>
        </w:rPr>
        <w:t xml:space="preserve">• I akuta fall bör smärtlindring inledas med intravenöst oxikodon eller morfin. Patienterna är i regel, men inte alltid, opioidtoleranta och kan behöva höga doser. </w:t>
      </w:r>
      <w:r w:rsidRPr="00293BB7">
        <w:rPr>
          <w:rFonts w:ascii="Times New Roman" w:hAnsi="Times New Roman" w:cs="Times New Roman"/>
          <w:lang w:val="sv-SE"/>
        </w:rPr>
        <w:t xml:space="preserve">Titrera dosen tills effekt erhålls. </w:t>
      </w:r>
    </w:p>
    <w:p w14:paraId="6F293A0F" w14:textId="77777777" w:rsidR="00F00924" w:rsidRPr="00293BB7" w:rsidRDefault="00F00924" w:rsidP="002404AA">
      <w:pPr>
        <w:pStyle w:val="Default"/>
        <w:spacing w:after="27"/>
        <w:ind w:left="567"/>
        <w:rPr>
          <w:rFonts w:ascii="Times New Roman" w:hAnsi="Times New Roman" w:cs="Times New Roman"/>
          <w:lang w:val="sv-SE"/>
        </w:rPr>
      </w:pPr>
    </w:p>
    <w:p w14:paraId="1BA53688" w14:textId="77777777" w:rsidR="00F00924" w:rsidRDefault="00F00924" w:rsidP="002404AA">
      <w:pPr>
        <w:pStyle w:val="Default"/>
        <w:spacing w:after="27"/>
        <w:ind w:left="567"/>
        <w:rPr>
          <w:rFonts w:ascii="Times New Roman" w:hAnsi="Times New Roman" w:cs="Times New Roman"/>
          <w:lang w:val="sv-SE"/>
        </w:rPr>
      </w:pPr>
      <w:r w:rsidRPr="00F43A46">
        <w:rPr>
          <w:rFonts w:ascii="Times New Roman" w:hAnsi="Times New Roman" w:cs="Times New Roman"/>
          <w:lang w:val="sv-SE"/>
        </w:rPr>
        <w:t xml:space="preserve">• Gällande kritiskt sjuka patienter bör man vara särskilt observant på elektrolytrubbningar hos metadonbehandlade patienter, då speciellt hypokalemi kan leda till allvarlig hjärtrytmrubbning. </w:t>
      </w:r>
    </w:p>
    <w:p w14:paraId="2C29B43B" w14:textId="77777777" w:rsidR="00F00924" w:rsidRPr="00F43A46" w:rsidRDefault="00F00924" w:rsidP="002404AA">
      <w:pPr>
        <w:pStyle w:val="Default"/>
        <w:spacing w:after="27"/>
        <w:ind w:left="567"/>
        <w:rPr>
          <w:rFonts w:ascii="Times New Roman" w:hAnsi="Times New Roman" w:cs="Times New Roman"/>
          <w:lang w:val="sv-SE"/>
        </w:rPr>
      </w:pPr>
    </w:p>
    <w:p w14:paraId="56F41772" w14:textId="77777777" w:rsidR="00F00924" w:rsidRPr="00F43A46" w:rsidRDefault="00F00924" w:rsidP="002404AA">
      <w:pPr>
        <w:pStyle w:val="Default"/>
        <w:ind w:left="567"/>
        <w:rPr>
          <w:rFonts w:ascii="Times New Roman" w:hAnsi="Times New Roman" w:cs="Times New Roman"/>
          <w:lang w:val="sv-SE"/>
        </w:rPr>
      </w:pPr>
      <w:r w:rsidRPr="00F43A46">
        <w:rPr>
          <w:rFonts w:ascii="Times New Roman" w:hAnsi="Times New Roman" w:cs="Times New Roman"/>
          <w:lang w:val="sv-SE"/>
        </w:rPr>
        <w:t xml:space="preserve">• Se till att ordna nedtrappning till ursprungliga doser efter den akuta episoden. Om behandlingstiden med extradoser opioid understiger 5 dygn behövs ingen nedtrappning. </w:t>
      </w:r>
    </w:p>
    <w:p w14:paraId="6D344C59" w14:textId="77777777" w:rsidR="00F00924" w:rsidRDefault="00F00924" w:rsidP="002404AA">
      <w:pPr>
        <w:pStyle w:val="Default"/>
        <w:ind w:left="567"/>
        <w:rPr>
          <w:rFonts w:ascii="Times New Roman" w:hAnsi="Times New Roman" w:cs="Times New Roman"/>
          <w:lang w:val="sv-SE"/>
        </w:rPr>
      </w:pPr>
    </w:p>
    <w:p w14:paraId="6E26FC49" w14:textId="1D9BCAA1" w:rsidR="00F00924" w:rsidRDefault="00F00924" w:rsidP="002404AA">
      <w:pPr>
        <w:pStyle w:val="Rubrik2"/>
      </w:pPr>
      <w:r w:rsidRPr="00F43A46">
        <w:t xml:space="preserve">Rekommendation för handläggning av </w:t>
      </w:r>
      <w:r>
        <w:t>BUPRENORFIN</w:t>
      </w:r>
      <w:r w:rsidR="00FB68ED">
        <w:t>-</w:t>
      </w:r>
      <w:r w:rsidR="0036308B">
        <w:t xml:space="preserve"> </w:t>
      </w:r>
      <w:r w:rsidRPr="00F43A46">
        <w:t xml:space="preserve">behandlade patienter perioperativt eller vid akuta situationer </w:t>
      </w:r>
    </w:p>
    <w:p w14:paraId="68A976E0" w14:textId="77777777" w:rsidR="00F00924" w:rsidRPr="00F43A46" w:rsidRDefault="00F00924" w:rsidP="002404AA">
      <w:pPr>
        <w:pStyle w:val="Default"/>
        <w:ind w:left="567"/>
        <w:rPr>
          <w:rFonts w:ascii="Times New Roman" w:hAnsi="Times New Roman" w:cs="Times New Roman"/>
          <w:lang w:val="sv-SE"/>
        </w:rPr>
      </w:pPr>
    </w:p>
    <w:p w14:paraId="4842610B" w14:textId="77777777" w:rsidR="00F00924" w:rsidRDefault="00F00924" w:rsidP="002404AA">
      <w:pPr>
        <w:pStyle w:val="Default"/>
        <w:ind w:left="567"/>
        <w:rPr>
          <w:rFonts w:ascii="Times New Roman" w:hAnsi="Times New Roman" w:cs="Times New Roman"/>
          <w:i/>
          <w:iCs/>
          <w:lang w:val="sv-SE"/>
        </w:rPr>
      </w:pPr>
      <w:r w:rsidRPr="00F43A46">
        <w:rPr>
          <w:rFonts w:ascii="Times New Roman" w:hAnsi="Times New Roman" w:cs="Times New Roman"/>
          <w:i/>
          <w:iCs/>
          <w:lang w:val="sv-SE"/>
        </w:rPr>
        <w:t xml:space="preserve">Patienter som behandlas med </w:t>
      </w:r>
      <w:r>
        <w:rPr>
          <w:rFonts w:ascii="Times New Roman" w:hAnsi="Times New Roman" w:cs="Times New Roman"/>
          <w:i/>
          <w:iCs/>
          <w:u w:val="single"/>
          <w:lang w:val="sv-SE"/>
        </w:rPr>
        <w:t>LÅGDOS BUPRENORFIN</w:t>
      </w:r>
      <w:r w:rsidRPr="00F43A46">
        <w:rPr>
          <w:rFonts w:ascii="Times New Roman" w:hAnsi="Times New Roman" w:cs="Times New Roman"/>
          <w:i/>
          <w:iCs/>
          <w:lang w:val="sv-SE"/>
        </w:rPr>
        <w:t xml:space="preserve"> (buprenorfinplåster upp till 40 </w:t>
      </w:r>
      <w:r w:rsidRPr="00F43A46">
        <w:rPr>
          <w:rFonts w:ascii="Times New Roman" w:hAnsi="Times New Roman" w:cs="Times New Roman"/>
          <w:i/>
          <w:iCs/>
        </w:rPr>
        <w:t>μ</w:t>
      </w:r>
      <w:r w:rsidRPr="00F43A46">
        <w:rPr>
          <w:rFonts w:ascii="Times New Roman" w:hAnsi="Times New Roman" w:cs="Times New Roman"/>
          <w:i/>
          <w:iCs/>
          <w:lang w:val="sv-SE"/>
        </w:rPr>
        <w:t xml:space="preserve">g/h eller resoriblett Temgesic upp till 0,4 mg x 3). </w:t>
      </w:r>
    </w:p>
    <w:p w14:paraId="3591AB87" w14:textId="77777777" w:rsidR="00F00924" w:rsidRPr="00F43A46" w:rsidRDefault="00F00924" w:rsidP="002404AA">
      <w:pPr>
        <w:pStyle w:val="Default"/>
        <w:ind w:left="567"/>
        <w:rPr>
          <w:rFonts w:ascii="Times New Roman" w:hAnsi="Times New Roman" w:cs="Times New Roman"/>
          <w:lang w:val="sv-SE"/>
        </w:rPr>
      </w:pPr>
    </w:p>
    <w:p w14:paraId="306E2D4A" w14:textId="77777777" w:rsidR="00F00924" w:rsidRPr="00705A19" w:rsidRDefault="00F00924" w:rsidP="002404AA">
      <w:pPr>
        <w:pStyle w:val="Default"/>
        <w:spacing w:after="27"/>
        <w:ind w:left="567"/>
        <w:rPr>
          <w:rFonts w:ascii="Times New Roman" w:hAnsi="Times New Roman" w:cs="Times New Roman"/>
          <w:lang w:val="sv-SE"/>
        </w:rPr>
      </w:pPr>
      <w:r w:rsidRPr="00F43A46">
        <w:rPr>
          <w:rFonts w:ascii="Times New Roman" w:hAnsi="Times New Roman" w:cs="Times New Roman"/>
          <w:lang w:val="sv-SE"/>
        </w:rPr>
        <w:t xml:space="preserve">• Vid mindre ingrepp eller vid måttlig smärta, behåll aktuell dosering. </w:t>
      </w:r>
      <w:r w:rsidRPr="00705A19">
        <w:rPr>
          <w:rFonts w:ascii="Times New Roman" w:hAnsi="Times New Roman" w:cs="Times New Roman"/>
          <w:lang w:val="sv-SE"/>
        </w:rPr>
        <w:t>Lägg till paracetamol och NSAID/C</w:t>
      </w:r>
      <w:r>
        <w:rPr>
          <w:rFonts w:ascii="Times New Roman" w:hAnsi="Times New Roman" w:cs="Times New Roman"/>
          <w:lang w:val="sv-SE"/>
        </w:rPr>
        <w:t>OX2 hämmare</w:t>
      </w:r>
      <w:r w:rsidRPr="00705A19">
        <w:rPr>
          <w:rFonts w:ascii="Times New Roman" w:hAnsi="Times New Roman" w:cs="Times New Roman"/>
          <w:lang w:val="sv-SE"/>
        </w:rPr>
        <w:t xml:space="preserve"> om kontraindikation inte finns. </w:t>
      </w:r>
    </w:p>
    <w:p w14:paraId="0DCC4228" w14:textId="77777777" w:rsidR="00F00924" w:rsidRPr="00705A19" w:rsidRDefault="00F00924" w:rsidP="002404AA">
      <w:pPr>
        <w:pStyle w:val="Default"/>
        <w:spacing w:after="27"/>
        <w:ind w:left="567"/>
        <w:rPr>
          <w:rFonts w:ascii="Times New Roman" w:hAnsi="Times New Roman" w:cs="Times New Roman"/>
          <w:lang w:val="sv-SE"/>
        </w:rPr>
      </w:pPr>
    </w:p>
    <w:p w14:paraId="7012BCF0" w14:textId="77777777" w:rsidR="00F00924" w:rsidRDefault="00F00924" w:rsidP="002404AA">
      <w:pPr>
        <w:pStyle w:val="Default"/>
        <w:spacing w:after="27"/>
        <w:ind w:left="567"/>
        <w:rPr>
          <w:rFonts w:ascii="Times New Roman" w:hAnsi="Times New Roman" w:cs="Times New Roman"/>
          <w:lang w:val="sv-SE"/>
        </w:rPr>
      </w:pPr>
      <w:r w:rsidRPr="00F43A46">
        <w:rPr>
          <w:rFonts w:ascii="Times New Roman" w:hAnsi="Times New Roman" w:cs="Times New Roman"/>
          <w:lang w:val="sv-SE"/>
        </w:rPr>
        <w:t xml:space="preserve">• Vid svår akut smärta kan antingen plåstret behållas som grund, och stark opioid läggas till i upptitrerad dos. Detta gäller speciellt om den akuta situationen bedöms vara kortvarig. Ett annat alternativ är att sätta ut buprenorfin och ersätta med stark opioid i ekvipotent dos. Buprenorfinplåster 5 </w:t>
      </w:r>
      <w:r w:rsidRPr="00F43A46">
        <w:rPr>
          <w:rFonts w:ascii="Times New Roman" w:hAnsi="Times New Roman" w:cs="Times New Roman"/>
        </w:rPr>
        <w:t>μ</w:t>
      </w:r>
      <w:r w:rsidRPr="00F43A46">
        <w:rPr>
          <w:rFonts w:ascii="Times New Roman" w:hAnsi="Times New Roman" w:cs="Times New Roman"/>
          <w:lang w:val="sv-SE"/>
        </w:rPr>
        <w:t xml:space="preserve">g/h motsvarar ungefär 3-5mg oxikodon per dygn. Temgesic 0,4 mg motsvarar ca 10-15 mg oxikodon. </w:t>
      </w:r>
    </w:p>
    <w:p w14:paraId="19E73D2C" w14:textId="77777777" w:rsidR="00F00924" w:rsidRPr="00F43A46" w:rsidRDefault="00F00924" w:rsidP="002404AA">
      <w:pPr>
        <w:pStyle w:val="Default"/>
        <w:spacing w:after="27"/>
        <w:ind w:left="567"/>
        <w:rPr>
          <w:rFonts w:ascii="Times New Roman" w:hAnsi="Times New Roman" w:cs="Times New Roman"/>
          <w:lang w:val="sv-SE"/>
        </w:rPr>
      </w:pPr>
    </w:p>
    <w:p w14:paraId="57228FBC" w14:textId="77777777" w:rsidR="00F00924" w:rsidRDefault="00F00924" w:rsidP="002404AA">
      <w:pPr>
        <w:pStyle w:val="Default"/>
        <w:ind w:left="567"/>
        <w:rPr>
          <w:rFonts w:ascii="Times New Roman" w:hAnsi="Times New Roman" w:cs="Times New Roman"/>
          <w:lang w:val="sv-SE"/>
        </w:rPr>
      </w:pPr>
      <w:r w:rsidRPr="00F43A46">
        <w:rPr>
          <w:rFonts w:ascii="Times New Roman" w:hAnsi="Times New Roman" w:cs="Times New Roman"/>
          <w:lang w:val="sv-SE"/>
        </w:rPr>
        <w:t xml:space="preserve">• Se till att ordna nedtrappning till ursprungliga doser efter den akuta episoden. Om behandlingstiden med extradoser opioid understiger 5 dygn behövs ingen nedtrappning. </w:t>
      </w:r>
    </w:p>
    <w:p w14:paraId="2A99BBB7" w14:textId="77777777" w:rsidR="00F00924" w:rsidRPr="00F43A46" w:rsidRDefault="00F00924" w:rsidP="002404AA">
      <w:pPr>
        <w:pStyle w:val="Default"/>
        <w:ind w:left="567"/>
        <w:rPr>
          <w:rFonts w:ascii="Times New Roman" w:hAnsi="Times New Roman" w:cs="Times New Roman"/>
          <w:lang w:val="sv-SE"/>
        </w:rPr>
      </w:pPr>
    </w:p>
    <w:p w14:paraId="66C31759" w14:textId="77777777" w:rsidR="00F00924" w:rsidRDefault="00F00924" w:rsidP="002404AA">
      <w:pPr>
        <w:pStyle w:val="Default"/>
        <w:ind w:left="567"/>
        <w:rPr>
          <w:rFonts w:ascii="Times New Roman" w:hAnsi="Times New Roman" w:cs="Times New Roman"/>
          <w:i/>
          <w:iCs/>
          <w:lang w:val="sv-SE"/>
        </w:rPr>
      </w:pPr>
      <w:r w:rsidRPr="00F43A46">
        <w:rPr>
          <w:rFonts w:ascii="Times New Roman" w:hAnsi="Times New Roman" w:cs="Times New Roman"/>
          <w:i/>
          <w:iCs/>
          <w:lang w:val="sv-SE"/>
        </w:rPr>
        <w:t xml:space="preserve">Patienter som behandlas med </w:t>
      </w:r>
      <w:r>
        <w:rPr>
          <w:rFonts w:ascii="Times New Roman" w:hAnsi="Times New Roman" w:cs="Times New Roman"/>
          <w:i/>
          <w:iCs/>
          <w:u w:val="single"/>
          <w:lang w:val="sv-SE"/>
        </w:rPr>
        <w:t>BUPRENORFIN</w:t>
      </w:r>
      <w:r w:rsidRPr="00D64982">
        <w:rPr>
          <w:rFonts w:ascii="Times New Roman" w:hAnsi="Times New Roman" w:cs="Times New Roman"/>
          <w:i/>
          <w:iCs/>
          <w:u w:val="single"/>
          <w:lang w:val="sv-SE"/>
        </w:rPr>
        <w:t xml:space="preserve"> i doser 2-10 mg/dygn</w:t>
      </w:r>
      <w:r w:rsidRPr="00F43A46">
        <w:rPr>
          <w:rFonts w:ascii="Times New Roman" w:hAnsi="Times New Roman" w:cs="Times New Roman"/>
          <w:i/>
          <w:iCs/>
          <w:lang w:val="sv-SE"/>
        </w:rPr>
        <w:t xml:space="preserve"> </w:t>
      </w:r>
    </w:p>
    <w:p w14:paraId="65639030" w14:textId="77777777" w:rsidR="00F00924" w:rsidRPr="00F43A46" w:rsidRDefault="00F00924" w:rsidP="002404AA">
      <w:pPr>
        <w:pStyle w:val="Default"/>
        <w:ind w:left="567"/>
        <w:rPr>
          <w:rFonts w:ascii="Times New Roman" w:hAnsi="Times New Roman" w:cs="Times New Roman"/>
          <w:lang w:val="sv-SE"/>
        </w:rPr>
      </w:pPr>
    </w:p>
    <w:p w14:paraId="379F7FFE" w14:textId="77777777" w:rsidR="00F00924" w:rsidRDefault="00F00924" w:rsidP="002404AA">
      <w:pPr>
        <w:pStyle w:val="Default"/>
        <w:spacing w:after="28"/>
        <w:ind w:left="567"/>
        <w:rPr>
          <w:rFonts w:ascii="Times New Roman" w:hAnsi="Times New Roman" w:cs="Times New Roman"/>
          <w:lang w:val="sv-SE"/>
        </w:rPr>
      </w:pPr>
      <w:r w:rsidRPr="00F43A46">
        <w:rPr>
          <w:rFonts w:ascii="Times New Roman" w:hAnsi="Times New Roman" w:cs="Times New Roman"/>
          <w:lang w:val="sv-SE"/>
        </w:rPr>
        <w:t xml:space="preserve">• Vid preop bedömning tas kontakt med smärtteamet och/eller beroendemottagningen (LARO) för planering av optimal smärtlindring och perioperativ handläggning. Använd multimodal smärtlindring enligt rutin ”Perioperativ smärtlindring vid ökad risk för svår postoperativ smärta”. </w:t>
      </w:r>
    </w:p>
    <w:p w14:paraId="7CFE0517" w14:textId="77777777" w:rsidR="00F00924" w:rsidRPr="00F43A46" w:rsidRDefault="00F00924" w:rsidP="002404AA">
      <w:pPr>
        <w:pStyle w:val="Default"/>
        <w:spacing w:after="28"/>
        <w:ind w:left="567"/>
        <w:rPr>
          <w:rFonts w:ascii="Times New Roman" w:hAnsi="Times New Roman" w:cs="Times New Roman"/>
          <w:lang w:val="sv-SE"/>
        </w:rPr>
      </w:pPr>
    </w:p>
    <w:p w14:paraId="3816510C" w14:textId="77777777" w:rsidR="00F00924" w:rsidRDefault="00F00924" w:rsidP="002404AA">
      <w:pPr>
        <w:pStyle w:val="Default"/>
        <w:spacing w:after="28"/>
        <w:ind w:left="567"/>
        <w:rPr>
          <w:rFonts w:ascii="Times New Roman" w:hAnsi="Times New Roman" w:cs="Times New Roman"/>
          <w:lang w:val="sv-SE"/>
        </w:rPr>
      </w:pPr>
      <w:r w:rsidRPr="00F43A46">
        <w:rPr>
          <w:rFonts w:ascii="Times New Roman" w:hAnsi="Times New Roman" w:cs="Times New Roman"/>
          <w:lang w:val="sv-SE"/>
        </w:rPr>
        <w:lastRenderedPageBreak/>
        <w:t xml:space="preserve">• Behåll den aktuella dosen perioperativt. </w:t>
      </w:r>
    </w:p>
    <w:p w14:paraId="4B2FFF6B" w14:textId="77777777" w:rsidR="00F00924" w:rsidRPr="00F43A46" w:rsidRDefault="00F00924" w:rsidP="002404AA">
      <w:pPr>
        <w:pStyle w:val="Default"/>
        <w:spacing w:after="28"/>
        <w:ind w:left="567"/>
        <w:rPr>
          <w:rFonts w:ascii="Times New Roman" w:hAnsi="Times New Roman" w:cs="Times New Roman"/>
          <w:lang w:val="sv-SE"/>
        </w:rPr>
      </w:pPr>
    </w:p>
    <w:p w14:paraId="0B667F58" w14:textId="77777777" w:rsidR="00F00924" w:rsidRPr="00293BB7" w:rsidRDefault="00F00924" w:rsidP="002404AA">
      <w:pPr>
        <w:pStyle w:val="Default"/>
        <w:spacing w:after="28"/>
        <w:ind w:left="567"/>
        <w:rPr>
          <w:rFonts w:ascii="Times New Roman" w:hAnsi="Times New Roman" w:cs="Times New Roman"/>
          <w:lang w:val="sv-SE"/>
        </w:rPr>
      </w:pPr>
      <w:r w:rsidRPr="00F43A46">
        <w:rPr>
          <w:rFonts w:ascii="Times New Roman" w:hAnsi="Times New Roman" w:cs="Times New Roman"/>
          <w:lang w:val="sv-SE"/>
        </w:rPr>
        <w:t xml:space="preserve">• I akuta fall bör smärtlindring inledas med intravenöst oxikodon eller morfin. Patienterna är i regel, men inte alltid, opioidtoleranta och kan behöva höga doser. </w:t>
      </w:r>
      <w:r w:rsidRPr="00293BB7">
        <w:rPr>
          <w:rFonts w:ascii="Times New Roman" w:hAnsi="Times New Roman" w:cs="Times New Roman"/>
          <w:lang w:val="sv-SE"/>
        </w:rPr>
        <w:t xml:space="preserve">Titrera dosen tills effekt erhålls. </w:t>
      </w:r>
    </w:p>
    <w:p w14:paraId="763013C7" w14:textId="77777777" w:rsidR="00F00924" w:rsidRPr="00293BB7" w:rsidRDefault="00F00924" w:rsidP="002404AA">
      <w:pPr>
        <w:pStyle w:val="Default"/>
        <w:spacing w:after="28"/>
        <w:ind w:left="567"/>
        <w:rPr>
          <w:rFonts w:ascii="Times New Roman" w:hAnsi="Times New Roman" w:cs="Times New Roman"/>
          <w:lang w:val="sv-SE"/>
        </w:rPr>
      </w:pPr>
    </w:p>
    <w:p w14:paraId="2D73BE11" w14:textId="77777777" w:rsidR="00F00924" w:rsidRDefault="00F00924" w:rsidP="002404AA">
      <w:pPr>
        <w:pStyle w:val="Default"/>
        <w:ind w:left="567"/>
        <w:rPr>
          <w:rFonts w:ascii="Times New Roman" w:hAnsi="Times New Roman" w:cs="Times New Roman"/>
          <w:lang w:val="sv-SE"/>
        </w:rPr>
      </w:pPr>
      <w:r w:rsidRPr="00F43A46">
        <w:rPr>
          <w:rFonts w:ascii="Times New Roman" w:hAnsi="Times New Roman" w:cs="Times New Roman"/>
          <w:lang w:val="sv-SE"/>
        </w:rPr>
        <w:t>• Se till att ordna nedtrappning till ursprungliga doser efter den akuta episoden. Om behandlingstiden med extradoser opioid understiger 5 dygn behövs ingen nedtrappning.</w:t>
      </w:r>
    </w:p>
    <w:p w14:paraId="43372F73" w14:textId="77777777" w:rsidR="00F00924" w:rsidRPr="00F43A46" w:rsidRDefault="00F00924" w:rsidP="002404AA">
      <w:pPr>
        <w:pStyle w:val="Default"/>
        <w:ind w:left="567"/>
        <w:rPr>
          <w:rFonts w:ascii="Times New Roman" w:hAnsi="Times New Roman" w:cs="Times New Roman"/>
          <w:lang w:val="sv-SE"/>
        </w:rPr>
      </w:pPr>
    </w:p>
    <w:p w14:paraId="372429E4" w14:textId="77777777" w:rsidR="00F00924" w:rsidRDefault="00F00924" w:rsidP="002404AA">
      <w:pPr>
        <w:pStyle w:val="Default"/>
        <w:ind w:left="567"/>
        <w:rPr>
          <w:rFonts w:ascii="Times New Roman" w:hAnsi="Times New Roman" w:cs="Times New Roman"/>
          <w:i/>
          <w:iCs/>
          <w:lang w:val="sv-SE"/>
        </w:rPr>
      </w:pPr>
      <w:r w:rsidRPr="00F43A46">
        <w:rPr>
          <w:rFonts w:ascii="Times New Roman" w:hAnsi="Times New Roman" w:cs="Times New Roman"/>
          <w:i/>
          <w:iCs/>
          <w:lang w:val="sv-SE"/>
        </w:rPr>
        <w:t xml:space="preserve">Patienter som behandlas med </w:t>
      </w:r>
      <w:r>
        <w:rPr>
          <w:rFonts w:ascii="Times New Roman" w:hAnsi="Times New Roman" w:cs="Times New Roman"/>
          <w:i/>
          <w:iCs/>
          <w:u w:val="single"/>
          <w:lang w:val="sv-SE"/>
        </w:rPr>
        <w:t>BUPRENORFIN</w:t>
      </w:r>
      <w:r w:rsidRPr="00D64982">
        <w:rPr>
          <w:rFonts w:ascii="Times New Roman" w:hAnsi="Times New Roman" w:cs="Times New Roman"/>
          <w:i/>
          <w:iCs/>
          <w:u w:val="single"/>
          <w:lang w:val="sv-SE"/>
        </w:rPr>
        <w:t xml:space="preserve"> i doser &gt;12 mg/dygn</w:t>
      </w:r>
      <w:r w:rsidRPr="00F43A46">
        <w:rPr>
          <w:rFonts w:ascii="Times New Roman" w:hAnsi="Times New Roman" w:cs="Times New Roman"/>
          <w:i/>
          <w:iCs/>
          <w:lang w:val="sv-SE"/>
        </w:rPr>
        <w:t xml:space="preserve"> </w:t>
      </w:r>
    </w:p>
    <w:p w14:paraId="0167E4E0" w14:textId="77777777" w:rsidR="00F00924" w:rsidRPr="00F43A46" w:rsidRDefault="00F00924" w:rsidP="002404AA">
      <w:pPr>
        <w:pStyle w:val="Default"/>
        <w:ind w:left="567"/>
        <w:rPr>
          <w:rFonts w:ascii="Times New Roman" w:hAnsi="Times New Roman" w:cs="Times New Roman"/>
          <w:lang w:val="sv-SE"/>
        </w:rPr>
      </w:pPr>
    </w:p>
    <w:p w14:paraId="09C41F13" w14:textId="77777777" w:rsidR="00F00924" w:rsidRDefault="00F00924" w:rsidP="002404AA">
      <w:pPr>
        <w:pStyle w:val="Default"/>
        <w:spacing w:after="27"/>
        <w:ind w:left="567"/>
        <w:rPr>
          <w:rFonts w:ascii="Times New Roman" w:hAnsi="Times New Roman" w:cs="Times New Roman"/>
          <w:lang w:val="sv-SE"/>
        </w:rPr>
      </w:pPr>
      <w:r w:rsidRPr="00F43A46">
        <w:rPr>
          <w:rFonts w:ascii="Times New Roman" w:hAnsi="Times New Roman" w:cs="Times New Roman"/>
          <w:lang w:val="sv-SE"/>
        </w:rPr>
        <w:t xml:space="preserve">• Buprenorfindosen måste i dessa fall minskas eller eventuellt sättas ut, dock först efter kontakt med LARO-mottagningen. </w:t>
      </w:r>
    </w:p>
    <w:p w14:paraId="43E8CA22" w14:textId="77777777" w:rsidR="00F00924" w:rsidRPr="00F43A46" w:rsidRDefault="00F00924" w:rsidP="002404AA">
      <w:pPr>
        <w:pStyle w:val="Default"/>
        <w:spacing w:after="27"/>
        <w:ind w:left="567"/>
        <w:rPr>
          <w:rFonts w:ascii="Times New Roman" w:hAnsi="Times New Roman" w:cs="Times New Roman"/>
          <w:lang w:val="sv-SE"/>
        </w:rPr>
      </w:pPr>
    </w:p>
    <w:p w14:paraId="549F6277" w14:textId="77777777" w:rsidR="00F00924" w:rsidRPr="00F43A46" w:rsidRDefault="00F00924" w:rsidP="002404AA">
      <w:pPr>
        <w:pStyle w:val="Default"/>
        <w:ind w:left="567"/>
        <w:rPr>
          <w:rFonts w:ascii="Times New Roman" w:hAnsi="Times New Roman" w:cs="Times New Roman"/>
        </w:rPr>
      </w:pPr>
      <w:r w:rsidRPr="00F43A46">
        <w:rPr>
          <w:rFonts w:ascii="Times New Roman" w:hAnsi="Times New Roman" w:cs="Times New Roman"/>
          <w:lang w:val="sv-SE"/>
        </w:rPr>
        <w:t xml:space="preserve">• För att uppnå smärtlindring får grunddosen buprenorfin högst vara 10-12 mg/dygn. </w:t>
      </w:r>
      <w:r w:rsidRPr="00F43A46">
        <w:rPr>
          <w:rFonts w:ascii="Times New Roman" w:hAnsi="Times New Roman" w:cs="Times New Roman"/>
        </w:rPr>
        <w:t xml:space="preserve">Högre doser blockerar μ-receptorn alltför kraftfullt. </w:t>
      </w:r>
    </w:p>
    <w:p w14:paraId="019144CD" w14:textId="77777777" w:rsidR="00F00924" w:rsidRPr="00EB04C2" w:rsidRDefault="00F00924" w:rsidP="002404AA">
      <w:pPr>
        <w:autoSpaceDE w:val="0"/>
        <w:autoSpaceDN w:val="0"/>
        <w:adjustRightInd w:val="0"/>
        <w:spacing w:after="0" w:line="240" w:lineRule="auto"/>
        <w:rPr>
          <w:color w:val="000000"/>
        </w:rPr>
      </w:pPr>
    </w:p>
    <w:p w14:paraId="3D093095" w14:textId="77777777" w:rsidR="00F00924" w:rsidRDefault="00F00924" w:rsidP="002404AA">
      <w:pPr>
        <w:autoSpaceDE w:val="0"/>
        <w:autoSpaceDN w:val="0"/>
        <w:adjustRightInd w:val="0"/>
        <w:spacing w:after="27" w:line="240" w:lineRule="auto"/>
        <w:rPr>
          <w:color w:val="000000"/>
        </w:rPr>
      </w:pPr>
      <w:r w:rsidRPr="00293BB7">
        <w:rPr>
          <w:color w:val="000000"/>
        </w:rPr>
        <w:t xml:space="preserve">• </w:t>
      </w:r>
      <w:r w:rsidRPr="00EB04C2">
        <w:rPr>
          <w:color w:val="000000"/>
        </w:rPr>
        <w:t xml:space="preserve">Använd multimodal smärtlindring enligt rutin ”Perioperativ smärtlindring vid ökad risk för svår postoperativ smärta”. </w:t>
      </w:r>
    </w:p>
    <w:p w14:paraId="2499A23E" w14:textId="77777777" w:rsidR="00F00924" w:rsidRPr="00EB04C2" w:rsidRDefault="00F00924" w:rsidP="002404AA">
      <w:pPr>
        <w:autoSpaceDE w:val="0"/>
        <w:autoSpaceDN w:val="0"/>
        <w:adjustRightInd w:val="0"/>
        <w:spacing w:after="27" w:line="240" w:lineRule="auto"/>
        <w:rPr>
          <w:color w:val="000000"/>
        </w:rPr>
      </w:pPr>
    </w:p>
    <w:p w14:paraId="34F1E8DC" w14:textId="77777777" w:rsidR="00F00924" w:rsidRDefault="00F00924" w:rsidP="002404AA">
      <w:pPr>
        <w:autoSpaceDE w:val="0"/>
        <w:autoSpaceDN w:val="0"/>
        <w:adjustRightInd w:val="0"/>
        <w:spacing w:after="27" w:line="240" w:lineRule="auto"/>
        <w:rPr>
          <w:color w:val="000000"/>
        </w:rPr>
      </w:pPr>
      <w:r w:rsidRPr="00EB04C2">
        <w:rPr>
          <w:color w:val="000000"/>
        </w:rPr>
        <w:t>• Om situationen är akut, och nedtrappning inte kunnat ske måste mycket höga doser opioid accepteras.</w:t>
      </w:r>
    </w:p>
    <w:p w14:paraId="08123647" w14:textId="62E6788F" w:rsidR="00F00924" w:rsidRPr="00EB04C2" w:rsidRDefault="00F00924" w:rsidP="002404AA">
      <w:pPr>
        <w:autoSpaceDE w:val="0"/>
        <w:autoSpaceDN w:val="0"/>
        <w:adjustRightInd w:val="0"/>
        <w:spacing w:after="27" w:line="240" w:lineRule="auto"/>
        <w:rPr>
          <w:color w:val="000000"/>
        </w:rPr>
      </w:pPr>
      <w:r w:rsidRPr="00EB04C2">
        <w:rPr>
          <w:color w:val="000000"/>
        </w:rPr>
        <w:t xml:space="preserve"> </w:t>
      </w:r>
    </w:p>
    <w:p w14:paraId="3DB8F139" w14:textId="77777777" w:rsidR="00F00924" w:rsidRPr="00EB04C2" w:rsidRDefault="00F00924" w:rsidP="002404AA">
      <w:pPr>
        <w:autoSpaceDE w:val="0"/>
        <w:autoSpaceDN w:val="0"/>
        <w:adjustRightInd w:val="0"/>
        <w:spacing w:after="0" w:line="240" w:lineRule="auto"/>
        <w:rPr>
          <w:color w:val="000000"/>
        </w:rPr>
      </w:pPr>
      <w:r w:rsidRPr="00EB04C2">
        <w:rPr>
          <w:color w:val="000000"/>
        </w:rPr>
        <w:t xml:space="preserve">Inom substitutionsbehandling använder man i stigande omfattning Buvidal som är en depotform av buprenorfin och ges antingen en gång per vecka eller månad. Buvidal injiceras subkutant och given dos kan då inte påverkas. Om patienten behandlas med Buvidal och behöver akut smärtlindring får man helt enkelt försöka så gott det går med multimodal analgesi och ha beredskap för att det kan behövas höga doser opioid. </w:t>
      </w:r>
    </w:p>
    <w:p w14:paraId="4C38C10D" w14:textId="77777777" w:rsidR="00F00924" w:rsidRDefault="00F00924" w:rsidP="002404AA">
      <w:pPr>
        <w:autoSpaceDE w:val="0"/>
        <w:autoSpaceDN w:val="0"/>
        <w:adjustRightInd w:val="0"/>
        <w:spacing w:after="0" w:line="240" w:lineRule="auto"/>
        <w:rPr>
          <w:rFonts w:ascii="Arial" w:hAnsi="Arial" w:cs="Arial"/>
          <w:b/>
          <w:bCs/>
          <w:color w:val="000000"/>
          <w:sz w:val="23"/>
          <w:szCs w:val="23"/>
        </w:rPr>
      </w:pPr>
    </w:p>
    <w:p w14:paraId="5E363DBC" w14:textId="77777777" w:rsidR="00F00924" w:rsidRPr="00293BB7" w:rsidRDefault="00F00924" w:rsidP="002404AA">
      <w:pPr>
        <w:pStyle w:val="Rubrik2"/>
      </w:pPr>
      <w:r w:rsidRPr="00293BB7">
        <w:t xml:space="preserve">Kunskapsöversikt </w:t>
      </w:r>
    </w:p>
    <w:p w14:paraId="19BADE04" w14:textId="77777777" w:rsidR="00F00924" w:rsidRPr="00293BB7" w:rsidRDefault="00F00924" w:rsidP="002404AA">
      <w:pPr>
        <w:autoSpaceDE w:val="0"/>
        <w:autoSpaceDN w:val="0"/>
        <w:adjustRightInd w:val="0"/>
        <w:spacing w:after="0" w:line="240" w:lineRule="auto"/>
        <w:rPr>
          <w:color w:val="000000"/>
        </w:rPr>
      </w:pPr>
      <w:r w:rsidRPr="00293BB7">
        <w:rPr>
          <w:color w:val="000000"/>
        </w:rPr>
        <w:t xml:space="preserve">Ward EN, Quaye AN, Wilens TE. Opioid Use Disorders: Perioperative Management of a Special Population. Anesth Analg. 2018;127(2):539-47. </w:t>
      </w:r>
    </w:p>
    <w:p w14:paraId="30E3F0C2" w14:textId="77777777" w:rsidR="00F00924" w:rsidRPr="00293BB7" w:rsidRDefault="00F00924" w:rsidP="002404AA">
      <w:pPr>
        <w:autoSpaceDE w:val="0"/>
        <w:autoSpaceDN w:val="0"/>
        <w:adjustRightInd w:val="0"/>
        <w:spacing w:after="0" w:line="240" w:lineRule="auto"/>
        <w:rPr>
          <w:color w:val="000000"/>
        </w:rPr>
      </w:pPr>
    </w:p>
    <w:p w14:paraId="339809E2" w14:textId="77777777" w:rsidR="00F00924" w:rsidRPr="00293BB7" w:rsidRDefault="00F00924" w:rsidP="002404AA">
      <w:pPr>
        <w:autoSpaceDE w:val="0"/>
        <w:autoSpaceDN w:val="0"/>
        <w:adjustRightInd w:val="0"/>
        <w:spacing w:after="0" w:line="240" w:lineRule="auto"/>
        <w:rPr>
          <w:color w:val="000000"/>
        </w:rPr>
      </w:pPr>
      <w:r w:rsidRPr="00293BB7">
        <w:rPr>
          <w:color w:val="000000"/>
        </w:rPr>
        <w:t xml:space="preserve">Quinlan J, Cox F. Acute pain management in patients with drug dependence syndrome. Pain Rep. 2017;2(4):e611. </w:t>
      </w:r>
    </w:p>
    <w:p w14:paraId="6AC000E9" w14:textId="77777777" w:rsidR="00F00924" w:rsidRPr="00293BB7" w:rsidRDefault="00F00924" w:rsidP="002404AA">
      <w:pPr>
        <w:autoSpaceDE w:val="0"/>
        <w:autoSpaceDN w:val="0"/>
        <w:adjustRightInd w:val="0"/>
        <w:spacing w:after="0" w:line="240" w:lineRule="auto"/>
        <w:rPr>
          <w:color w:val="000000"/>
        </w:rPr>
      </w:pPr>
    </w:p>
    <w:p w14:paraId="62EFD45E" w14:textId="77777777" w:rsidR="00F00924" w:rsidRPr="00293BB7" w:rsidRDefault="00F00924" w:rsidP="002404AA">
      <w:pPr>
        <w:spacing w:line="240" w:lineRule="auto"/>
        <w:rPr>
          <w:color w:val="000000"/>
        </w:rPr>
      </w:pPr>
      <w:r w:rsidRPr="00293BB7">
        <w:rPr>
          <w:color w:val="000000"/>
        </w:rPr>
        <w:t>Wenzel JT, Schwenk ES, Baratta JL, Viscusi ER. Managing Opioid-Tolerant Patients in the Perioperative Surgical Home. Anesthesiol Clin. 2016;34(2):287-301.</w:t>
      </w:r>
    </w:p>
    <w:p w14:paraId="40AA233F" w14:textId="47285D22" w:rsidR="009C6C0C" w:rsidRDefault="00F00924" w:rsidP="002404AA">
      <w:pPr>
        <w:spacing w:line="240" w:lineRule="auto"/>
        <w:jc w:val="both"/>
        <w:rPr>
          <w:color w:val="000000"/>
        </w:rPr>
      </w:pPr>
      <w:r w:rsidRPr="00293BB7">
        <w:rPr>
          <w:color w:val="000000"/>
        </w:rPr>
        <w:t xml:space="preserve">Handläggning av perioperativ och akut smärta gällande patienter som behandlas med metadon eller buprenorfin, </w:t>
      </w:r>
      <w:r>
        <w:rPr>
          <w:color w:val="000000"/>
        </w:rPr>
        <w:t>Barium dokument nr.</w:t>
      </w:r>
      <w:r w:rsidRPr="00293BB7">
        <w:rPr>
          <w:color w:val="000000"/>
        </w:rPr>
        <w:t xml:space="preserve"> 52526, Östra sjukhus, SU, Göteborg</w:t>
      </w:r>
      <w:bookmarkEnd w:id="0"/>
    </w:p>
    <w:p w14:paraId="31063FD7" w14:textId="1C20CC38" w:rsidR="009D4837" w:rsidRDefault="006A7789" w:rsidP="002404AA">
      <w:pPr>
        <w:spacing w:line="240" w:lineRule="auto"/>
        <w:jc w:val="both"/>
        <w:rPr>
          <w:color w:val="000000"/>
        </w:rPr>
      </w:pPr>
      <w:r w:rsidRPr="006A7789">
        <w:rPr>
          <w:rStyle w:val="Rubrik2Char"/>
        </w:rPr>
        <w:t>Bilaga</w:t>
      </w:r>
      <w:r>
        <w:rPr>
          <w:color w:val="000000"/>
        </w:rPr>
        <w:t xml:space="preserve">: </w:t>
      </w:r>
      <w:r w:rsidR="0044529F">
        <w:rPr>
          <w:color w:val="000000"/>
        </w:rPr>
        <w:t xml:space="preserve">Tabeller, </w:t>
      </w:r>
      <w:r>
        <w:rPr>
          <w:color w:val="000000"/>
        </w:rPr>
        <w:t xml:space="preserve">se nästa sida. </w:t>
      </w:r>
    </w:p>
    <w:p w14:paraId="447870FE" w14:textId="77777777" w:rsidR="009D4837" w:rsidRDefault="009D4837" w:rsidP="002404AA">
      <w:pPr>
        <w:spacing w:line="240" w:lineRule="auto"/>
        <w:jc w:val="both"/>
        <w:rPr>
          <w:color w:val="000000"/>
        </w:rPr>
      </w:pPr>
    </w:p>
    <w:p w14:paraId="4A4CF73F" w14:textId="15DBB944" w:rsidR="00021E90" w:rsidRPr="00333A2A" w:rsidRDefault="00021E90" w:rsidP="002404AA">
      <w:pPr>
        <w:spacing w:line="240" w:lineRule="auto"/>
        <w:jc w:val="both"/>
        <w:rPr>
          <w:b/>
          <w:bCs/>
          <w:color w:val="000000"/>
          <w:sz w:val="28"/>
          <w:szCs w:val="28"/>
        </w:rPr>
      </w:pPr>
      <w:r w:rsidRPr="00333A2A">
        <w:rPr>
          <w:b/>
          <w:bCs/>
          <w:color w:val="000000"/>
          <w:sz w:val="28"/>
          <w:szCs w:val="28"/>
        </w:rPr>
        <w:lastRenderedPageBreak/>
        <w:t>Bilaga:</w:t>
      </w:r>
    </w:p>
    <w:p w14:paraId="2E312634" w14:textId="77777777" w:rsidR="00021E90" w:rsidRDefault="00021E90" w:rsidP="00021E90">
      <w:pPr>
        <w:rPr>
          <w:sz w:val="28"/>
          <w:szCs w:val="28"/>
        </w:rPr>
      </w:pPr>
      <w:r w:rsidRPr="0041394B">
        <w:rPr>
          <w:noProof/>
          <w:sz w:val="28"/>
          <w:szCs w:val="28"/>
        </w:rPr>
        <w:drawing>
          <wp:inline distT="0" distB="0" distL="0" distR="0" wp14:anchorId="1E97B36A" wp14:editId="3CCAA381">
            <wp:extent cx="5096586" cy="3238952"/>
            <wp:effectExtent l="0" t="0" r="8890" b="0"/>
            <wp:docPr id="152997913"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997913" name=""/>
                    <pic:cNvPicPr/>
                  </pic:nvPicPr>
                  <pic:blipFill>
                    <a:blip r:embed="rId12"/>
                    <a:stretch>
                      <a:fillRect/>
                    </a:stretch>
                  </pic:blipFill>
                  <pic:spPr>
                    <a:xfrm>
                      <a:off x="0" y="0"/>
                      <a:ext cx="5096586" cy="3238952"/>
                    </a:xfrm>
                    <a:prstGeom prst="rect">
                      <a:avLst/>
                    </a:prstGeom>
                  </pic:spPr>
                </pic:pic>
              </a:graphicData>
            </a:graphic>
          </wp:inline>
        </w:drawing>
      </w:r>
    </w:p>
    <w:p w14:paraId="6691A50A" w14:textId="77777777" w:rsidR="00021E90" w:rsidRDefault="00021E90" w:rsidP="00021E90">
      <w:pPr>
        <w:rPr>
          <w:sz w:val="28"/>
          <w:szCs w:val="28"/>
        </w:rPr>
      </w:pPr>
    </w:p>
    <w:p w14:paraId="7C755AA7" w14:textId="77777777" w:rsidR="00021E90" w:rsidRPr="00B1521E" w:rsidRDefault="00021E90" w:rsidP="00021E90">
      <w:pPr>
        <w:rPr>
          <w:b/>
          <w:bCs/>
        </w:rPr>
      </w:pPr>
      <w:r w:rsidRPr="00B1521E">
        <w:rPr>
          <w:b/>
          <w:bCs/>
        </w:rPr>
        <w:t>Tabell 2 Ekvivalenta doser av starka opioder</w:t>
      </w:r>
    </w:p>
    <w:p w14:paraId="3D23B9B2" w14:textId="77777777" w:rsidR="00021E90" w:rsidRPr="00DE3378" w:rsidRDefault="00021E90" w:rsidP="00021E90">
      <w:pPr>
        <w:rPr>
          <w:sz w:val="28"/>
          <w:szCs w:val="28"/>
        </w:rPr>
      </w:pPr>
      <w:r w:rsidRPr="00B1521E">
        <w:rPr>
          <w:noProof/>
          <w:sz w:val="28"/>
          <w:szCs w:val="28"/>
        </w:rPr>
        <w:drawing>
          <wp:inline distT="0" distB="0" distL="0" distR="0" wp14:anchorId="44EF55F8" wp14:editId="2CC1D739">
            <wp:extent cx="5905500" cy="4352211"/>
            <wp:effectExtent l="0" t="0" r="0" b="0"/>
            <wp:docPr id="111209528"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209528" name=""/>
                    <pic:cNvPicPr/>
                  </pic:nvPicPr>
                  <pic:blipFill>
                    <a:blip r:embed="rId13"/>
                    <a:stretch>
                      <a:fillRect/>
                    </a:stretch>
                  </pic:blipFill>
                  <pic:spPr>
                    <a:xfrm>
                      <a:off x="0" y="0"/>
                      <a:ext cx="5912884" cy="4357653"/>
                    </a:xfrm>
                    <a:prstGeom prst="rect">
                      <a:avLst/>
                    </a:prstGeom>
                  </pic:spPr>
                </pic:pic>
              </a:graphicData>
            </a:graphic>
          </wp:inline>
        </w:drawing>
      </w:r>
    </w:p>
    <w:p w14:paraId="425E13FA" w14:textId="77777777" w:rsidR="00021E90" w:rsidRDefault="00021E90" w:rsidP="002404AA">
      <w:pPr>
        <w:spacing w:line="240" w:lineRule="auto"/>
        <w:jc w:val="both"/>
      </w:pPr>
    </w:p>
    <w:sectPr w:rsidR="00021E90" w:rsidSect="00B96AFF">
      <w:headerReference w:type="default" r:id="rId14"/>
      <w:footerReference w:type="even" r:id="rId15"/>
      <w:footerReference w:type="default" r:id="rId16"/>
      <w:headerReference w:type="first" r:id="rId17"/>
      <w:footerReference w:type="first" r:id="rId18"/>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0A045CE" w14:textId="77777777" w:rsidR="001C6601" w:rsidRDefault="001C6601">
      <w:r>
        <w:separator/>
      </w:r>
    </w:p>
  </w:endnote>
  <w:endnote w:type="continuationSeparator" w:id="0">
    <w:p w14:paraId="031FC386" w14:textId="77777777" w:rsidR="001C6601" w:rsidRDefault="001C6601">
      <w:r>
        <w:continuationSeparator/>
      </w:r>
    </w:p>
  </w:endnote>
  <w:endnote w:type="continuationNotice" w:id="1">
    <w:p w14:paraId="378153FB" w14:textId="77777777" w:rsidR="001C6601" w:rsidRDefault="001C660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02AFF24"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60B1DCF" w14:textId="77777777" w:rsidR="001C6601" w:rsidRDefault="001C6601"/>
  </w:footnote>
  <w:footnote w:type="continuationSeparator" w:id="0">
    <w:p w14:paraId="0884FC8C" w14:textId="77777777" w:rsidR="001C6601" w:rsidRDefault="001C6601">
      <w:r>
        <w:continuationSeparator/>
      </w:r>
    </w:p>
  </w:footnote>
  <w:footnote w:type="continuationNotice" w:id="1">
    <w:p w14:paraId="57387714" w14:textId="77777777" w:rsidR="001C6601" w:rsidRDefault="001C660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946156377">
    <w:abstractNumId w:val="17"/>
  </w:num>
  <w:num w:numId="2" w16cid:durableId="1758356878">
    <w:abstractNumId w:val="14"/>
  </w:num>
  <w:num w:numId="3" w16cid:durableId="586887566">
    <w:abstractNumId w:val="0"/>
  </w:num>
  <w:num w:numId="4" w16cid:durableId="92677797">
    <w:abstractNumId w:val="6"/>
  </w:num>
  <w:num w:numId="5" w16cid:durableId="1932353024">
    <w:abstractNumId w:val="15"/>
  </w:num>
  <w:num w:numId="6" w16cid:durableId="1430153052">
    <w:abstractNumId w:val="2"/>
  </w:num>
  <w:num w:numId="7" w16cid:durableId="1568224872">
    <w:abstractNumId w:val="11"/>
  </w:num>
  <w:num w:numId="8" w16cid:durableId="370765277">
    <w:abstractNumId w:val="8"/>
  </w:num>
  <w:num w:numId="9" w16cid:durableId="1986203155">
    <w:abstractNumId w:val="1"/>
  </w:num>
  <w:num w:numId="10" w16cid:durableId="979724879">
    <w:abstractNumId w:val="1"/>
  </w:num>
  <w:num w:numId="11" w16cid:durableId="1644385448">
    <w:abstractNumId w:val="3"/>
  </w:num>
  <w:num w:numId="12" w16cid:durableId="863860902">
    <w:abstractNumId w:val="4"/>
  </w:num>
  <w:num w:numId="13" w16cid:durableId="1097287756">
    <w:abstractNumId w:val="13"/>
  </w:num>
  <w:num w:numId="14" w16cid:durableId="1134062368">
    <w:abstractNumId w:val="9"/>
  </w:num>
  <w:num w:numId="15" w16cid:durableId="2026594617">
    <w:abstractNumId w:val="7"/>
  </w:num>
  <w:num w:numId="16" w16cid:durableId="1538854301">
    <w:abstractNumId w:val="12"/>
  </w:num>
  <w:num w:numId="17" w16cid:durableId="1659992061">
    <w:abstractNumId w:val="5"/>
  </w:num>
  <w:num w:numId="18" w16cid:durableId="300767667">
    <w:abstractNumId w:val="10"/>
  </w:num>
  <w:num w:numId="19" w16cid:durableId="82955847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1E90"/>
    <w:rsid w:val="00030DDD"/>
    <w:rsid w:val="000313BB"/>
    <w:rsid w:val="000315F6"/>
    <w:rsid w:val="00033ED5"/>
    <w:rsid w:val="00042145"/>
    <w:rsid w:val="000504FE"/>
    <w:rsid w:val="00050500"/>
    <w:rsid w:val="0005691C"/>
    <w:rsid w:val="00056ECB"/>
    <w:rsid w:val="00056ED5"/>
    <w:rsid w:val="00061969"/>
    <w:rsid w:val="000655CC"/>
    <w:rsid w:val="000700AE"/>
    <w:rsid w:val="00084024"/>
    <w:rsid w:val="0009062C"/>
    <w:rsid w:val="00093ED5"/>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09F4"/>
    <w:rsid w:val="001B762C"/>
    <w:rsid w:val="001C4D0A"/>
    <w:rsid w:val="001C5FEF"/>
    <w:rsid w:val="001C6601"/>
    <w:rsid w:val="001E3789"/>
    <w:rsid w:val="00211487"/>
    <w:rsid w:val="00211D91"/>
    <w:rsid w:val="00217DEC"/>
    <w:rsid w:val="00234FB6"/>
    <w:rsid w:val="00235B57"/>
    <w:rsid w:val="002404AA"/>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3A2A"/>
    <w:rsid w:val="00337F99"/>
    <w:rsid w:val="003410BD"/>
    <w:rsid w:val="0034307B"/>
    <w:rsid w:val="00345EB1"/>
    <w:rsid w:val="00350CC4"/>
    <w:rsid w:val="00360E0D"/>
    <w:rsid w:val="00362F4F"/>
    <w:rsid w:val="0036308B"/>
    <w:rsid w:val="0036357D"/>
    <w:rsid w:val="0036594C"/>
    <w:rsid w:val="00367D19"/>
    <w:rsid w:val="00371BED"/>
    <w:rsid w:val="00384019"/>
    <w:rsid w:val="003854F1"/>
    <w:rsid w:val="00387484"/>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529F"/>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3536"/>
    <w:rsid w:val="004D7BA3"/>
    <w:rsid w:val="004F4518"/>
    <w:rsid w:val="004F4C62"/>
    <w:rsid w:val="004F6976"/>
    <w:rsid w:val="00501433"/>
    <w:rsid w:val="00511CC4"/>
    <w:rsid w:val="00531E60"/>
    <w:rsid w:val="00541D07"/>
    <w:rsid w:val="00544BAB"/>
    <w:rsid w:val="00545F31"/>
    <w:rsid w:val="005578FA"/>
    <w:rsid w:val="00565129"/>
    <w:rsid w:val="00565CD0"/>
    <w:rsid w:val="00567820"/>
    <w:rsid w:val="00576541"/>
    <w:rsid w:val="005770AD"/>
    <w:rsid w:val="00581414"/>
    <w:rsid w:val="00582490"/>
    <w:rsid w:val="00597E28"/>
    <w:rsid w:val="005A54ED"/>
    <w:rsid w:val="005A5D5B"/>
    <w:rsid w:val="005A6081"/>
    <w:rsid w:val="005A627D"/>
    <w:rsid w:val="005C0045"/>
    <w:rsid w:val="005C084E"/>
    <w:rsid w:val="005C4606"/>
    <w:rsid w:val="005D0B0C"/>
    <w:rsid w:val="005E02B3"/>
    <w:rsid w:val="005E1E24"/>
    <w:rsid w:val="005F7EB7"/>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A7789"/>
    <w:rsid w:val="006B0D29"/>
    <w:rsid w:val="006B1819"/>
    <w:rsid w:val="006C5048"/>
    <w:rsid w:val="006C6A4B"/>
    <w:rsid w:val="006C779F"/>
    <w:rsid w:val="006D01F5"/>
    <w:rsid w:val="006D0CFB"/>
    <w:rsid w:val="006D30C0"/>
    <w:rsid w:val="006D7535"/>
    <w:rsid w:val="006E450B"/>
    <w:rsid w:val="006E4A3C"/>
    <w:rsid w:val="006F0D7E"/>
    <w:rsid w:val="00710B77"/>
    <w:rsid w:val="007155D5"/>
    <w:rsid w:val="0072075B"/>
    <w:rsid w:val="007221C2"/>
    <w:rsid w:val="00730955"/>
    <w:rsid w:val="00733A9C"/>
    <w:rsid w:val="00736574"/>
    <w:rsid w:val="007367E0"/>
    <w:rsid w:val="00737215"/>
    <w:rsid w:val="00754905"/>
    <w:rsid w:val="00760038"/>
    <w:rsid w:val="00762EE0"/>
    <w:rsid w:val="00765C41"/>
    <w:rsid w:val="00771100"/>
    <w:rsid w:val="007759DD"/>
    <w:rsid w:val="0078609F"/>
    <w:rsid w:val="007917BA"/>
    <w:rsid w:val="007A01DC"/>
    <w:rsid w:val="007A334E"/>
    <w:rsid w:val="007A5C6F"/>
    <w:rsid w:val="007D02D9"/>
    <w:rsid w:val="007D4241"/>
    <w:rsid w:val="007D4317"/>
    <w:rsid w:val="007D4EA3"/>
    <w:rsid w:val="007F1CFF"/>
    <w:rsid w:val="007F5DD5"/>
    <w:rsid w:val="00821A1B"/>
    <w:rsid w:val="008262E9"/>
    <w:rsid w:val="00827E69"/>
    <w:rsid w:val="00835C4D"/>
    <w:rsid w:val="00843F48"/>
    <w:rsid w:val="00846B14"/>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0C15"/>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67B03"/>
    <w:rsid w:val="00971D93"/>
    <w:rsid w:val="009A07DC"/>
    <w:rsid w:val="009A32ED"/>
    <w:rsid w:val="009B1F6B"/>
    <w:rsid w:val="009C0D12"/>
    <w:rsid w:val="009C192E"/>
    <w:rsid w:val="009C2E3E"/>
    <w:rsid w:val="009C6C0C"/>
    <w:rsid w:val="009C70C4"/>
    <w:rsid w:val="009D4837"/>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19FF"/>
    <w:rsid w:val="00A54A0B"/>
    <w:rsid w:val="00A571FA"/>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05A1"/>
    <w:rsid w:val="00B41789"/>
    <w:rsid w:val="00B46C03"/>
    <w:rsid w:val="00B607E0"/>
    <w:rsid w:val="00B60C6C"/>
    <w:rsid w:val="00B619A9"/>
    <w:rsid w:val="00B65A9D"/>
    <w:rsid w:val="00B66D60"/>
    <w:rsid w:val="00B75EDE"/>
    <w:rsid w:val="00B77D88"/>
    <w:rsid w:val="00B77FAF"/>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678FC"/>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37E7F"/>
    <w:rsid w:val="00D427C8"/>
    <w:rsid w:val="00D47AD7"/>
    <w:rsid w:val="00D51529"/>
    <w:rsid w:val="00D67C88"/>
    <w:rsid w:val="00D85218"/>
    <w:rsid w:val="00D85AE4"/>
    <w:rsid w:val="00D915B1"/>
    <w:rsid w:val="00DA0155"/>
    <w:rsid w:val="00DA299D"/>
    <w:rsid w:val="00DA65C4"/>
    <w:rsid w:val="00DB3E63"/>
    <w:rsid w:val="00DD781A"/>
    <w:rsid w:val="00DE4447"/>
    <w:rsid w:val="00DE5DA2"/>
    <w:rsid w:val="00DE63C6"/>
    <w:rsid w:val="00DF0033"/>
    <w:rsid w:val="00E026BF"/>
    <w:rsid w:val="00E07B1B"/>
    <w:rsid w:val="00E11853"/>
    <w:rsid w:val="00E52A86"/>
    <w:rsid w:val="00E54B47"/>
    <w:rsid w:val="00E553BF"/>
    <w:rsid w:val="00E55D93"/>
    <w:rsid w:val="00E61294"/>
    <w:rsid w:val="00E7237C"/>
    <w:rsid w:val="00E75A65"/>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00924"/>
    <w:rsid w:val="00F22264"/>
    <w:rsid w:val="00F2564D"/>
    <w:rsid w:val="00F32BEF"/>
    <w:rsid w:val="00F35B05"/>
    <w:rsid w:val="00F413D9"/>
    <w:rsid w:val="00F5135F"/>
    <w:rsid w:val="00F51F78"/>
    <w:rsid w:val="00F86F47"/>
    <w:rsid w:val="00F90B64"/>
    <w:rsid w:val="00FB2F0F"/>
    <w:rsid w:val="00FB5086"/>
    <w:rsid w:val="00FB5411"/>
    <w:rsid w:val="00FB6392"/>
    <w:rsid w:val="00FB68ED"/>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 w:type="paragraph" w:customStyle="1" w:styleId="Default">
    <w:name w:val="Default"/>
    <w:rsid w:val="00F00924"/>
    <w:pPr>
      <w:autoSpaceDE w:val="0"/>
      <w:autoSpaceDN w:val="0"/>
      <w:adjustRightInd w:val="0"/>
    </w:pPr>
    <w:rPr>
      <w:rFonts w:ascii="Arial" w:eastAsiaTheme="minorHAnsi" w:hAnsi="Arial" w:cs="Arial"/>
      <w:color w:val="000000"/>
      <w:sz w:val="24"/>
      <w:szCs w:val="24"/>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image" Target="media/image2.png" Id="rId13" /><Relationship Type="http://schemas.openxmlformats.org/officeDocument/2006/relationships/footer" Target="footer3.xml" Id="rId18" /><Relationship Type="http://schemas.openxmlformats.org/officeDocument/2006/relationships/styles" Target="styles.xml" Id="rId7" /><Relationship Type="http://schemas.openxmlformats.org/officeDocument/2006/relationships/image" Target="media/image1.png" Id="rId12" /><Relationship Type="http://schemas.openxmlformats.org/officeDocument/2006/relationships/header" Target="header2.xml" Id="rId17" /><Relationship Type="http://schemas.openxmlformats.org/officeDocument/2006/relationships/footer" Target="footer2.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1.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header" Target="head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4.wmf"/></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60</TotalTime>
  <Pages>5</Pages>
  <Words>1014</Words>
  <Characters>6676</Characters>
  <Application>Microsoft Office Word</Application>
  <DocSecurity>0</DocSecurity>
  <Lines>55</Lines>
  <Paragraphs>15</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7675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Perioperativ och akut smärtlindring hos patienter som behandlas med metaton eller buprenorfin</dc:title>
  <dc:subject/>
  <dc:creator/>
  <keywords/>
  <lastModifiedBy>Carina Isbrand Fransson</lastModifiedBy>
  <revision>53</revision>
  <lastPrinted>2016-03-31T10:56:00.0000000Z</lastPrinted>
  <dcterms:created xsi:type="dcterms:W3CDTF">2021-05-27T09:47:00.0000000Z</dcterms:created>
  <dcterms:modified xsi:type="dcterms:W3CDTF">2025-04-14T09:35:00.0000000Z</dcterms:modified>
</coreProperties>
</file>