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F4085EF" w:rsidR="00184167" w:rsidRDefault="00277B31" w:rsidP="009A32ED">
      <w:pPr>
        <w:pStyle w:val="Rubrik1"/>
      </w:pPr>
      <w:r>
        <w:t xml:space="preserve">Kontinuerlig infusion av </w:t>
      </w:r>
      <w:proofErr w:type="spellStart"/>
      <w:r>
        <w:t>betal</w:t>
      </w:r>
      <w:r w:rsidR="00725EB5">
        <w:t>aktamantibiotika</w:t>
      </w:r>
      <w:proofErr w:type="spellEnd"/>
      <w:r w:rsidR="00725EB5">
        <w:t xml:space="preserve"> på IVA/IMA</w:t>
      </w:r>
      <w:r w:rsidR="00A264BE" w:rsidRPr="005A627D">
        <w:t xml:space="preserve"> </w:t>
      </w:r>
      <w:bookmarkStart w:id="0" w:name="_Toc321146591"/>
    </w:p>
    <w:p w14:paraId="11BC1DCA" w14:textId="37F671F5" w:rsidR="009A32ED" w:rsidRDefault="00E10368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Revidering i denna version</w:t>
      </w:r>
      <w:bookmarkEnd w:id="1"/>
      <w:bookmarkEnd w:id="2"/>
    </w:p>
    <w:p w14:paraId="4EA6C4B6" w14:textId="1006A6BE" w:rsidR="009A32ED" w:rsidRPr="007A334E" w:rsidRDefault="00E10368" w:rsidP="009A32ED">
      <w:pPr>
        <w:ind w:right="-143"/>
      </w:pPr>
      <w:r>
        <w:t>Ny rutin.</w:t>
      </w:r>
      <w:r w:rsidR="009A32ED">
        <w:t xml:space="preserve"> </w:t>
      </w:r>
    </w:p>
    <w:p w14:paraId="69BCFD87" w14:textId="3564854D" w:rsidR="009A32ED" w:rsidRDefault="00596559" w:rsidP="009A32ED">
      <w:pPr>
        <w:pStyle w:val="Rubrik2"/>
        <w:ind w:right="-143"/>
      </w:pPr>
      <w:bookmarkStart w:id="3" w:name="_Toc72840807"/>
      <w:r>
        <w:t xml:space="preserve">Denna rutin gäller för </w:t>
      </w:r>
    </w:p>
    <w:p w14:paraId="1FC6584C" w14:textId="5A37D7AC" w:rsidR="00B405A1" w:rsidRDefault="005821E6" w:rsidP="00FB7909">
      <w:pPr>
        <w:spacing w:after="381"/>
        <w:ind w:right="565"/>
      </w:pPr>
      <w:r>
        <w:t xml:space="preserve">Denna rutin gäller för Intensivvårdsavdelningen (IVA och IMA), </w:t>
      </w:r>
      <w:r>
        <w:br/>
        <w:t xml:space="preserve">NU-sjukvården. </w:t>
      </w:r>
    </w:p>
    <w:bookmarkEnd w:id="3"/>
    <w:p w14:paraId="29B03EF5" w14:textId="27D2B967" w:rsidR="009A32ED" w:rsidRDefault="00C00C95" w:rsidP="009A32ED">
      <w:pPr>
        <w:pStyle w:val="Rubrik2"/>
        <w:ind w:right="-143"/>
      </w:pPr>
      <w:r>
        <w:t>Ansvar</w:t>
      </w:r>
      <w:r w:rsidR="009A32ED">
        <w:t xml:space="preserve"> </w:t>
      </w:r>
    </w:p>
    <w:p w14:paraId="696C096E" w14:textId="7C2CFB8B" w:rsidR="009A32ED" w:rsidRPr="00023FF4" w:rsidRDefault="00055A00" w:rsidP="00FE4876">
      <w:pPr>
        <w:spacing w:after="381"/>
        <w:ind w:right="849"/>
      </w:pPr>
      <w:r>
        <w:t xml:space="preserve">Gäller för läkare och sjuksköterskor i NU-sjukvården som administrerar </w:t>
      </w:r>
      <w:proofErr w:type="spellStart"/>
      <w:r>
        <w:t>betalaktamantibiotika</w:t>
      </w:r>
      <w:proofErr w:type="spellEnd"/>
      <w:r>
        <w:t xml:space="preserve"> som kontinuerlig infusion.  </w:t>
      </w:r>
    </w:p>
    <w:p w14:paraId="70B2A54A" w14:textId="321A6F9B" w:rsidR="009A32ED" w:rsidRDefault="00FE4876" w:rsidP="009A32ED">
      <w:pPr>
        <w:pStyle w:val="Rubrik2"/>
        <w:ind w:right="-143"/>
      </w:pPr>
      <w:r>
        <w:t>Syfte</w:t>
      </w:r>
    </w:p>
    <w:p w14:paraId="7D9162B9" w14:textId="77777777" w:rsidR="00344942" w:rsidRDefault="00344942" w:rsidP="00344942">
      <w:pPr>
        <w:spacing w:after="380"/>
        <w:ind w:right="849"/>
      </w:pPr>
      <w:r>
        <w:t xml:space="preserve">Syftet med denna rutin är att beskriva hur </w:t>
      </w:r>
      <w:proofErr w:type="spellStart"/>
      <w:r>
        <w:t>betalaktamantibiotika</w:t>
      </w:r>
      <w:proofErr w:type="spellEnd"/>
      <w:r>
        <w:t xml:space="preserve"> doserat med kontinuerlig infusion kan användas till patienter med sepsis och septisk chock inom intensivvården. </w:t>
      </w:r>
    </w:p>
    <w:p w14:paraId="21E3B7EE" w14:textId="01C23BEF" w:rsidR="008A0862" w:rsidRDefault="00951CF4" w:rsidP="008A0862">
      <w:pPr>
        <w:ind w:right="-143"/>
      </w:pPr>
      <w:r>
        <w:rPr>
          <w:rFonts w:ascii="Verdana" w:hAnsi="Verdana"/>
          <w:sz w:val="36"/>
          <w:szCs w:val="36"/>
        </w:rPr>
        <w:t>Bakgrund</w:t>
      </w:r>
      <w:r>
        <w:rPr>
          <w:rFonts w:ascii="Verdana" w:hAnsi="Verdana"/>
          <w:sz w:val="36"/>
          <w:szCs w:val="36"/>
        </w:rPr>
        <w:br/>
      </w:r>
      <w:proofErr w:type="spellStart"/>
      <w:r w:rsidR="008A0862">
        <w:t>Betalaktamantibiotika</w:t>
      </w:r>
      <w:proofErr w:type="spellEnd"/>
      <w:r w:rsidR="008A0862">
        <w:t xml:space="preserve"> har en tidsberoende baktericid effekt, vilket innebär att den fria antibiotikakoncentrationen bör ligga över MIC-värdet (minsta hämmande koncentration) för den aktuella bakterien under en större del av dygnet hos svårt sjuka patienter med sepsis eller septisk chock. </w:t>
      </w:r>
    </w:p>
    <w:p w14:paraId="3813E7EC" w14:textId="689C986C" w:rsidR="008A0862" w:rsidRDefault="008A0862" w:rsidP="008A0862">
      <w:pPr>
        <w:spacing w:after="295"/>
        <w:ind w:left="684" w:right="707"/>
      </w:pPr>
      <w:r>
        <w:lastRenderedPageBreak/>
        <w:t xml:space="preserve">Enligt nya riktlinjer från vårdprogramsgruppen för sepsis bör intensivvårdspatienter med sepsis eller septisk chock behandlas med </w:t>
      </w:r>
      <w:proofErr w:type="spellStart"/>
      <w:r>
        <w:t>betalaktamantibiotika</w:t>
      </w:r>
      <w:proofErr w:type="spellEnd"/>
      <w:r>
        <w:t xml:space="preserve"> via kontinuerlig eller förlängd infusion under </w:t>
      </w:r>
      <w:r w:rsidR="00E436F2">
        <w:br/>
      </w:r>
      <w:r>
        <w:t xml:space="preserve">3–4 timmar för att maximera tiden över MIC-värdet. Studier visar att detta kan förbättra behandlingsresultaten och minska dödligheten </w:t>
      </w:r>
    </w:p>
    <w:p w14:paraId="6EB526FE" w14:textId="77777777" w:rsidR="008A0862" w:rsidRDefault="008A0862" w:rsidP="008A0862">
      <w:pPr>
        <w:ind w:left="684" w:right="707"/>
      </w:pPr>
      <w:r>
        <w:t xml:space="preserve">jämfört med traditionell intermittent dosering. Inom NU-sjukvården har det beslutats att </w:t>
      </w:r>
      <w:proofErr w:type="spellStart"/>
      <w:r>
        <w:t>betalaktamantibiotika</w:t>
      </w:r>
      <w:proofErr w:type="spellEnd"/>
      <w:r>
        <w:t xml:space="preserve"> ska administreras som kontinuerlig infusion till aktuell patientgrupp på IVA.</w:t>
      </w:r>
    </w:p>
    <w:p w14:paraId="36A5CB72" w14:textId="77777777" w:rsidR="008A0862" w:rsidRDefault="008A0862" w:rsidP="00951CF4">
      <w:pPr>
        <w:spacing w:after="380"/>
        <w:ind w:left="709" w:right="707"/>
      </w:pPr>
      <w:r>
        <w:rPr>
          <w:b/>
        </w:rPr>
        <w:t xml:space="preserve">Akut bakteriell meningit utgör ett undantag där höga, intermittenta doser fortsatt är att föredra framför kontinuerlig infusion. </w:t>
      </w:r>
    </w:p>
    <w:p w14:paraId="730FC6A6" w14:textId="32DEB6C2" w:rsidR="009A32ED" w:rsidRPr="005218AA" w:rsidRDefault="00A71A3C" w:rsidP="009A32ED">
      <w:pPr>
        <w:pStyle w:val="Rubrik3"/>
        <w:ind w:right="-143"/>
      </w:pPr>
      <w:r>
        <w:t>Tillvägagångssätt</w:t>
      </w:r>
    </w:p>
    <w:p w14:paraId="0A3C29DB" w14:textId="77777777" w:rsidR="005B3A9B" w:rsidRDefault="005B3A9B" w:rsidP="00546334">
      <w:pPr>
        <w:ind w:right="707"/>
      </w:pPr>
      <w:r>
        <w:t xml:space="preserve">Vid misstanke om sepsis eller septisk chock hos patient på IVA ska </w:t>
      </w:r>
      <w:proofErr w:type="spellStart"/>
      <w:r>
        <w:t>piperacillin</w:t>
      </w:r>
      <w:proofErr w:type="spellEnd"/>
      <w:r>
        <w:t>/</w:t>
      </w:r>
      <w:proofErr w:type="spellStart"/>
      <w:r>
        <w:t>tazobaktam</w:t>
      </w:r>
      <w:proofErr w:type="spellEnd"/>
      <w:r>
        <w:t xml:space="preserve">, </w:t>
      </w:r>
      <w:proofErr w:type="spellStart"/>
      <w:r>
        <w:t>cefotaxim</w:t>
      </w:r>
      <w:proofErr w:type="spellEnd"/>
      <w:r>
        <w:t xml:space="preserve"> och </w:t>
      </w:r>
      <w:proofErr w:type="spellStart"/>
      <w:r>
        <w:t>meropenem</w:t>
      </w:r>
      <w:proofErr w:type="spellEnd"/>
      <w:r>
        <w:t xml:space="preserve"> ges som kontinuerlig infusion till vuxna patienter.  </w:t>
      </w:r>
    </w:p>
    <w:p w14:paraId="411E6E4E" w14:textId="77777777" w:rsidR="005B3A9B" w:rsidRDefault="005B3A9B" w:rsidP="00546334">
      <w:pPr>
        <w:spacing w:after="0"/>
        <w:ind w:right="707"/>
      </w:pPr>
      <w:r>
        <w:t xml:space="preserve">Initialt ges en </w:t>
      </w:r>
      <w:r w:rsidRPr="137D25D7">
        <w:rPr>
          <w:b/>
          <w:bCs/>
        </w:rPr>
        <w:t>laddningsdos (Bolus)</w:t>
      </w:r>
      <w:r>
        <w:t xml:space="preserve"> för att plasmakoncentrationen ska bli adekvat tidigt i behandlingen. Laddningsdosen är samma som ordinarie dos (4 g vid dosering 4 g d 4). Direkt efter att laddningsdosen har avslutats startas kontinuerlig infusion. </w:t>
      </w:r>
    </w:p>
    <w:p w14:paraId="477A8592" w14:textId="77777777" w:rsidR="005B3A9B" w:rsidRDefault="005B3A9B" w:rsidP="00546334">
      <w:pPr>
        <w:ind w:right="707"/>
      </w:pPr>
      <w:r>
        <w:t xml:space="preserve">Dygnsdosen ska vara samma som skulle ha givits vid intermittent </w:t>
      </w:r>
      <w:r w:rsidRPr="5A473FDE">
        <w:rPr>
          <w:color w:val="000000" w:themeColor="text1"/>
        </w:rPr>
        <w:t xml:space="preserve">dosering och ska anpassas efter njurfunktion, dialys, kroppsstorlek etc. Infusionen med standardiserad koncentration ges kontinuerligt där </w:t>
      </w:r>
      <w:r w:rsidRPr="5A473FDE">
        <w:rPr>
          <w:color w:val="000000" w:themeColor="text1"/>
          <w:u w:val="single"/>
        </w:rPr>
        <w:t xml:space="preserve">enbart </w:t>
      </w:r>
      <w:r w:rsidRPr="5A473FDE">
        <w:rPr>
          <w:b/>
          <w:bCs/>
          <w:color w:val="000000" w:themeColor="text1"/>
          <w:u w:val="single"/>
        </w:rPr>
        <w:t>hastigheten</w:t>
      </w:r>
      <w:r w:rsidRPr="5A473FDE">
        <w:rPr>
          <w:color w:val="000000" w:themeColor="text1"/>
          <w:u w:val="single"/>
        </w:rPr>
        <w:t xml:space="preserve"> styr den slutgiltiga dygnsdosen</w:t>
      </w:r>
      <w:r w:rsidRPr="5A473FDE">
        <w:rPr>
          <w:color w:val="000000" w:themeColor="text1"/>
        </w:rPr>
        <w:t xml:space="preserve">. </w:t>
      </w:r>
      <w:r>
        <w:t xml:space="preserve">Kontinuerlig infusion av antibiotika kan ges i central eller perifer infart.  </w:t>
      </w:r>
    </w:p>
    <w:p w14:paraId="426306B5" w14:textId="77777777" w:rsidR="005B3A9B" w:rsidRDefault="005B3A9B" w:rsidP="00546334">
      <w:pPr>
        <w:ind w:right="707"/>
      </w:pPr>
      <w:r>
        <w:t xml:space="preserve">När patienten skrivs ut från IVA ska antibiotikaordinationen justeras till intermittent dosering i enlighet med mottagande avdelnings rutiner. Detta ska ordineras i Melior av ansvarig läkare på IVA. </w:t>
      </w:r>
    </w:p>
    <w:p w14:paraId="6C053155" w14:textId="77777777" w:rsidR="005B3A9B" w:rsidRDefault="005B3A9B" w:rsidP="00546334">
      <w:pPr>
        <w:spacing w:after="0" w:line="259" w:lineRule="auto"/>
        <w:ind w:right="707"/>
        <w:rPr>
          <w:rFonts w:ascii="Cambria" w:eastAsia="Cambria" w:hAnsi="Cambria" w:cs="Cambria"/>
          <w:b/>
          <w:bCs/>
        </w:rPr>
      </w:pPr>
      <w:r>
        <w:t xml:space="preserve">För handhavande av kontinuerlig infusion var god se tabell 1 och 2 nedan. </w:t>
      </w:r>
      <w:r w:rsidRPr="137D25D7">
        <w:rPr>
          <w:rFonts w:ascii="Cambria" w:eastAsia="Cambria" w:hAnsi="Cambria" w:cs="Cambria"/>
          <w:b/>
          <w:bCs/>
        </w:rPr>
        <w:t xml:space="preserve"> </w:t>
      </w:r>
    </w:p>
    <w:p w14:paraId="40AA233F" w14:textId="0540DFE3" w:rsidR="009C6C0C" w:rsidRDefault="009C6C0C" w:rsidP="009A32ED">
      <w:pPr>
        <w:ind w:right="-143"/>
      </w:pPr>
    </w:p>
    <w:p w14:paraId="00FEBD80" w14:textId="77777777" w:rsidR="00546334" w:rsidRDefault="00546334" w:rsidP="009A32ED">
      <w:pPr>
        <w:ind w:right="-143"/>
      </w:pPr>
    </w:p>
    <w:p w14:paraId="0A76D000" w14:textId="77777777" w:rsidR="00546334" w:rsidRDefault="00546334" w:rsidP="009A32ED">
      <w:pPr>
        <w:ind w:right="-143"/>
      </w:pPr>
    </w:p>
    <w:p w14:paraId="0F76D95B" w14:textId="77777777" w:rsidR="00721576" w:rsidRDefault="00721576" w:rsidP="00721576">
      <w:pPr>
        <w:spacing w:after="0" w:line="259" w:lineRule="auto"/>
        <w:ind w:left="117" w:right="1684"/>
      </w:pPr>
      <w:r>
        <w:rPr>
          <w:b/>
        </w:rPr>
        <w:lastRenderedPageBreak/>
        <w:t xml:space="preserve">Tabell 1 </w:t>
      </w:r>
    </w:p>
    <w:tbl>
      <w:tblPr>
        <w:tblStyle w:val="TableGrid"/>
        <w:tblW w:w="10068" w:type="dxa"/>
        <w:tblInd w:w="67" w:type="dxa"/>
        <w:tblCellMar>
          <w:top w:w="44" w:type="dxa"/>
          <w:left w:w="108" w:type="dxa"/>
        </w:tblCellMar>
        <w:tblLook w:val="04A0" w:firstRow="1" w:lastRow="0" w:firstColumn="1" w:lastColumn="0" w:noHBand="0" w:noVBand="1"/>
      </w:tblPr>
      <w:tblGrid>
        <w:gridCol w:w="4091"/>
        <w:gridCol w:w="5977"/>
      </w:tblGrid>
      <w:tr w:rsidR="00721576" w14:paraId="402DBB23" w14:textId="77777777" w:rsidTr="006320B8">
        <w:trPr>
          <w:trHeight w:val="420"/>
        </w:trPr>
        <w:tc>
          <w:tcPr>
            <w:tcW w:w="40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D7D3F9D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rPr>
                <w:b/>
              </w:rPr>
              <w:t xml:space="preserve">Situation </w:t>
            </w:r>
            <w:r>
              <w:t xml:space="preserve"> </w:t>
            </w:r>
          </w:p>
        </w:tc>
        <w:tc>
          <w:tcPr>
            <w:tcW w:w="5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FE55C9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rPr>
                <w:b/>
              </w:rPr>
              <w:t xml:space="preserve">Åtgärd </w:t>
            </w:r>
            <w:r>
              <w:t xml:space="preserve"> </w:t>
            </w:r>
          </w:p>
        </w:tc>
      </w:tr>
      <w:tr w:rsidR="00721576" w14:paraId="0161E9C4" w14:textId="77777777" w:rsidTr="006320B8">
        <w:trPr>
          <w:trHeight w:val="828"/>
        </w:trPr>
        <w:tc>
          <w:tcPr>
            <w:tcW w:w="40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71139E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Vid start av antibiotikabehandling </w:t>
            </w:r>
          </w:p>
        </w:tc>
        <w:tc>
          <w:tcPr>
            <w:tcW w:w="5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0A6F70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Ge en ordinarie dos som bolus. Starta sedan kontinuerlig infusion inom 1 timme. </w:t>
            </w:r>
          </w:p>
        </w:tc>
      </w:tr>
      <w:tr w:rsidR="00721576" w14:paraId="388C3A3E" w14:textId="77777777" w:rsidTr="006320B8">
        <w:trPr>
          <w:trHeight w:val="1236"/>
        </w:trPr>
        <w:tc>
          <w:tcPr>
            <w:tcW w:w="40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451C205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Vid pågående intermittent dosering som övergår till kontinuerlig infusion </w:t>
            </w:r>
          </w:p>
        </w:tc>
        <w:tc>
          <w:tcPr>
            <w:tcW w:w="5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8D0E09" w14:textId="77777777" w:rsidR="00721576" w:rsidRDefault="00721576" w:rsidP="006320B8">
            <w:pPr>
              <w:spacing w:after="113" w:line="259" w:lineRule="auto"/>
              <w:ind w:left="0" w:right="0"/>
            </w:pPr>
            <w:r>
              <w:t xml:space="preserve">Vänta till nästa dos för intermittent dos och </w:t>
            </w:r>
          </w:p>
          <w:p w14:paraId="11605AE8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administrera denna. Starta sedan kontinuerlig infusion inom 1 timme. </w:t>
            </w:r>
          </w:p>
        </w:tc>
      </w:tr>
      <w:tr w:rsidR="00721576" w14:paraId="2B0B6935" w14:textId="77777777" w:rsidTr="006320B8">
        <w:trPr>
          <w:trHeight w:val="870"/>
        </w:trPr>
        <w:tc>
          <w:tcPr>
            <w:tcW w:w="40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6A32CB2" w14:textId="77777777" w:rsidR="00721576" w:rsidRDefault="00721576" w:rsidP="006320B8">
            <w:pPr>
              <w:spacing w:after="111" w:line="259" w:lineRule="auto"/>
              <w:ind w:left="0" w:right="0"/>
            </w:pPr>
            <w:r>
              <w:t xml:space="preserve">Uppehåll i kontinuerlig infusion  </w:t>
            </w:r>
          </w:p>
          <w:p w14:paraId="6CF69023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≤ 1 timme  </w:t>
            </w:r>
          </w:p>
        </w:tc>
        <w:tc>
          <w:tcPr>
            <w:tcW w:w="5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048913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>Återuppta infusionen med ordinarie hastighet.</w:t>
            </w:r>
          </w:p>
        </w:tc>
      </w:tr>
      <w:tr w:rsidR="00721576" w14:paraId="02BE2D1B" w14:textId="77777777" w:rsidTr="006320B8">
        <w:trPr>
          <w:trHeight w:val="828"/>
        </w:trPr>
        <w:tc>
          <w:tcPr>
            <w:tcW w:w="40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FCFDEC8" w14:textId="77777777" w:rsidR="00721576" w:rsidRDefault="00721576" w:rsidP="006320B8">
            <w:pPr>
              <w:spacing w:after="111" w:line="259" w:lineRule="auto"/>
              <w:ind w:left="0" w:right="0"/>
            </w:pPr>
            <w:r>
              <w:t xml:space="preserve">Uppehåll i kontinuerlig infusion  </w:t>
            </w:r>
          </w:p>
          <w:p w14:paraId="14A29845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&gt; 1 timme  </w:t>
            </w:r>
          </w:p>
        </w:tc>
        <w:tc>
          <w:tcPr>
            <w:tcW w:w="5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B83B0D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Starta om doseringsschemat med ny bolusdos och därefter start av kontinuerlig infusion inom 1 timme. </w:t>
            </w:r>
          </w:p>
        </w:tc>
      </w:tr>
      <w:tr w:rsidR="00721576" w14:paraId="5D948548" w14:textId="77777777" w:rsidTr="006320B8">
        <w:trPr>
          <w:trHeight w:val="1238"/>
        </w:trPr>
        <w:tc>
          <w:tcPr>
            <w:tcW w:w="40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4D50DF1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Övergång från kontinuerlig infusion till intermittent dosering, exempelvis vid utskrivning från IVA </w:t>
            </w:r>
          </w:p>
        </w:tc>
        <w:tc>
          <w:tcPr>
            <w:tcW w:w="5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84CC0B" w14:textId="77777777" w:rsidR="00721576" w:rsidRDefault="00721576" w:rsidP="006320B8">
            <w:pPr>
              <w:spacing w:after="0" w:line="259" w:lineRule="auto"/>
              <w:ind w:left="0" w:right="0"/>
            </w:pPr>
            <w:r>
              <w:t xml:space="preserve">Avsluta pågående infusion vid lämplig tid för övergång till intermittent dos. Starta intermittent dosering med motsvarande dos och doseringsintervall inom 1 timme.  </w:t>
            </w:r>
          </w:p>
        </w:tc>
      </w:tr>
    </w:tbl>
    <w:p w14:paraId="25C9F958" w14:textId="77777777" w:rsidR="00721576" w:rsidRDefault="00721576" w:rsidP="000B2B69">
      <w:pPr>
        <w:spacing w:after="117"/>
        <w:ind w:left="117" w:right="-2"/>
      </w:pPr>
      <w:r>
        <w:rPr>
          <w:i/>
        </w:rPr>
        <w:t xml:space="preserve">Tabell 1 beskriver uppstart och avslut av kontinuerlig infusion samt åtgärder vid avbruten infusion. </w:t>
      </w:r>
    </w:p>
    <w:p w14:paraId="506F64CF" w14:textId="77777777" w:rsidR="00721576" w:rsidRDefault="00721576" w:rsidP="00721576">
      <w:pPr>
        <w:spacing w:after="0" w:line="259" w:lineRule="auto"/>
        <w:ind w:left="117" w:right="1684"/>
      </w:pPr>
      <w:r>
        <w:rPr>
          <w:b/>
        </w:rPr>
        <w:t xml:space="preserve">Tabell 2 </w:t>
      </w:r>
    </w:p>
    <w:tbl>
      <w:tblPr>
        <w:tblStyle w:val="TableGrid"/>
        <w:tblW w:w="10071" w:type="dxa"/>
        <w:tblInd w:w="67" w:type="dxa"/>
        <w:tblCellMar>
          <w:top w:w="44" w:type="dxa"/>
        </w:tblCellMar>
        <w:tblLook w:val="04A0" w:firstRow="1" w:lastRow="0" w:firstColumn="1" w:lastColumn="0" w:noHBand="0" w:noVBand="1"/>
      </w:tblPr>
      <w:tblGrid>
        <w:gridCol w:w="1335"/>
        <w:gridCol w:w="1095"/>
        <w:gridCol w:w="1234"/>
        <w:gridCol w:w="1320"/>
        <w:gridCol w:w="2923"/>
        <w:gridCol w:w="2164"/>
      </w:tblGrid>
      <w:tr w:rsidR="00721576" w:rsidRPr="00582607" w14:paraId="3ED48821" w14:textId="77777777" w:rsidTr="002F14FB">
        <w:trPr>
          <w:trHeight w:val="492"/>
        </w:trPr>
        <w:tc>
          <w:tcPr>
            <w:tcW w:w="13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7B29BF" w14:textId="77777777" w:rsidR="00721576" w:rsidRPr="00582607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</w:rPr>
            </w:pPr>
            <w:r w:rsidRPr="137D25D7">
              <w:rPr>
                <w:b/>
                <w:bCs/>
                <w:color w:val="000000" w:themeColor="text1"/>
              </w:rPr>
              <w:t xml:space="preserve">Substans  </w:t>
            </w:r>
          </w:p>
        </w:tc>
        <w:tc>
          <w:tcPr>
            <w:tcW w:w="1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FD6856" w14:textId="77777777" w:rsidR="00721576" w:rsidRPr="00582607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</w:rPr>
            </w:pPr>
            <w:r w:rsidRPr="137D25D7">
              <w:rPr>
                <w:b/>
                <w:bCs/>
                <w:color w:val="000000" w:themeColor="text1"/>
              </w:rPr>
              <w:t xml:space="preserve">Dos  </w:t>
            </w:r>
          </w:p>
        </w:tc>
        <w:tc>
          <w:tcPr>
            <w:tcW w:w="10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98B749" w14:textId="77777777" w:rsidR="00721576" w:rsidRPr="00582607" w:rsidRDefault="00721576" w:rsidP="006320B8">
            <w:pPr>
              <w:spacing w:after="0" w:line="259" w:lineRule="auto"/>
              <w:ind w:left="53" w:right="0"/>
              <w:rPr>
                <w:color w:val="000000" w:themeColor="text1"/>
              </w:rPr>
            </w:pPr>
            <w:r w:rsidRPr="137D25D7">
              <w:rPr>
                <w:b/>
                <w:bCs/>
                <w:color w:val="000000" w:themeColor="text1"/>
              </w:rPr>
              <w:t xml:space="preserve">Spädning  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4BC31BA" w14:textId="77777777" w:rsidR="00721576" w:rsidRPr="00582607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</w:rPr>
            </w:pPr>
            <w:proofErr w:type="spellStart"/>
            <w:r w:rsidRPr="137D25D7">
              <w:rPr>
                <w:b/>
                <w:bCs/>
                <w:color w:val="000000" w:themeColor="text1"/>
              </w:rPr>
              <w:t>Slutkonc</w:t>
            </w:r>
            <w:r>
              <w:rPr>
                <w:b/>
                <w:bCs/>
                <w:color w:val="000000" w:themeColor="text1"/>
              </w:rPr>
              <w:t>-</w:t>
            </w:r>
            <w:r w:rsidRPr="137D25D7">
              <w:rPr>
                <w:b/>
                <w:bCs/>
                <w:color w:val="000000" w:themeColor="text1"/>
              </w:rPr>
              <w:t>entration</w:t>
            </w:r>
            <w:proofErr w:type="spellEnd"/>
          </w:p>
        </w:tc>
        <w:tc>
          <w:tcPr>
            <w:tcW w:w="30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CC8DFA" w14:textId="77777777" w:rsidR="00721576" w:rsidRPr="137D25D7" w:rsidRDefault="00721576" w:rsidP="006320B8">
            <w:pPr>
              <w:spacing w:after="111" w:line="259" w:lineRule="auto"/>
              <w:ind w:left="50" w:right="0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Dos=hastighet ml/h</w:t>
            </w:r>
          </w:p>
        </w:tc>
        <w:tc>
          <w:tcPr>
            <w:tcW w:w="22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6F8EC2" w14:textId="77777777" w:rsidR="00721576" w:rsidRPr="00582607" w:rsidRDefault="00721576" w:rsidP="006320B8">
            <w:pPr>
              <w:spacing w:after="111" w:line="259" w:lineRule="auto"/>
              <w:ind w:left="50" w:right="0"/>
              <w:rPr>
                <w:color w:val="000000" w:themeColor="text1"/>
              </w:rPr>
            </w:pPr>
            <w:r w:rsidRPr="137D25D7">
              <w:rPr>
                <w:b/>
                <w:bCs/>
                <w:color w:val="000000" w:themeColor="text1"/>
              </w:rPr>
              <w:t xml:space="preserve">Hållbarhet  </w:t>
            </w:r>
          </w:p>
          <w:p w14:paraId="2EC46146" w14:textId="77777777" w:rsidR="00721576" w:rsidRPr="00582607" w:rsidRDefault="00721576" w:rsidP="006320B8">
            <w:pPr>
              <w:spacing w:after="0" w:line="259" w:lineRule="auto"/>
              <w:ind w:left="-27" w:right="0"/>
              <w:rPr>
                <w:color w:val="000000" w:themeColor="text1"/>
              </w:rPr>
            </w:pPr>
            <w:r w:rsidRPr="137D25D7">
              <w:rPr>
                <w:b/>
                <w:bCs/>
                <w:color w:val="000000" w:themeColor="text1"/>
              </w:rPr>
              <w:t xml:space="preserve"> </w:t>
            </w:r>
          </w:p>
        </w:tc>
      </w:tr>
      <w:tr w:rsidR="00721576" w:rsidRPr="00582607" w14:paraId="6FD1F701" w14:textId="77777777" w:rsidTr="002F14FB">
        <w:trPr>
          <w:trHeight w:val="1236"/>
        </w:trPr>
        <w:tc>
          <w:tcPr>
            <w:tcW w:w="13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7741B0" w14:textId="77777777" w:rsidR="00721576" w:rsidRPr="00504A22" w:rsidRDefault="00721576" w:rsidP="006320B8">
            <w:pPr>
              <w:spacing w:after="111" w:line="259" w:lineRule="auto"/>
              <w:ind w:left="50" w:right="0"/>
              <w:jc w:val="both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Piperacillin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/ </w:t>
            </w:r>
          </w:p>
          <w:p w14:paraId="4C1FE5C3" w14:textId="77777777" w:rsidR="00721576" w:rsidRPr="00504A22" w:rsidRDefault="00721576" w:rsidP="006320B8">
            <w:pPr>
              <w:spacing w:after="0" w:line="259" w:lineRule="auto"/>
              <w:ind w:left="50" w:right="0"/>
              <w:jc w:val="both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Tazobaktam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 </w:t>
            </w:r>
          </w:p>
        </w:tc>
        <w:tc>
          <w:tcPr>
            <w:tcW w:w="1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BE482C" w14:textId="77777777" w:rsidR="00721576" w:rsidRPr="00504A22" w:rsidRDefault="00721576" w:rsidP="006320B8">
            <w:pPr>
              <w:spacing w:after="0" w:line="259" w:lineRule="auto"/>
              <w:ind w:left="50" w:right="0"/>
              <w:jc w:val="both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4 g/0,5 g  </w:t>
            </w:r>
          </w:p>
        </w:tc>
        <w:tc>
          <w:tcPr>
            <w:tcW w:w="10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E3B41F" w14:textId="77777777" w:rsidR="00721576" w:rsidRDefault="00721576" w:rsidP="006320B8">
            <w:pPr>
              <w:spacing w:after="2" w:line="356" w:lineRule="auto"/>
              <w:ind w:left="53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I 100 ml </w:t>
            </w:r>
          </w:p>
          <w:p w14:paraId="0E81F816" w14:textId="77777777" w:rsidR="00721576" w:rsidRPr="00504A22" w:rsidRDefault="00721576" w:rsidP="006320B8">
            <w:pPr>
              <w:spacing w:after="2" w:line="356" w:lineRule="auto"/>
              <w:ind w:left="53" w:right="0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NaCl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9 mg/ml 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1709E8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40/5 mg/ml  </w:t>
            </w:r>
          </w:p>
        </w:tc>
        <w:tc>
          <w:tcPr>
            <w:tcW w:w="30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E3DFAD" w14:textId="77777777" w:rsidR="00721576" w:rsidRPr="00C8259D" w:rsidRDefault="00721576" w:rsidP="002E5406">
            <w:pPr>
              <w:spacing w:after="0" w:line="259" w:lineRule="auto"/>
              <w:ind w:left="50" w:right="-100"/>
              <w:rPr>
                <w:color w:val="000000" w:themeColor="text1"/>
                <w:sz w:val="22"/>
                <w:szCs w:val="22"/>
              </w:rPr>
            </w:pPr>
            <w:r w:rsidRPr="00C8259D">
              <w:rPr>
                <w:color w:val="000000" w:themeColor="text1"/>
                <w:sz w:val="22"/>
                <w:szCs w:val="22"/>
              </w:rPr>
              <w:t>16g/dygn = 4gx4 = 16,67ml/h</w:t>
            </w:r>
          </w:p>
          <w:p w14:paraId="1A08B3E3" w14:textId="77777777" w:rsidR="00721576" w:rsidRPr="00C8259D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C8259D">
              <w:rPr>
                <w:color w:val="000000" w:themeColor="text1"/>
                <w:sz w:val="22"/>
                <w:szCs w:val="22"/>
              </w:rPr>
              <w:t>12g/dygn = 4gx3 = 12,5ml/h</w:t>
            </w:r>
          </w:p>
          <w:p w14:paraId="5AE9BC3E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C8259D">
              <w:rPr>
                <w:color w:val="000000" w:themeColor="text1"/>
                <w:sz w:val="22"/>
                <w:szCs w:val="22"/>
              </w:rPr>
              <w:t>8g/dygn   = 4gx2 = 8,33ml/h</w:t>
            </w:r>
          </w:p>
        </w:tc>
        <w:tc>
          <w:tcPr>
            <w:tcW w:w="22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E779E1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24 </w:t>
            </w:r>
            <w:r>
              <w:rPr>
                <w:color w:val="000000" w:themeColor="text1"/>
                <w:sz w:val="22"/>
                <w:szCs w:val="22"/>
              </w:rPr>
              <w:t>timmar</w:t>
            </w:r>
            <w:r w:rsidRPr="00504A22">
              <w:rPr>
                <w:color w:val="000000" w:themeColor="text1"/>
                <w:sz w:val="22"/>
                <w:szCs w:val="22"/>
              </w:rPr>
              <w:t xml:space="preserve"> i rumstemperatur eller kylskåp (Se rutin)</w:t>
            </w:r>
          </w:p>
          <w:p w14:paraId="723B8108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</w:p>
        </w:tc>
      </w:tr>
      <w:tr w:rsidR="00721576" w:rsidRPr="00582607" w14:paraId="60CCF593" w14:textId="77777777" w:rsidTr="002F14FB">
        <w:trPr>
          <w:trHeight w:val="1249"/>
        </w:trPr>
        <w:tc>
          <w:tcPr>
            <w:tcW w:w="13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FDDF2A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Cefotaxim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 </w:t>
            </w:r>
          </w:p>
        </w:tc>
        <w:tc>
          <w:tcPr>
            <w:tcW w:w="1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A674D8F" w14:textId="77777777" w:rsidR="00721576" w:rsidRPr="00504A22" w:rsidRDefault="00721576" w:rsidP="006320B8">
            <w:pPr>
              <w:spacing w:after="114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</w:p>
          <w:p w14:paraId="68175817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2 g </w:t>
            </w:r>
          </w:p>
        </w:tc>
        <w:tc>
          <w:tcPr>
            <w:tcW w:w="10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9B4EFB" w14:textId="77777777" w:rsidR="00721576" w:rsidRDefault="00721576" w:rsidP="006320B8">
            <w:pPr>
              <w:spacing w:after="0" w:line="358" w:lineRule="auto"/>
              <w:ind w:left="53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>I 100 ml</w:t>
            </w:r>
          </w:p>
          <w:p w14:paraId="7B31F136" w14:textId="77777777" w:rsidR="00721576" w:rsidRPr="00504A22" w:rsidRDefault="00721576" w:rsidP="006320B8">
            <w:pPr>
              <w:spacing w:after="0" w:line="358" w:lineRule="auto"/>
              <w:ind w:left="53" w:right="0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NaCl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9 mg/ml  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FF9263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20 mg/ml </w:t>
            </w:r>
          </w:p>
          <w:p w14:paraId="789FBDD9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0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431E87" w14:textId="77777777" w:rsidR="00721576" w:rsidRPr="003E65F5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3E65F5">
              <w:rPr>
                <w:color w:val="000000" w:themeColor="text1"/>
                <w:sz w:val="22"/>
                <w:szCs w:val="22"/>
              </w:rPr>
              <w:t>6g/dygn = 2gx3 = 12,5ml/h</w:t>
            </w:r>
          </w:p>
          <w:p w14:paraId="60F6DBB6" w14:textId="77777777" w:rsidR="00721576" w:rsidRPr="003E65F5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3E65F5">
              <w:rPr>
                <w:color w:val="000000" w:themeColor="text1"/>
                <w:sz w:val="22"/>
                <w:szCs w:val="22"/>
              </w:rPr>
              <w:t>3g/dygn = 1gx3 = 6,25ml/h</w:t>
            </w:r>
          </w:p>
          <w:p w14:paraId="7957B792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3E65F5">
              <w:rPr>
                <w:color w:val="000000" w:themeColor="text1"/>
                <w:sz w:val="22"/>
                <w:szCs w:val="22"/>
              </w:rPr>
              <w:t>2g/dygn = 1gx2 = 4,167ml/h</w:t>
            </w:r>
          </w:p>
        </w:tc>
        <w:tc>
          <w:tcPr>
            <w:tcW w:w="22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2A4FCE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>24 timmar i rumstemperatur eller kylskåp (Se rutin)</w:t>
            </w:r>
          </w:p>
          <w:p w14:paraId="33445DBD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</w:p>
        </w:tc>
      </w:tr>
      <w:tr w:rsidR="00721576" w:rsidRPr="00582607" w14:paraId="1BBFED00" w14:textId="77777777" w:rsidTr="002F14FB">
        <w:trPr>
          <w:trHeight w:val="1140"/>
        </w:trPr>
        <w:tc>
          <w:tcPr>
            <w:tcW w:w="13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F5E10B" w14:textId="77777777" w:rsidR="00721576" w:rsidRPr="00504A22" w:rsidRDefault="00721576" w:rsidP="006320B8">
            <w:pPr>
              <w:spacing w:after="0" w:line="259" w:lineRule="auto"/>
              <w:ind w:left="50" w:right="0"/>
              <w:jc w:val="both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Meropenem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 </w:t>
            </w:r>
          </w:p>
        </w:tc>
        <w:tc>
          <w:tcPr>
            <w:tcW w:w="11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0C73844" w14:textId="77777777" w:rsidR="00721576" w:rsidRPr="00504A22" w:rsidRDefault="00721576" w:rsidP="006320B8">
            <w:pPr>
              <w:spacing w:after="113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1 g  </w:t>
            </w:r>
          </w:p>
          <w:p w14:paraId="35C6574E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0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101392" w14:textId="77777777" w:rsidR="00721576" w:rsidRDefault="00721576" w:rsidP="006320B8">
            <w:pPr>
              <w:spacing w:after="0" w:line="259" w:lineRule="auto"/>
              <w:ind w:left="53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>I 100 ml</w:t>
            </w:r>
          </w:p>
          <w:p w14:paraId="24CB7F6A" w14:textId="77777777" w:rsidR="00721576" w:rsidRPr="00504A22" w:rsidRDefault="00721576" w:rsidP="006320B8">
            <w:pPr>
              <w:spacing w:after="0" w:line="259" w:lineRule="auto"/>
              <w:ind w:left="53" w:right="0"/>
              <w:rPr>
                <w:color w:val="000000" w:themeColor="text1"/>
                <w:sz w:val="22"/>
                <w:szCs w:val="22"/>
              </w:rPr>
            </w:pPr>
            <w:proofErr w:type="spellStart"/>
            <w:r w:rsidRPr="00504A22">
              <w:rPr>
                <w:color w:val="000000" w:themeColor="text1"/>
                <w:sz w:val="22"/>
                <w:szCs w:val="22"/>
              </w:rPr>
              <w:t>NaCl</w:t>
            </w:r>
            <w:proofErr w:type="spellEnd"/>
            <w:r w:rsidRPr="00504A22">
              <w:rPr>
                <w:color w:val="000000" w:themeColor="text1"/>
                <w:sz w:val="22"/>
                <w:szCs w:val="22"/>
              </w:rPr>
              <w:t xml:space="preserve"> 9 mg/ml</w:t>
            </w:r>
          </w:p>
        </w:tc>
        <w:tc>
          <w:tcPr>
            <w:tcW w:w="1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E3C1E7" w14:textId="77777777" w:rsidR="00721576" w:rsidRPr="00504A22" w:rsidRDefault="00721576" w:rsidP="006320B8">
            <w:pPr>
              <w:spacing w:after="113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10 mg/ml </w:t>
            </w:r>
          </w:p>
          <w:p w14:paraId="15927DD5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</w:p>
          <w:p w14:paraId="2FF20FB9" w14:textId="77777777" w:rsidR="00721576" w:rsidRPr="00504A22" w:rsidRDefault="00721576" w:rsidP="006320B8">
            <w:pPr>
              <w:spacing w:after="113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</w:p>
          <w:p w14:paraId="745200A6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301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EFD559" w14:textId="77777777" w:rsidR="00721576" w:rsidRPr="00F35A08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F35A08">
              <w:rPr>
                <w:color w:val="000000" w:themeColor="text1"/>
                <w:sz w:val="22"/>
                <w:szCs w:val="22"/>
              </w:rPr>
              <w:t>3g/dygn = 1gx3 = 12,5ml/h</w:t>
            </w:r>
          </w:p>
          <w:p w14:paraId="73D86051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  <w:r w:rsidRPr="00F35A08">
              <w:rPr>
                <w:color w:val="000000" w:themeColor="text1"/>
                <w:sz w:val="22"/>
                <w:szCs w:val="22"/>
              </w:rPr>
              <w:t>2g/dygn = 1gx2 = 8,33ml/h</w:t>
            </w:r>
          </w:p>
        </w:tc>
        <w:tc>
          <w:tcPr>
            <w:tcW w:w="220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F3EAFA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sz w:val="22"/>
                <w:szCs w:val="22"/>
              </w:rPr>
            </w:pPr>
            <w:r w:rsidRPr="00504A22">
              <w:rPr>
                <w:color w:val="000000" w:themeColor="text1"/>
                <w:sz w:val="22"/>
                <w:szCs w:val="22"/>
              </w:rPr>
              <w:t>24 timmar i rumstemperatur eller kylskåp (Se rutin)</w:t>
            </w:r>
          </w:p>
          <w:p w14:paraId="7E8A53DB" w14:textId="77777777" w:rsidR="00721576" w:rsidRPr="00504A22" w:rsidRDefault="00721576" w:rsidP="006320B8">
            <w:pPr>
              <w:spacing w:after="0" w:line="259" w:lineRule="auto"/>
              <w:ind w:left="50" w:right="0"/>
              <w:rPr>
                <w:color w:val="000000" w:themeColor="text1"/>
                <w:sz w:val="22"/>
                <w:szCs w:val="22"/>
              </w:rPr>
            </w:pPr>
          </w:p>
        </w:tc>
      </w:tr>
    </w:tbl>
    <w:p w14:paraId="2CF3D6F8" w14:textId="77777777" w:rsidR="00721576" w:rsidRPr="00582607" w:rsidRDefault="00721576" w:rsidP="000B2B69">
      <w:pPr>
        <w:spacing w:after="117"/>
        <w:ind w:left="0" w:right="849"/>
        <w:rPr>
          <w:color w:val="000000" w:themeColor="text1"/>
        </w:rPr>
      </w:pPr>
      <w:r w:rsidRPr="137D25D7">
        <w:rPr>
          <w:i/>
          <w:iCs/>
          <w:color w:val="000000" w:themeColor="text1"/>
        </w:rPr>
        <w:t xml:space="preserve">Tabell 2 beskriver blandningsanvisningar för </w:t>
      </w:r>
      <w:proofErr w:type="spellStart"/>
      <w:r w:rsidRPr="137D25D7">
        <w:rPr>
          <w:i/>
          <w:iCs/>
          <w:color w:val="000000" w:themeColor="text1"/>
        </w:rPr>
        <w:t>piperacillin</w:t>
      </w:r>
      <w:proofErr w:type="spellEnd"/>
      <w:r w:rsidRPr="137D25D7">
        <w:rPr>
          <w:i/>
          <w:iCs/>
          <w:color w:val="000000" w:themeColor="text1"/>
        </w:rPr>
        <w:t>/</w:t>
      </w:r>
      <w:proofErr w:type="spellStart"/>
      <w:r w:rsidRPr="137D25D7">
        <w:rPr>
          <w:i/>
          <w:iCs/>
          <w:color w:val="000000" w:themeColor="text1"/>
        </w:rPr>
        <w:t>tazobaktam</w:t>
      </w:r>
      <w:proofErr w:type="spellEnd"/>
      <w:r w:rsidRPr="137D25D7">
        <w:rPr>
          <w:i/>
          <w:iCs/>
          <w:color w:val="000000" w:themeColor="text1"/>
        </w:rPr>
        <w:t xml:space="preserve">, </w:t>
      </w:r>
      <w:proofErr w:type="spellStart"/>
      <w:r w:rsidRPr="137D25D7">
        <w:rPr>
          <w:i/>
          <w:iCs/>
          <w:color w:val="000000" w:themeColor="text1"/>
        </w:rPr>
        <w:t>cefotaxim</w:t>
      </w:r>
      <w:proofErr w:type="spellEnd"/>
      <w:r w:rsidRPr="137D25D7">
        <w:rPr>
          <w:i/>
          <w:iCs/>
          <w:color w:val="000000" w:themeColor="text1"/>
        </w:rPr>
        <w:t xml:space="preserve"> och </w:t>
      </w:r>
      <w:proofErr w:type="spellStart"/>
      <w:r w:rsidRPr="137D25D7">
        <w:rPr>
          <w:i/>
          <w:iCs/>
          <w:color w:val="000000" w:themeColor="text1"/>
        </w:rPr>
        <w:t>meropenem</w:t>
      </w:r>
      <w:proofErr w:type="spellEnd"/>
      <w:r w:rsidRPr="137D25D7">
        <w:rPr>
          <w:i/>
          <w:iCs/>
          <w:color w:val="000000" w:themeColor="text1"/>
        </w:rPr>
        <w:t xml:space="preserve"> vid kontinuerlig infusion. </w:t>
      </w:r>
    </w:p>
    <w:p w14:paraId="218AA3E4" w14:textId="77777777" w:rsidR="00721576" w:rsidRDefault="00721576" w:rsidP="00721576">
      <w:pPr>
        <w:spacing w:after="229" w:line="259" w:lineRule="auto"/>
        <w:ind w:left="0" w:right="0"/>
        <w:rPr>
          <w:b/>
          <w:bCs/>
        </w:rPr>
      </w:pPr>
      <w:r w:rsidRPr="137D25D7">
        <w:rPr>
          <w:b/>
          <w:bCs/>
        </w:rPr>
        <w:t>Länk till rutin Hållbarhet läkemedelsblandningar och infusionslösningar</w:t>
      </w:r>
    </w:p>
    <w:p w14:paraId="5EBE135B" w14:textId="77777777" w:rsidR="00721576" w:rsidRDefault="00721576" w:rsidP="000B2B69">
      <w:pPr>
        <w:spacing w:after="229" w:line="259" w:lineRule="auto"/>
        <w:ind w:left="0" w:right="0"/>
      </w:pPr>
      <w:hyperlink r:id="rId11">
        <w:r w:rsidRPr="137D25D7">
          <w:rPr>
            <w:rStyle w:val="Hyperlnk"/>
          </w:rPr>
          <w:t>Hållbarhet läkemedelsblandningar och infusionslösningar</w:t>
        </w:r>
      </w:hyperlink>
    </w:p>
    <w:p w14:paraId="3CF9665F" w14:textId="53691BD0" w:rsidR="00721576" w:rsidRDefault="00721576" w:rsidP="00721576">
      <w:pPr>
        <w:spacing w:after="2" w:line="356" w:lineRule="auto"/>
        <w:ind w:left="684" w:right="0"/>
        <w:rPr>
          <w:color w:val="006298"/>
          <w:u w:val="single"/>
        </w:rPr>
      </w:pPr>
      <w:r w:rsidRPr="137D25D7">
        <w:rPr>
          <w:b/>
          <w:bCs/>
        </w:rPr>
        <w:lastRenderedPageBreak/>
        <w:t xml:space="preserve">Länk till rekommendationen från vårdprogramsgruppen för sepsis </w:t>
      </w:r>
      <w:r w:rsidR="00142B46">
        <w:rPr>
          <w:b/>
          <w:bCs/>
        </w:rPr>
        <w:br/>
      </w:r>
      <w:hyperlink r:id="rId12">
        <w:r w:rsidRPr="137D25D7">
          <w:rPr>
            <w:color w:val="006298"/>
            <w:u w:val="single"/>
          </w:rPr>
          <w:t>rekommendation</w:t>
        </w:r>
      </w:hyperlink>
      <w:hyperlink r:id="rId13">
        <w:r w:rsidRPr="137D25D7">
          <w:rPr>
            <w:color w:val="006298"/>
            <w:u w:val="single"/>
          </w:rPr>
          <w:t>-</w:t>
        </w:r>
      </w:hyperlink>
      <w:hyperlink r:id="rId14">
        <w:r w:rsidRPr="137D25D7">
          <w:rPr>
            <w:color w:val="006298"/>
            <w:u w:val="single"/>
          </w:rPr>
          <w:t>om</w:t>
        </w:r>
      </w:hyperlink>
      <w:hyperlink r:id="rId15">
        <w:r w:rsidRPr="137D25D7">
          <w:rPr>
            <w:color w:val="006298"/>
            <w:u w:val="single"/>
          </w:rPr>
          <w:t>-</w:t>
        </w:r>
      </w:hyperlink>
      <w:hyperlink r:id="rId16">
        <w:r w:rsidRPr="137D25D7">
          <w:rPr>
            <w:color w:val="006298"/>
            <w:u w:val="single"/>
          </w:rPr>
          <w:t>kontinuerlig</w:t>
        </w:r>
      </w:hyperlink>
      <w:hyperlink r:id="rId17">
        <w:r w:rsidRPr="137D25D7">
          <w:rPr>
            <w:color w:val="006298"/>
            <w:u w:val="single"/>
          </w:rPr>
          <w:t>-</w:t>
        </w:r>
      </w:hyperlink>
      <w:hyperlink r:id="rId18">
        <w:r w:rsidRPr="137D25D7">
          <w:rPr>
            <w:color w:val="006298"/>
            <w:u w:val="single"/>
          </w:rPr>
          <w:t>infusion</w:t>
        </w:r>
      </w:hyperlink>
      <w:hyperlink r:id="rId19">
        <w:r w:rsidRPr="137D25D7">
          <w:rPr>
            <w:color w:val="006298"/>
            <w:u w:val="single"/>
          </w:rPr>
          <w:t>-</w:t>
        </w:r>
      </w:hyperlink>
      <w:hyperlink r:id="rId20">
        <w:r w:rsidRPr="137D25D7">
          <w:rPr>
            <w:color w:val="006298"/>
            <w:u w:val="single"/>
          </w:rPr>
          <w:t>av</w:t>
        </w:r>
      </w:hyperlink>
      <w:hyperlink r:id="rId21">
        <w:r w:rsidRPr="137D25D7">
          <w:rPr>
            <w:color w:val="006298"/>
            <w:u w:val="single"/>
          </w:rPr>
          <w:t>-</w:t>
        </w:r>
      </w:hyperlink>
      <w:hyperlink r:id="rId22">
        <w:r w:rsidRPr="137D25D7">
          <w:rPr>
            <w:color w:val="006298"/>
            <w:u w:val="single"/>
          </w:rPr>
          <w:t>betalaktamantibiotika</w:t>
        </w:r>
      </w:hyperlink>
      <w:hyperlink r:id="rId23">
        <w:r w:rsidRPr="137D25D7">
          <w:rPr>
            <w:color w:val="006298"/>
            <w:u w:val="single"/>
          </w:rPr>
          <w:t>-</w:t>
        </w:r>
      </w:hyperlink>
      <w:hyperlink r:id="rId24">
        <w:r w:rsidRPr="137D25D7">
          <w:rPr>
            <w:color w:val="006298"/>
            <w:u w:val="single"/>
          </w:rPr>
          <w:t>silf</w:t>
        </w:r>
      </w:hyperlink>
      <w:hyperlink r:id="rId25">
        <w:r w:rsidRPr="137D25D7">
          <w:rPr>
            <w:color w:val="006298"/>
            <w:u w:val="single"/>
          </w:rPr>
          <w:t>-</w:t>
        </w:r>
      </w:hyperlink>
    </w:p>
    <w:p w14:paraId="46D91BF5" w14:textId="77777777" w:rsidR="00721576" w:rsidRDefault="00721576" w:rsidP="00721576">
      <w:pPr>
        <w:spacing w:after="472" w:line="280" w:lineRule="auto"/>
        <w:ind w:left="684" w:right="0"/>
      </w:pPr>
      <w:hyperlink r:id="rId26">
        <w:r>
          <w:rPr>
            <w:color w:val="006298"/>
            <w:u w:val="single" w:color="006298"/>
          </w:rPr>
          <w:t>2025</w:t>
        </w:r>
      </w:hyperlink>
      <w:hyperlink r:id="rId27">
        <w:r>
          <w:rPr>
            <w:color w:val="006298"/>
            <w:u w:val="single" w:color="006298"/>
          </w:rPr>
          <w:t>-</w:t>
        </w:r>
      </w:hyperlink>
      <w:hyperlink r:id="rId28">
        <w:r>
          <w:rPr>
            <w:color w:val="006298"/>
            <w:u w:val="single" w:color="006298"/>
          </w:rPr>
          <w:t>1.pdf</w:t>
        </w:r>
      </w:hyperlink>
      <w:hyperlink r:id="rId29">
        <w:r>
          <w:rPr>
            <w:b/>
          </w:rPr>
          <w:t xml:space="preserve"> </w:t>
        </w:r>
      </w:hyperlink>
    </w:p>
    <w:p w14:paraId="121270DB" w14:textId="77777777" w:rsidR="00721576" w:rsidRPr="00721576" w:rsidRDefault="00721576" w:rsidP="00721576">
      <w:pPr>
        <w:pStyle w:val="Rubrik1"/>
        <w:ind w:left="684"/>
        <w:rPr>
          <w:b w:val="0"/>
          <w:bCs w:val="0"/>
          <w:sz w:val="36"/>
          <w:szCs w:val="36"/>
        </w:rPr>
      </w:pPr>
      <w:r w:rsidRPr="00721576">
        <w:rPr>
          <w:b w:val="0"/>
          <w:bCs w:val="0"/>
          <w:sz w:val="36"/>
          <w:szCs w:val="36"/>
        </w:rPr>
        <w:t xml:space="preserve">Referenser </w:t>
      </w:r>
    </w:p>
    <w:p w14:paraId="688035C8" w14:textId="77777777" w:rsidR="00721576" w:rsidRDefault="00721576" w:rsidP="00721576">
      <w:pPr>
        <w:spacing w:line="259" w:lineRule="auto"/>
        <w:ind w:left="684" w:right="1950"/>
      </w:pPr>
      <w:proofErr w:type="spellStart"/>
      <w:r>
        <w:t>Dulhunty</w:t>
      </w:r>
      <w:proofErr w:type="spellEnd"/>
      <w:r>
        <w:t xml:space="preserve"> JM, Brett SJ, De </w:t>
      </w:r>
      <w:proofErr w:type="spellStart"/>
      <w:r>
        <w:t>Waele</w:t>
      </w:r>
      <w:proofErr w:type="spellEnd"/>
      <w:r>
        <w:t xml:space="preserve"> JJ, </w:t>
      </w:r>
      <w:proofErr w:type="spellStart"/>
      <w:r>
        <w:t>Rajbhandari</w:t>
      </w:r>
      <w:proofErr w:type="spellEnd"/>
      <w:r>
        <w:t xml:space="preserve"> D, </w:t>
      </w:r>
      <w:proofErr w:type="spellStart"/>
      <w:r>
        <w:t>Billot</w:t>
      </w:r>
      <w:proofErr w:type="spellEnd"/>
      <w:r>
        <w:t xml:space="preserve"> L, </w:t>
      </w:r>
      <w:proofErr w:type="spellStart"/>
      <w:r>
        <w:t>Cotta</w:t>
      </w:r>
      <w:proofErr w:type="spellEnd"/>
      <w:r>
        <w:t xml:space="preserve"> </w:t>
      </w:r>
    </w:p>
    <w:p w14:paraId="199C2AA7" w14:textId="77777777" w:rsidR="00721576" w:rsidRPr="00582607" w:rsidRDefault="00721576" w:rsidP="00721576">
      <w:pPr>
        <w:spacing w:line="259" w:lineRule="auto"/>
        <w:ind w:left="684" w:right="1950"/>
        <w:rPr>
          <w:lang w:val="en-US"/>
        </w:rPr>
      </w:pPr>
      <w:r w:rsidRPr="00582607">
        <w:rPr>
          <w:lang w:val="en-US"/>
        </w:rPr>
        <w:t xml:space="preserve">MO, Davis JS, </w:t>
      </w:r>
      <w:proofErr w:type="spellStart"/>
      <w:r w:rsidRPr="00582607">
        <w:rPr>
          <w:lang w:val="en-US"/>
        </w:rPr>
        <w:t>Finfer</w:t>
      </w:r>
      <w:proofErr w:type="spellEnd"/>
      <w:r w:rsidRPr="00582607">
        <w:rPr>
          <w:lang w:val="en-US"/>
        </w:rPr>
        <w:t xml:space="preserve"> S, Hammond NE, Knowles S et al: Continuous vs </w:t>
      </w:r>
    </w:p>
    <w:p w14:paraId="171CF8DA" w14:textId="77777777" w:rsidR="00721576" w:rsidRPr="00582607" w:rsidRDefault="00721576" w:rsidP="00721576">
      <w:pPr>
        <w:spacing w:line="259" w:lineRule="auto"/>
        <w:ind w:left="684" w:right="1950"/>
        <w:rPr>
          <w:lang w:val="en-US"/>
        </w:rPr>
      </w:pPr>
      <w:r w:rsidRPr="00582607">
        <w:rPr>
          <w:lang w:val="en-US"/>
        </w:rPr>
        <w:t xml:space="preserve">Intermittent beta-Lactam Antibiotic Infusions in Critically Ill Patients </w:t>
      </w:r>
    </w:p>
    <w:p w14:paraId="4D836ECE" w14:textId="77777777" w:rsidR="00721576" w:rsidRPr="00582607" w:rsidRDefault="00721576" w:rsidP="00721576">
      <w:pPr>
        <w:ind w:left="684" w:right="1950"/>
        <w:rPr>
          <w:lang w:val="en-US"/>
        </w:rPr>
      </w:pPr>
      <w:r w:rsidRPr="00582607">
        <w:rPr>
          <w:lang w:val="en-US"/>
        </w:rPr>
        <w:t xml:space="preserve">With Sepsis: The BLING III Randomized Clinical Trial. JAMA 2024, 332(8):629-637. </w:t>
      </w:r>
    </w:p>
    <w:p w14:paraId="463EA3BC" w14:textId="77777777" w:rsidR="00721576" w:rsidRPr="00582607" w:rsidRDefault="00721576" w:rsidP="00721576">
      <w:pPr>
        <w:spacing w:line="259" w:lineRule="auto"/>
        <w:ind w:left="684" w:right="1950"/>
        <w:rPr>
          <w:lang w:val="en-US"/>
        </w:rPr>
      </w:pPr>
      <w:r w:rsidRPr="00582607">
        <w:rPr>
          <w:lang w:val="en-US"/>
        </w:rPr>
        <w:t xml:space="preserve">Abdul-Aziz MH, Hammond NE, Brett SJ, Cotta MO, De </w:t>
      </w:r>
      <w:proofErr w:type="spellStart"/>
      <w:r w:rsidRPr="00582607">
        <w:rPr>
          <w:lang w:val="en-US"/>
        </w:rPr>
        <w:t>Waele</w:t>
      </w:r>
      <w:proofErr w:type="spellEnd"/>
      <w:r w:rsidRPr="00582607">
        <w:rPr>
          <w:lang w:val="en-US"/>
        </w:rPr>
        <w:t xml:space="preserve"> JJ, </w:t>
      </w:r>
    </w:p>
    <w:p w14:paraId="6C1C4766" w14:textId="77777777" w:rsidR="00721576" w:rsidRPr="00582607" w:rsidRDefault="00721576" w:rsidP="00721576">
      <w:pPr>
        <w:spacing w:line="259" w:lineRule="auto"/>
        <w:ind w:left="684" w:right="1950"/>
        <w:rPr>
          <w:lang w:val="en-US"/>
        </w:rPr>
      </w:pPr>
      <w:r w:rsidRPr="00582607">
        <w:rPr>
          <w:lang w:val="en-US"/>
        </w:rPr>
        <w:t xml:space="preserve">Devaux A, Di Tanna GL, </w:t>
      </w:r>
      <w:proofErr w:type="spellStart"/>
      <w:r w:rsidRPr="00582607">
        <w:rPr>
          <w:lang w:val="en-US"/>
        </w:rPr>
        <w:t>Dulhunty</w:t>
      </w:r>
      <w:proofErr w:type="spellEnd"/>
      <w:r w:rsidRPr="00582607">
        <w:rPr>
          <w:lang w:val="en-US"/>
        </w:rPr>
        <w:t xml:space="preserve"> JM, Elkady H, Eriksson L et al: </w:t>
      </w:r>
    </w:p>
    <w:p w14:paraId="13EC07AC" w14:textId="77777777" w:rsidR="00721576" w:rsidRDefault="00721576" w:rsidP="00721576">
      <w:pPr>
        <w:ind w:left="684" w:right="1950"/>
      </w:pPr>
      <w:r w:rsidRPr="00582607">
        <w:rPr>
          <w:lang w:val="en-US"/>
        </w:rPr>
        <w:t xml:space="preserve">Prolonged vs Intermittent Infusions of beta-Lactam Antibiotics in Adults With Sepsis or Septic Shock: A Systematic Review and </w:t>
      </w:r>
      <w:proofErr w:type="spellStart"/>
      <w:r w:rsidRPr="00582607">
        <w:rPr>
          <w:lang w:val="en-US"/>
        </w:rPr>
        <w:t>MetaAnalysis</w:t>
      </w:r>
      <w:proofErr w:type="spellEnd"/>
      <w:r w:rsidRPr="00582607">
        <w:rPr>
          <w:lang w:val="en-US"/>
        </w:rPr>
        <w:t xml:space="preserve">. </w:t>
      </w:r>
      <w:r>
        <w:t xml:space="preserve">JAMA 2024, 332(8):638-648. </w:t>
      </w:r>
    </w:p>
    <w:p w14:paraId="6A33C6EF" w14:textId="77777777" w:rsidR="001407FE" w:rsidRDefault="001407FE" w:rsidP="009A32ED">
      <w:pPr>
        <w:ind w:right="-143"/>
      </w:pPr>
    </w:p>
    <w:sectPr w:rsidR="001407FE" w:rsidSect="00B96AFF">
      <w:headerReference w:type="default" r:id="rId30"/>
      <w:footerReference w:type="even" r:id="rId31"/>
      <w:footerReference w:type="default" r:id="rId32"/>
      <w:headerReference w:type="first" r:id="rId33"/>
      <w:footerReference w:type="first" r:id="rId3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B520F1" w14:textId="77777777" w:rsidR="00175A83" w:rsidRDefault="00175A83">
      <w:r>
        <w:separator/>
      </w:r>
    </w:p>
  </w:endnote>
  <w:endnote w:type="continuationSeparator" w:id="0">
    <w:p w14:paraId="268A2DC5" w14:textId="77777777" w:rsidR="00175A83" w:rsidRDefault="00175A83">
      <w:r>
        <w:continuationSeparator/>
      </w:r>
    </w:p>
  </w:endnote>
  <w:endnote w:type="continuationNotice" w:id="1">
    <w:p w14:paraId="1B1ACD6C" w14:textId="77777777" w:rsidR="00175A83" w:rsidRDefault="00175A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051700041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DDB74A" w14:textId="77777777" w:rsidR="00175A83" w:rsidRDefault="00175A83"/>
  </w:footnote>
  <w:footnote w:type="continuationSeparator" w:id="0">
    <w:p w14:paraId="15FC16D5" w14:textId="77777777" w:rsidR="00175A83" w:rsidRDefault="00175A83">
      <w:r>
        <w:continuationSeparator/>
      </w:r>
    </w:p>
  </w:footnote>
  <w:footnote w:type="continuationNotice" w:id="1">
    <w:p w14:paraId="62757591" w14:textId="77777777" w:rsidR="00175A83" w:rsidRDefault="00175A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5A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2B6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22A6B"/>
    <w:rsid w:val="00131B08"/>
    <w:rsid w:val="00132A59"/>
    <w:rsid w:val="00133337"/>
    <w:rsid w:val="00133A0F"/>
    <w:rsid w:val="0013580F"/>
    <w:rsid w:val="00137B6D"/>
    <w:rsid w:val="0014070B"/>
    <w:rsid w:val="001407FE"/>
    <w:rsid w:val="001422C1"/>
    <w:rsid w:val="00142B46"/>
    <w:rsid w:val="001522AE"/>
    <w:rsid w:val="00157D5B"/>
    <w:rsid w:val="00161FE6"/>
    <w:rsid w:val="00164C3D"/>
    <w:rsid w:val="00166D3A"/>
    <w:rsid w:val="0017508E"/>
    <w:rsid w:val="00175A83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7B31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5406"/>
    <w:rsid w:val="002E6F81"/>
    <w:rsid w:val="002F08BA"/>
    <w:rsid w:val="002F14FB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4942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3FD9"/>
    <w:rsid w:val="004F4518"/>
    <w:rsid w:val="004F4C62"/>
    <w:rsid w:val="00501433"/>
    <w:rsid w:val="00511CC4"/>
    <w:rsid w:val="00531E60"/>
    <w:rsid w:val="00541D07"/>
    <w:rsid w:val="00544BAB"/>
    <w:rsid w:val="00545F31"/>
    <w:rsid w:val="00546334"/>
    <w:rsid w:val="00546350"/>
    <w:rsid w:val="005578FA"/>
    <w:rsid w:val="00565129"/>
    <w:rsid w:val="00565CD0"/>
    <w:rsid w:val="00567820"/>
    <w:rsid w:val="0057277B"/>
    <w:rsid w:val="005770AD"/>
    <w:rsid w:val="00581414"/>
    <w:rsid w:val="005821E6"/>
    <w:rsid w:val="00582490"/>
    <w:rsid w:val="00596559"/>
    <w:rsid w:val="00597E28"/>
    <w:rsid w:val="005A54ED"/>
    <w:rsid w:val="005A5D5B"/>
    <w:rsid w:val="005A6081"/>
    <w:rsid w:val="005A627D"/>
    <w:rsid w:val="005B3A9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636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605F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1576"/>
    <w:rsid w:val="007221C2"/>
    <w:rsid w:val="00725EB5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A1E"/>
    <w:rsid w:val="00831C35"/>
    <w:rsid w:val="00832B2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862"/>
    <w:rsid w:val="008A0C5F"/>
    <w:rsid w:val="008A3DEA"/>
    <w:rsid w:val="008A4EB9"/>
    <w:rsid w:val="008A4F85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1C2A"/>
    <w:rsid w:val="00942257"/>
    <w:rsid w:val="009471BF"/>
    <w:rsid w:val="00950E4E"/>
    <w:rsid w:val="00950E76"/>
    <w:rsid w:val="00951CF4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1A3C"/>
    <w:rsid w:val="00A73D1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0C95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CFA"/>
    <w:rsid w:val="00CE4B73"/>
    <w:rsid w:val="00CF70BB"/>
    <w:rsid w:val="00D00BD7"/>
    <w:rsid w:val="00D074DB"/>
    <w:rsid w:val="00D139CF"/>
    <w:rsid w:val="00D20779"/>
    <w:rsid w:val="00D250A2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1951"/>
    <w:rsid w:val="00DE4447"/>
    <w:rsid w:val="00DE5DA2"/>
    <w:rsid w:val="00DE63C6"/>
    <w:rsid w:val="00DF0033"/>
    <w:rsid w:val="00E026BF"/>
    <w:rsid w:val="00E03932"/>
    <w:rsid w:val="00E07B1B"/>
    <w:rsid w:val="00E10368"/>
    <w:rsid w:val="00E11853"/>
    <w:rsid w:val="00E411B6"/>
    <w:rsid w:val="00E436F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909"/>
    <w:rsid w:val="00FC4F36"/>
    <w:rsid w:val="00FD3C70"/>
    <w:rsid w:val="00FD6820"/>
    <w:rsid w:val="00FE12D8"/>
    <w:rsid w:val="00FE4876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table" w:customStyle="1" w:styleId="TableGrid">
    <w:name w:val="TableGrid"/>
    <w:rsid w:val="00721576"/>
    <w:rPr>
      <w:rFonts w:asciiTheme="minorHAnsi" w:eastAsiaTheme="minorEastAsia" w:hAnsiTheme="minorHAnsi" w:cstheme="minorBidi"/>
      <w:kern w:val="2"/>
      <w:sz w:val="24"/>
      <w:szCs w:val="24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infektion.net/wp-content/uploads/2022/07/rekommendation-om-kontinuerlig-infusion-av-betalaktamantibiotika-silf-2025-1.pdf" TargetMode="External" Id="rId13" /><Relationship Type="http://schemas.openxmlformats.org/officeDocument/2006/relationships/hyperlink" Target="https://infektion.net/wp-content/uploads/2022/07/rekommendation-om-kontinuerlig-infusion-av-betalaktamantibiotika-silf-2025-1.pdf" TargetMode="External" Id="rId18" /><Relationship Type="http://schemas.openxmlformats.org/officeDocument/2006/relationships/hyperlink" Target="https://infektion.net/wp-content/uploads/2022/07/rekommendation-om-kontinuerlig-infusion-av-betalaktamantibiotika-silf-2025-1.pdf" TargetMode="External" Id="rId26" /><Relationship Type="http://schemas.openxmlformats.org/officeDocument/2006/relationships/hyperlink" Target="https://infektion.net/wp-content/uploads/2022/07/rekommendation-om-kontinuerlig-infusion-av-betalaktamantibiotika-silf-2025-1.pdf" TargetMode="External" Id="rId21" /><Relationship Type="http://schemas.openxmlformats.org/officeDocument/2006/relationships/footer" Target="footer3.xml" Id="rId34" /><Relationship Type="http://schemas.openxmlformats.org/officeDocument/2006/relationships/settings" Target="settings.xml" Id="rId7" /><Relationship Type="http://schemas.openxmlformats.org/officeDocument/2006/relationships/hyperlink" Target="https://infektion.net/wp-content/uploads/2022/07/rekommendation-om-kontinuerlig-infusion-av-betalaktamantibiotika-silf-2025-1.pdf" TargetMode="External" Id="rId12" /><Relationship Type="http://schemas.openxmlformats.org/officeDocument/2006/relationships/hyperlink" Target="https://infektion.net/wp-content/uploads/2022/07/rekommendation-om-kontinuerlig-infusion-av-betalaktamantibiotika-silf-2025-1.pdf" TargetMode="External" Id="rId17" /><Relationship Type="http://schemas.openxmlformats.org/officeDocument/2006/relationships/hyperlink" Target="https://infektion.net/wp-content/uploads/2022/07/rekommendation-om-kontinuerlig-infusion-av-betalaktamantibiotika-silf-2025-1.pdf" TargetMode="External" Id="rId25" /><Relationship Type="http://schemas.openxmlformats.org/officeDocument/2006/relationships/header" Target="header2.xml" Id="rId33" /><Relationship Type="http://schemas.openxmlformats.org/officeDocument/2006/relationships/hyperlink" Target="https://infektion.net/wp-content/uploads/2022/07/rekommendation-om-kontinuerlig-infusion-av-betalaktamantibiotika-silf-2025-1.pdf" TargetMode="External" Id="rId16" /><Relationship Type="http://schemas.openxmlformats.org/officeDocument/2006/relationships/hyperlink" Target="https://infektion.net/wp-content/uploads/2022/07/rekommendation-om-kontinuerlig-infusion-av-betalaktamantibiotika-silf-2025-1.pdf" TargetMode="External" Id="rId20" /><Relationship Type="http://schemas.openxmlformats.org/officeDocument/2006/relationships/hyperlink" Target="https://infektion.net/wp-content/uploads/2022/07/rekommendation-om-kontinuerlig-infusion-av-betalaktamantibiotika-silf-2025-1.pdf" TargetMode="Externa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86-1525759947-63/SURROGATE/H%c3%a5llbarhet%20l%c3%a4kemedelsblandningar%20och%20infusionsl%c3%b6sningar.pdf" TargetMode="External" Id="rId11" /><Relationship Type="http://schemas.openxmlformats.org/officeDocument/2006/relationships/hyperlink" Target="https://infektion.net/wp-content/uploads/2022/07/rekommendation-om-kontinuerlig-infusion-av-betalaktamantibiotika-silf-2025-1.pdf" TargetMode="External" Id="rId24" /><Relationship Type="http://schemas.openxmlformats.org/officeDocument/2006/relationships/footer" Target="footer2.xml" Id="rId32" /><Relationship Type="http://schemas.openxmlformats.org/officeDocument/2006/relationships/numbering" Target="numbering.xml" Id="rId5" /><Relationship Type="http://schemas.openxmlformats.org/officeDocument/2006/relationships/hyperlink" Target="https://infektion.net/wp-content/uploads/2022/07/rekommendation-om-kontinuerlig-infusion-av-betalaktamantibiotika-silf-2025-1.pdf" TargetMode="External" Id="rId15" /><Relationship Type="http://schemas.openxmlformats.org/officeDocument/2006/relationships/hyperlink" Target="https://infektion.net/wp-content/uploads/2022/07/rekommendation-om-kontinuerlig-infusion-av-betalaktamantibiotika-silf-2025-1.pdf" TargetMode="External" Id="rId23" /><Relationship Type="http://schemas.openxmlformats.org/officeDocument/2006/relationships/hyperlink" Target="https://infektion.net/wp-content/uploads/2022/07/rekommendation-om-kontinuerlig-infusion-av-betalaktamantibiotika-silf-2025-1.pdf" TargetMode="External" Id="rId28" /><Relationship Type="http://schemas.openxmlformats.org/officeDocument/2006/relationships/theme" Target="theme/theme1.xml" Id="rId36" /><Relationship Type="http://schemas.openxmlformats.org/officeDocument/2006/relationships/endnotes" Target="endnotes.xml" Id="rId10" /><Relationship Type="http://schemas.openxmlformats.org/officeDocument/2006/relationships/hyperlink" Target="https://infektion.net/wp-content/uploads/2022/07/rekommendation-om-kontinuerlig-infusion-av-betalaktamantibiotika-silf-2025-1.pdf" TargetMode="External" Id="rId19" /><Relationship Type="http://schemas.openxmlformats.org/officeDocument/2006/relationships/footer" Target="footer1.xml" Id="rId31" /><Relationship Type="http://schemas.openxmlformats.org/officeDocument/2006/relationships/footnotes" Target="footnotes.xml" Id="rId9" /><Relationship Type="http://schemas.openxmlformats.org/officeDocument/2006/relationships/hyperlink" Target="https://infektion.net/wp-content/uploads/2022/07/rekommendation-om-kontinuerlig-infusion-av-betalaktamantibiotika-silf-2025-1.pdf" TargetMode="External" Id="rId14" /><Relationship Type="http://schemas.openxmlformats.org/officeDocument/2006/relationships/hyperlink" Target="https://infektion.net/wp-content/uploads/2022/07/rekommendation-om-kontinuerlig-infusion-av-betalaktamantibiotika-silf-2025-1.pdf" TargetMode="External" Id="rId22" /><Relationship Type="http://schemas.openxmlformats.org/officeDocument/2006/relationships/hyperlink" Target="https://infektion.net/wp-content/uploads/2022/07/rekommendation-om-kontinuerlig-infusion-av-betalaktamantibiotika-silf-2025-1.pdf" TargetMode="External" Id="rId27" /><Relationship Type="http://schemas.openxmlformats.org/officeDocument/2006/relationships/header" Target="header1.xml" Id="rId30" /><Relationship Type="http://schemas.openxmlformats.org/officeDocument/2006/relationships/fontTable" Target="fontTable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1274</Words>
  <Characters>6754</Characters>
  <Application>Microsoft Office Word</Application>
  <DocSecurity>0</DocSecurity>
  <Lines>56</Lines>
  <Paragraphs>16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8012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Kontinuerlig infusion av betalaktamantibiotika på IVA IMA</dc:title>
  <dc:subject/>
  <dc:creator/>
  <keywords/>
  <lastModifiedBy/>
  <revision>1</revision>
  <dcterms:created xsi:type="dcterms:W3CDTF">2025-08-13T12:29:00.0000000Z</dcterms:created>
  <dcterms:modified xsi:type="dcterms:W3CDTF">2025-11-24T10:34:00.0000000Z</dcterms:modified>
</coreProperties>
</file>