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EB71439" w14:textId="77777777" w:rsidR="00C06A81" w:rsidRDefault="00C06A81" w:rsidP="00F35B05">
      <w:pPr>
        <w:pStyle w:val="Rubrik2"/>
        <w:sectPr w:rsidR="00C06A81" w:rsidSect="00C06A81">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02562E51" w14:textId="77777777" w:rsidR="00C06A81" w:rsidRPr="00C06A81" w:rsidRDefault="00C06A81" w:rsidP="00C06A81">
      <w:pPr>
        <w:spacing w:after="0" w:line="240" w:lineRule="auto"/>
        <w:ind w:left="0" w:right="0"/>
        <w:rPr>
          <w:szCs w:val="20"/>
        </w:rPr>
      </w:pPr>
    </w:p>
    <w:p w14:paraId="3F3B9631" w14:textId="77777777" w:rsidR="00C06A81" w:rsidRPr="00C06A81" w:rsidRDefault="00C06A81" w:rsidP="00C06A81">
      <w:pPr>
        <w:spacing w:after="0" w:line="240" w:lineRule="auto"/>
        <w:ind w:left="0" w:right="0"/>
        <w:rPr>
          <w:szCs w:val="20"/>
        </w:rPr>
      </w:pPr>
    </w:p>
    <w:p w14:paraId="6BFDBB8E" w14:textId="77777777" w:rsidR="00C06A81" w:rsidRPr="00C06A81" w:rsidRDefault="00C06A81" w:rsidP="00C06A81">
      <w:pPr>
        <w:tabs>
          <w:tab w:val="left" w:pos="4590"/>
        </w:tabs>
        <w:spacing w:after="0" w:line="240" w:lineRule="auto"/>
        <w:ind w:left="0" w:right="0"/>
        <w:rPr>
          <w:szCs w:val="20"/>
        </w:rPr>
      </w:pPr>
      <w:r w:rsidRPr="00C06A81">
        <w:rPr>
          <w:szCs w:val="20"/>
        </w:rPr>
        <w:tab/>
      </w:r>
    </w:p>
    <w:p w14:paraId="00111AB2" w14:textId="5E85437B" w:rsidR="00C06A81" w:rsidRPr="00C06A81" w:rsidRDefault="00C06A81" w:rsidP="00C06A81">
      <w:pPr>
        <w:spacing w:after="0" w:line="240" w:lineRule="auto"/>
        <w:ind w:left="0" w:right="0"/>
        <w:rPr>
          <w:szCs w:val="20"/>
        </w:rPr>
      </w:pPr>
      <w:r w:rsidRPr="00C06A81">
        <w:rPr>
          <w:noProof/>
          <w:szCs w:val="20"/>
        </w:rPr>
        <mc:AlternateContent>
          <mc:Choice Requires="wps">
            <w:drawing>
              <wp:anchor distT="0" distB="0" distL="114300" distR="114300" simplePos="0" relativeHeight="251659264" behindDoc="0" locked="0" layoutInCell="1" allowOverlap="1" wp14:anchorId="3B1DA6C8" wp14:editId="266A7E8A">
                <wp:simplePos x="0" y="0"/>
                <wp:positionH relativeFrom="column">
                  <wp:posOffset>6518275</wp:posOffset>
                </wp:positionH>
                <wp:positionV relativeFrom="paragraph">
                  <wp:posOffset>78740</wp:posOffset>
                </wp:positionV>
                <wp:extent cx="1244600" cy="22288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B942C55" w14:textId="77777777" w:rsidR="00C06A81" w:rsidRPr="003D37FD" w:rsidRDefault="00C06A81" w:rsidP="00C06A81">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11303</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3B1DA6C8" id="_x0000_t202" coordsize="21600,21600" o:spt="202" path="m,l,21600r21600,l21600,xe">
                <v:stroke joinstyle="miter"/>
                <v:path gradientshapeok="t" o:connecttype="rect"/>
              </v:shapetype>
              <v:shape id="Text Box 1" o:spid="_x0000_s1026" type="#_x0000_t202"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7B942C55" w14:textId="77777777" w:rsidR="00C06A81" w:rsidRPr="003D37FD" w:rsidRDefault="00C06A81" w:rsidP="00C06A81">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11303</w:t>
                      </w:r>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C06A81" w:rsidRPr="00C06A81" w14:paraId="625C967A" w14:textId="77777777" w:rsidTr="00C35C4E">
        <w:trPr>
          <w:cantSplit/>
          <w:trHeight w:val="570"/>
        </w:trPr>
        <w:tc>
          <w:tcPr>
            <w:tcW w:w="9039" w:type="dxa"/>
            <w:tcBorders>
              <w:bottom w:val="single" w:sz="8" w:space="0" w:color="auto"/>
            </w:tcBorders>
            <w:tcMar>
              <w:left w:w="0" w:type="dxa"/>
              <w:right w:w="0" w:type="dxa"/>
            </w:tcMar>
            <w:vAlign w:val="bottom"/>
          </w:tcPr>
          <w:p w14:paraId="2B39C58E" w14:textId="77777777" w:rsidR="00C06A81" w:rsidRPr="00C06A81" w:rsidRDefault="00C06A81" w:rsidP="00BF6713">
            <w:pPr>
              <w:pStyle w:val="Rubrik1"/>
              <w:rPr>
                <w:noProof/>
                <w:sz w:val="32"/>
                <w:szCs w:val="20"/>
              </w:rPr>
            </w:pPr>
            <w:bookmarkStart w:id="1" w:name="_1314629194"/>
            <w:bookmarkStart w:id="2" w:name="Rubrik"/>
            <w:bookmarkEnd w:id="1"/>
            <w:bookmarkEnd w:id="2"/>
            <w:r w:rsidRPr="00C06A81">
              <w:rPr>
                <w:noProof/>
              </w:rPr>
              <w:t>Amputationer – handläggning</w:t>
            </w:r>
          </w:p>
        </w:tc>
      </w:tr>
    </w:tbl>
    <w:p w14:paraId="7DDCAA7C" w14:textId="77777777" w:rsidR="00BF6713" w:rsidRDefault="00BF6713" w:rsidP="00C06A81">
      <w:pPr>
        <w:keepNext/>
        <w:spacing w:after="0" w:line="240" w:lineRule="auto"/>
        <w:ind w:left="0" w:right="0"/>
        <w:outlineLvl w:val="0"/>
        <w:rPr>
          <w:rFonts w:ascii="Arial Fet" w:hAnsi="Arial Fet" w:cs="Arial"/>
          <w:b/>
          <w:bCs/>
          <w:kern w:val="32"/>
          <w:sz w:val="28"/>
          <w:szCs w:val="32"/>
        </w:rPr>
      </w:pPr>
    </w:p>
    <w:p w14:paraId="1505AF26" w14:textId="40E0745B" w:rsidR="00C06A81" w:rsidRDefault="00BF6713" w:rsidP="00BF6713">
      <w:pPr>
        <w:pStyle w:val="Rubrik2"/>
      </w:pPr>
      <w:r>
        <w:t>Revidering i denna version</w:t>
      </w:r>
    </w:p>
    <w:p w14:paraId="68215EF8" w14:textId="0182DD90" w:rsidR="00BF6713" w:rsidRPr="00BF6713" w:rsidRDefault="00BF6713" w:rsidP="00BF6713">
      <w:r>
        <w:t>Mindre förändringar.</w:t>
      </w:r>
    </w:p>
    <w:p w14:paraId="49ED94F1" w14:textId="77777777" w:rsidR="00BF6713" w:rsidRDefault="00BF6713" w:rsidP="00BF6713">
      <w:pPr>
        <w:pStyle w:val="Rubrik2"/>
        <w:ind w:right="707"/>
      </w:pPr>
      <w:r>
        <w:t>Bakgrund</w:t>
      </w:r>
    </w:p>
    <w:p w14:paraId="3A77B4CC" w14:textId="77777777" w:rsidR="00BF6713" w:rsidRDefault="00BF6713" w:rsidP="00BF6713">
      <w:pPr>
        <w:pStyle w:val="Brdtextmedindrag"/>
        <w:ind w:left="992" w:right="707"/>
        <w:rPr>
          <w:b w:val="0"/>
          <w:sz w:val="24"/>
        </w:rPr>
      </w:pPr>
      <w:r>
        <w:rPr>
          <w:b w:val="0"/>
          <w:sz w:val="24"/>
        </w:rPr>
        <w:t>Kärlsjukdomar är vanligaste orsaken till amputationer av nedre extremiteter men kan även orsakas av trauma, maligna sjukdomar och infektioner. De postoperativa smärtorna är ofta svåra och postoperativ epidural smärtbehandling är att rekommendera. Värdet av en till flera dagars förbehandling mot smärtor med ryggbedövning har inte kunnat visas i kontrollerade studier.</w:t>
      </w:r>
    </w:p>
    <w:p w14:paraId="1D5FC862" w14:textId="77777777" w:rsidR="00BF6713" w:rsidRDefault="00BF6713" w:rsidP="00BF6713">
      <w:pPr>
        <w:pStyle w:val="Rubrik2"/>
        <w:ind w:right="707"/>
      </w:pPr>
      <w:r>
        <w:t>Syfte</w:t>
      </w:r>
    </w:p>
    <w:p w14:paraId="061A72B7" w14:textId="69A4328E" w:rsidR="00BF6713" w:rsidRDefault="00BF6713" w:rsidP="00BF6713">
      <w:pPr>
        <w:pStyle w:val="Sidhuvud"/>
        <w:tabs>
          <w:tab w:val="left" w:pos="5520"/>
        </w:tabs>
        <w:ind w:right="707"/>
      </w:pPr>
      <w:r w:rsidRPr="00FC0275">
        <w:rPr>
          <w:bCs/>
          <w:lang w:eastAsia="en-US"/>
        </w:rPr>
        <w:t>Enhetlig och säker rutin vid handläggning av amputationer</w:t>
      </w:r>
      <w:r w:rsidRPr="00FC0275">
        <w:rPr>
          <w:bCs/>
        </w:rPr>
        <w:t xml:space="preserve">. </w:t>
      </w:r>
    </w:p>
    <w:p w14:paraId="3FAF7EDE" w14:textId="77777777" w:rsidR="00BF6713" w:rsidRDefault="00BF6713" w:rsidP="00FC0275">
      <w:pPr>
        <w:pStyle w:val="Rubrik2"/>
      </w:pPr>
      <w:r w:rsidRPr="00587C10">
        <w:t>Vilka berörs</w:t>
      </w:r>
    </w:p>
    <w:p w14:paraId="6597876B" w14:textId="650E68BD" w:rsidR="00BF6713" w:rsidRDefault="00BF6713" w:rsidP="00FC0275">
      <w:pPr>
        <w:pStyle w:val="Sidhuvud"/>
        <w:ind w:right="707"/>
        <w:rPr>
          <w:rFonts w:ascii="Arial" w:hAnsi="Arial" w:cs="Arial"/>
          <w:bCs/>
          <w:iCs/>
          <w:sz w:val="26"/>
          <w:szCs w:val="28"/>
        </w:rPr>
      </w:pPr>
      <w:r w:rsidRPr="00FC0275">
        <w:rPr>
          <w:bCs/>
          <w:lang w:eastAsia="en-US"/>
        </w:rPr>
        <w:t>Läkare och sjuksköterskor inom NU-sjukvården</w:t>
      </w:r>
      <w:r w:rsidR="00FC0275">
        <w:rPr>
          <w:bCs/>
          <w:lang w:eastAsia="en-US"/>
        </w:rPr>
        <w:t>.</w:t>
      </w:r>
    </w:p>
    <w:p w14:paraId="0132F761" w14:textId="77777777" w:rsidR="00BF6713" w:rsidRPr="00587C10" w:rsidRDefault="00BF6713" w:rsidP="00FC0275">
      <w:pPr>
        <w:pStyle w:val="Rubrik3"/>
      </w:pPr>
      <w:r w:rsidRPr="00587C10">
        <w:t>Medicinsk behandling</w:t>
      </w:r>
    </w:p>
    <w:p w14:paraId="1B49001C" w14:textId="0CACFB6B" w:rsidR="00BF6713" w:rsidRDefault="00BF6713" w:rsidP="00BF6713">
      <w:pPr>
        <w:pStyle w:val="Brdtextmedindrag"/>
        <w:tabs>
          <w:tab w:val="left" w:pos="540"/>
        </w:tabs>
        <w:ind w:left="992" w:right="707"/>
        <w:rPr>
          <w:b w:val="0"/>
          <w:sz w:val="24"/>
        </w:rPr>
      </w:pPr>
      <w:r>
        <w:rPr>
          <w:b w:val="0"/>
          <w:sz w:val="24"/>
        </w:rPr>
        <w:t>Pat som skall extremitetsamputeras anmäles och narkosbedömes på sedvanligt sätt.</w:t>
      </w:r>
    </w:p>
    <w:p w14:paraId="5A95EAAB" w14:textId="77777777" w:rsidR="00BF6713" w:rsidRDefault="00BF6713" w:rsidP="00BF6713">
      <w:pPr>
        <w:pStyle w:val="Brdtextmedindrag"/>
        <w:tabs>
          <w:tab w:val="left" w:pos="540"/>
        </w:tabs>
        <w:ind w:left="992" w:right="707"/>
        <w:rPr>
          <w:b w:val="0"/>
          <w:sz w:val="16"/>
        </w:rPr>
      </w:pPr>
    </w:p>
    <w:p w14:paraId="445885D0" w14:textId="77777777" w:rsidR="00BF6713" w:rsidRDefault="00BF6713" w:rsidP="00BF6713">
      <w:pPr>
        <w:pStyle w:val="Brdtextmedindrag"/>
        <w:tabs>
          <w:tab w:val="left" w:pos="540"/>
        </w:tabs>
        <w:ind w:left="992" w:right="707"/>
        <w:rPr>
          <w:b w:val="0"/>
          <w:sz w:val="24"/>
        </w:rPr>
      </w:pPr>
      <w:r>
        <w:rPr>
          <w:b w:val="0"/>
          <w:sz w:val="24"/>
        </w:rPr>
        <w:t>Amputationen bör ske i regional anestesi, helst med tung bedövning (spinalanestesi). De postoperativa smärtorna är regelbundet ofta svåra och postoperativ epidural smärtbehandling är att rekommendera. Denna påbörjas per- eller postoperativt på vanligt sätt med standardblandning EDA (enl. Breiviks).</w:t>
      </w:r>
    </w:p>
    <w:p w14:paraId="13125D13" w14:textId="77777777" w:rsidR="00BF6713" w:rsidRDefault="00BF6713" w:rsidP="00BF6713">
      <w:pPr>
        <w:pStyle w:val="Brdtextmedindrag"/>
        <w:tabs>
          <w:tab w:val="left" w:pos="540"/>
        </w:tabs>
        <w:ind w:left="992" w:right="707"/>
        <w:rPr>
          <w:b w:val="0"/>
          <w:sz w:val="24"/>
        </w:rPr>
      </w:pPr>
    </w:p>
    <w:p w14:paraId="42895394" w14:textId="77777777" w:rsidR="00BF6713" w:rsidRDefault="00BF6713" w:rsidP="00BF6713">
      <w:pPr>
        <w:pStyle w:val="Brdtextmedindrag"/>
        <w:tabs>
          <w:tab w:val="left" w:pos="540"/>
        </w:tabs>
        <w:ind w:left="992" w:right="707"/>
        <w:rPr>
          <w:b w:val="0"/>
          <w:sz w:val="24"/>
        </w:rPr>
      </w:pPr>
      <w:r>
        <w:rPr>
          <w:b w:val="0"/>
          <w:sz w:val="24"/>
        </w:rPr>
        <w:lastRenderedPageBreak/>
        <w:t>Överväg initiering av medicinering med pregabalin, då RTC- studier talar för att premedicinering (och fortsatt postoperativ medicinering) troligtvis har gynnsamma effekter i form av reducerat behov av annan analgetika, mindre postoperativ konfusion och lägre förekomst av PPP (Persistent Postoperative Pain).</w:t>
      </w:r>
    </w:p>
    <w:p w14:paraId="29583F04" w14:textId="77777777" w:rsidR="00BF6713" w:rsidRDefault="00BF6713" w:rsidP="00BF6713">
      <w:pPr>
        <w:pStyle w:val="Brdtextmedindrag"/>
        <w:tabs>
          <w:tab w:val="left" w:pos="540"/>
        </w:tabs>
        <w:ind w:left="992" w:right="707"/>
        <w:rPr>
          <w:b w:val="0"/>
          <w:sz w:val="16"/>
        </w:rPr>
      </w:pPr>
    </w:p>
    <w:p w14:paraId="397645A9" w14:textId="77777777" w:rsidR="00BF6713" w:rsidRDefault="00BF6713" w:rsidP="00BF6713">
      <w:pPr>
        <w:pStyle w:val="Brdtextmedindrag"/>
        <w:tabs>
          <w:tab w:val="left" w:pos="540"/>
        </w:tabs>
        <w:ind w:left="992" w:right="707"/>
        <w:rPr>
          <w:b w:val="0"/>
          <w:sz w:val="24"/>
        </w:rPr>
      </w:pPr>
      <w:r>
        <w:rPr>
          <w:b w:val="0"/>
          <w:sz w:val="24"/>
        </w:rPr>
        <w:t>Om kontraindikationer mot ryggbedövning föreligger sövs pat med sedvanliga metoder. Ketaminnarkos kan ha fördelar. I dessa fall skall pat erbjudas PCA-Morfin postoperativt, om tillämpligt.</w:t>
      </w:r>
    </w:p>
    <w:p w14:paraId="095B29A2" w14:textId="77777777" w:rsidR="00BF6713" w:rsidRDefault="00BF6713" w:rsidP="00BF6713">
      <w:pPr>
        <w:pStyle w:val="Brdtextmedindrag"/>
        <w:tabs>
          <w:tab w:val="left" w:pos="540"/>
        </w:tabs>
        <w:ind w:left="992" w:right="707"/>
        <w:rPr>
          <w:b w:val="0"/>
          <w:sz w:val="16"/>
        </w:rPr>
      </w:pPr>
    </w:p>
    <w:p w14:paraId="0958D909" w14:textId="77777777" w:rsidR="00BF6713" w:rsidRDefault="00BF6713" w:rsidP="00BF6713">
      <w:pPr>
        <w:pStyle w:val="Brdtextmedindrag"/>
        <w:tabs>
          <w:tab w:val="left" w:pos="540"/>
          <w:tab w:val="left" w:pos="5387"/>
        </w:tabs>
        <w:ind w:left="992" w:right="707"/>
        <w:rPr>
          <w:b w:val="0"/>
          <w:sz w:val="24"/>
        </w:rPr>
      </w:pPr>
      <w:r>
        <w:rPr>
          <w:b w:val="0"/>
          <w:sz w:val="24"/>
        </w:rPr>
        <w:t>Om pat står på opioider preoperativt behålls dessa per- och postoperativt i oförändrad dos, om pat är välinställd utan översedering och har haft denna dos i minst 1-2 veckor. Om påtagliga dosökningar gjorts senaste veckan reduceras dosen, t ex halveras. Om pat fått opioider bara sista 1-2 dygnen sätts det ut i samband med operationen. Observera att denna rekommendation om bibehållen opioidbehandling strider mot den ursprungliga Rutinen som reglerar opioidanvändning epiduralt på vårdavdelning, det är ett medvetet avsteg då pat bedöms som icke opioidnaiva.</w:t>
      </w:r>
    </w:p>
    <w:p w14:paraId="308AF60D" w14:textId="77777777" w:rsidR="00BF6713" w:rsidRDefault="00BF6713" w:rsidP="00BF6713">
      <w:pPr>
        <w:pStyle w:val="Brdtextmedindrag"/>
        <w:tabs>
          <w:tab w:val="left" w:pos="540"/>
          <w:tab w:val="left" w:pos="5387"/>
        </w:tabs>
        <w:ind w:left="992" w:right="707"/>
        <w:rPr>
          <w:b w:val="0"/>
          <w:sz w:val="16"/>
        </w:rPr>
      </w:pPr>
    </w:p>
    <w:p w14:paraId="5E0E2B02" w14:textId="77777777" w:rsidR="00BF6713" w:rsidRDefault="00BF6713" w:rsidP="00BF6713">
      <w:pPr>
        <w:pStyle w:val="Brdtextmedindrag"/>
        <w:tabs>
          <w:tab w:val="left" w:pos="540"/>
          <w:tab w:val="left" w:pos="5387"/>
        </w:tabs>
        <w:ind w:left="992" w:right="707"/>
        <w:rPr>
          <w:b w:val="0"/>
          <w:sz w:val="24"/>
        </w:rPr>
      </w:pPr>
      <w:r>
        <w:rPr>
          <w:b w:val="0"/>
          <w:sz w:val="24"/>
        </w:rPr>
        <w:t>Behandlingstid med EDA bör vara 5-7 dagar, avslutar man för tidigt är svårkuperade smärtor regel.</w:t>
      </w:r>
    </w:p>
    <w:p w14:paraId="6094E735" w14:textId="77777777" w:rsidR="00BF6713" w:rsidRDefault="00BF6713" w:rsidP="00BF6713">
      <w:pPr>
        <w:pStyle w:val="Brdtextmedindrag"/>
        <w:tabs>
          <w:tab w:val="left" w:pos="540"/>
          <w:tab w:val="left" w:pos="5387"/>
        </w:tabs>
        <w:ind w:left="992" w:right="707"/>
        <w:rPr>
          <w:b w:val="0"/>
          <w:sz w:val="16"/>
        </w:rPr>
      </w:pPr>
    </w:p>
    <w:p w14:paraId="4B76C348" w14:textId="77777777" w:rsidR="00BF6713" w:rsidRDefault="00BF6713" w:rsidP="00BF6713">
      <w:pPr>
        <w:pStyle w:val="Brdtextmedindrag"/>
        <w:tabs>
          <w:tab w:val="left" w:pos="540"/>
          <w:tab w:val="left" w:pos="5387"/>
        </w:tabs>
        <w:ind w:left="992" w:right="707"/>
        <w:rPr>
          <w:b w:val="0"/>
          <w:sz w:val="24"/>
        </w:rPr>
      </w:pPr>
      <w:r>
        <w:rPr>
          <w:b w:val="0"/>
          <w:sz w:val="24"/>
        </w:rPr>
        <w:t>Efter avslutad epidural smärtbehandling behöver pat oftast ytterligare 1-2 veckors behandling med opioider, antingen med PCA-Morfin någon vecka och peroral grunddos med långverkande opioider som trappas ut under loppet av 1-2 veckor, eller fortsatt peroral smärtbehandling (långverkade preparat som grundmedicinering) och då vid behov extradoser. Adjuvantisk behandling med Alvedon, NSAID eller Cox-2 inhibitor rekommenderas under den postoperativa perioden om kontraindikationer saknas.</w:t>
      </w:r>
    </w:p>
    <w:p w14:paraId="262E71A2" w14:textId="77777777" w:rsidR="00BF6713" w:rsidRDefault="00BF6713" w:rsidP="00BF6713">
      <w:pPr>
        <w:pStyle w:val="Brdtextmedindrag"/>
        <w:tabs>
          <w:tab w:val="left" w:pos="540"/>
          <w:tab w:val="left" w:pos="5387"/>
        </w:tabs>
        <w:ind w:left="992" w:right="707"/>
        <w:rPr>
          <w:b w:val="0"/>
          <w:sz w:val="16"/>
        </w:rPr>
      </w:pPr>
    </w:p>
    <w:p w14:paraId="5ECA0A79" w14:textId="77777777" w:rsidR="00BF6713" w:rsidRDefault="00BF6713" w:rsidP="00BF6713">
      <w:pPr>
        <w:pStyle w:val="Brdtextmedindrag"/>
        <w:tabs>
          <w:tab w:val="left" w:pos="540"/>
          <w:tab w:val="left" w:pos="5387"/>
        </w:tabs>
        <w:ind w:left="992" w:right="707"/>
        <w:rPr>
          <w:b w:val="0"/>
        </w:rPr>
      </w:pPr>
      <w:r>
        <w:rPr>
          <w:b w:val="0"/>
          <w:sz w:val="24"/>
        </w:rPr>
        <w:t>Man ska överväga sätta in sekundära analgetika om patienten inte har det sedan tidigare och om man misstänker neuropatisk komponent av smärta</w:t>
      </w:r>
    </w:p>
    <w:p w14:paraId="0800ADC2" w14:textId="77777777" w:rsidR="00BF6713" w:rsidRPr="00293906" w:rsidRDefault="00BF6713" w:rsidP="00BF6713">
      <w:pPr>
        <w:pStyle w:val="Sidhuvud"/>
        <w:tabs>
          <w:tab w:val="left" w:pos="5387"/>
        </w:tabs>
        <w:ind w:right="707"/>
      </w:pPr>
    </w:p>
    <w:p w14:paraId="1D16B13D" w14:textId="77777777" w:rsidR="00BF6713" w:rsidRPr="00587C10" w:rsidRDefault="00BF6713" w:rsidP="00BF6713">
      <w:pPr>
        <w:tabs>
          <w:tab w:val="left" w:pos="5387"/>
        </w:tabs>
        <w:ind w:right="707"/>
      </w:pPr>
    </w:p>
    <w:p w14:paraId="77F3043A" w14:textId="0A9A28C3" w:rsidR="00BF6713" w:rsidRPr="00C06A81" w:rsidRDefault="00BF6713" w:rsidP="00BF6713">
      <w:pPr>
        <w:keepNext/>
        <w:spacing w:after="0" w:line="240" w:lineRule="auto"/>
        <w:ind w:right="707"/>
        <w:outlineLvl w:val="0"/>
        <w:rPr>
          <w:rFonts w:ascii="Arial Fet" w:hAnsi="Arial Fet" w:cs="Arial"/>
          <w:b/>
          <w:bCs/>
          <w:kern w:val="32"/>
          <w:sz w:val="28"/>
          <w:szCs w:val="32"/>
        </w:rPr>
      </w:pPr>
      <w:r>
        <w:br/>
      </w:r>
      <w:bookmarkEnd w:id="0"/>
    </w:p>
    <w:sectPr w:rsidR="00BF6713" w:rsidRPr="00C06A81" w:rsidSect="00C06A81">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1AD1773" w14:textId="77777777" w:rsidR="00D45820" w:rsidRDefault="00D45820">
      <w:r>
        <w:separator/>
      </w:r>
    </w:p>
  </w:endnote>
  <w:endnote w:type="continuationSeparator" w:id="0">
    <w:p w14:paraId="2425A047" w14:textId="77777777" w:rsidR="00D45820" w:rsidRDefault="00D45820">
      <w:r>
        <w:continuationSeparator/>
      </w:r>
    </w:p>
  </w:endnote>
  <w:endnote w:type="continuationNotice" w:id="1">
    <w:p w14:paraId="74346C12" w14:textId="77777777" w:rsidR="00D45820" w:rsidRDefault="00D4582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13" name="Bildobjekt 1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1698E79" w14:textId="77777777" w:rsidR="00D45820" w:rsidRDefault="00D45820"/>
  </w:footnote>
  <w:footnote w:type="continuationSeparator" w:id="0">
    <w:p w14:paraId="06D8B9A7" w14:textId="77777777" w:rsidR="00D45820" w:rsidRDefault="00D45820">
      <w:r>
        <w:continuationSeparator/>
      </w:r>
    </w:p>
  </w:footnote>
  <w:footnote w:type="continuationNotice" w:id="1">
    <w:p w14:paraId="7A7740B8" w14:textId="77777777" w:rsidR="00D45820" w:rsidRDefault="00D4582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111317965">
    <w:abstractNumId w:val="17"/>
  </w:num>
  <w:num w:numId="2" w16cid:durableId="746655061">
    <w:abstractNumId w:val="14"/>
  </w:num>
  <w:num w:numId="3" w16cid:durableId="1731617134">
    <w:abstractNumId w:val="0"/>
  </w:num>
  <w:num w:numId="4" w16cid:durableId="1053697496">
    <w:abstractNumId w:val="6"/>
  </w:num>
  <w:num w:numId="5" w16cid:durableId="1131359816">
    <w:abstractNumId w:val="15"/>
  </w:num>
  <w:num w:numId="6" w16cid:durableId="1599409821">
    <w:abstractNumId w:val="2"/>
  </w:num>
  <w:num w:numId="7" w16cid:durableId="128400786">
    <w:abstractNumId w:val="11"/>
  </w:num>
  <w:num w:numId="8" w16cid:durableId="1611009459">
    <w:abstractNumId w:val="8"/>
  </w:num>
  <w:num w:numId="9" w16cid:durableId="2015646757">
    <w:abstractNumId w:val="1"/>
  </w:num>
  <w:num w:numId="10" w16cid:durableId="1278488294">
    <w:abstractNumId w:val="1"/>
  </w:num>
  <w:num w:numId="11" w16cid:durableId="370570927">
    <w:abstractNumId w:val="3"/>
  </w:num>
  <w:num w:numId="12" w16cid:durableId="1483036936">
    <w:abstractNumId w:val="4"/>
  </w:num>
  <w:num w:numId="13" w16cid:durableId="1025449211">
    <w:abstractNumId w:val="13"/>
  </w:num>
  <w:num w:numId="14" w16cid:durableId="1173106118">
    <w:abstractNumId w:val="9"/>
  </w:num>
  <w:num w:numId="15" w16cid:durableId="155462400">
    <w:abstractNumId w:val="7"/>
  </w:num>
  <w:num w:numId="16" w16cid:durableId="1264804827">
    <w:abstractNumId w:val="12"/>
  </w:num>
  <w:num w:numId="17" w16cid:durableId="1775126402">
    <w:abstractNumId w:val="5"/>
  </w:num>
  <w:num w:numId="18" w16cid:durableId="124126515">
    <w:abstractNumId w:val="10"/>
  </w:num>
  <w:num w:numId="19" w16cid:durableId="71362713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BF6713"/>
    <w:rsid w:val="00C06A81"/>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5820"/>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0275"/>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Brdtextmedindrag">
    <w:name w:val="Body Text Indent"/>
    <w:basedOn w:val="Normal"/>
    <w:link w:val="BrdtextmedindragChar"/>
    <w:rsid w:val="00BF6713"/>
    <w:pPr>
      <w:spacing w:after="0" w:line="240" w:lineRule="auto"/>
      <w:ind w:left="0" w:right="0"/>
    </w:pPr>
    <w:rPr>
      <w:b/>
      <w:sz w:val="28"/>
      <w:szCs w:val="20"/>
      <w:lang w:eastAsia="en-US"/>
    </w:rPr>
  </w:style>
  <w:style w:type="character" w:customStyle="1" w:styleId="BrdtextmedindragChar">
    <w:name w:val="Brödtext med indrag Char"/>
    <w:basedOn w:val="Standardstycketeckensnitt"/>
    <w:link w:val="Brdtextmedindrag"/>
    <w:rsid w:val="00BF6713"/>
    <w:rPr>
      <w:b/>
      <w:sz w:val="2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2</TotalTime>
  <Pages>2</Pages>
  <Words>442</Words>
  <Characters>2346</Characters>
  <Application>Microsoft Office Word</Application>
  <DocSecurity>0</DocSecurity>
  <Lines>19</Lines>
  <Paragraphs>5</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2783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Amputationer- handläggning</dc:title>
  <dc:subject/>
  <dc:creator>patrik.jens.johansson@vgregion.se</dc:creator>
  <keywords/>
  <lastModifiedBy>Carina Isbrand Fransson</lastModifiedBy>
  <revision>4</revision>
  <lastPrinted>2016-03-31T10:56:00.0000000Z</lastPrinted>
  <dcterms:created xsi:type="dcterms:W3CDTF">2022-05-24T03:41:00.0000000Z</dcterms:created>
  <dcterms:modified xsi:type="dcterms:W3CDTF">2024-02-08T08:56:00.0000000Z</dcterms:modified>
</coreProperties>
</file>