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4E36460B" w:rsidR="00184167" w:rsidRDefault="00692927" w:rsidP="009A32ED">
      <w:pPr>
        <w:pStyle w:val="Rubrik1"/>
      </w:pPr>
      <w:bookmarkStart w:id="0" w:name="_Toc239253400"/>
      <w:r>
        <w:t>Mobilisering på IVA och IMA</w:t>
      </w:r>
      <w:bookmarkEnd w:id="0"/>
      <w:r w:rsidR="00A264BE" w:rsidRPr="005A627D">
        <w:t xml:space="preserve"> </w:t>
      </w:r>
      <w:bookmarkStart w:id="1" w:name="_Toc321146591"/>
    </w:p>
    <w:p w14:paraId="11BC1DCA" w14:textId="77777777" w:rsidR="009A32ED" w:rsidRDefault="009A32ED" w:rsidP="009A32ED">
      <w:pPr>
        <w:pStyle w:val="Rubrik2"/>
        <w:ind w:right="-143"/>
      </w:pPr>
      <w:bookmarkStart w:id="2" w:name="_Toc100327184"/>
      <w:bookmarkStart w:id="3" w:name="_Toc181866756"/>
      <w:bookmarkStart w:id="4" w:name="_Toc239253401"/>
      <w:bookmarkEnd w:id="1"/>
      <w:r>
        <w:t>Förändringar sedan föregående version</w:t>
      </w:r>
      <w:bookmarkEnd w:id="2"/>
      <w:bookmarkEnd w:id="3"/>
      <w:bookmarkEnd w:id="4"/>
    </w:p>
    <w:p w14:paraId="1A7CA5D5" w14:textId="77777777" w:rsidR="00544A26" w:rsidRDefault="00544A26" w:rsidP="00544A26">
      <w:pPr>
        <w:rPr>
          <w:rFonts w:eastAsia="Georgia"/>
        </w:rPr>
      </w:pPr>
      <w:bookmarkStart w:id="5" w:name="_Toc72840807"/>
      <w:bookmarkStart w:id="6" w:name="_Toc181866757"/>
      <w:bookmarkStart w:id="7" w:name="_Toc100327185"/>
      <w:r w:rsidRPr="70531174">
        <w:rPr>
          <w:rFonts w:eastAsia="Georgia"/>
        </w:rPr>
        <w:t xml:space="preserve">Uppdaterad med nya tabeller för lättare läsning och för att lättare hitta rätt information. </w:t>
      </w:r>
    </w:p>
    <w:bookmarkEnd w:id="7" w:displacedByCustomXml="next"/>
    <w:bookmarkEnd w:id="6" w:displacedByCustomXml="next"/>
    <w:sdt>
      <w:sdtPr>
        <w:rPr>
          <w:rFonts w:ascii="Georgia" w:eastAsia="Times New Roman" w:hAnsi="Georgia" w:cs="Times New Roman"/>
          <w:bCs w:val="0"/>
          <w:color w:val="auto"/>
          <w:sz w:val="24"/>
          <w:szCs w:val="24"/>
        </w:rPr>
        <w:id w:val="-593711071"/>
        <w:docPartObj>
          <w:docPartGallery w:val="Table of Contents"/>
          <w:docPartUnique/>
        </w:docPartObj>
      </w:sdtPr>
      <w:sdtEndPr>
        <w:rPr>
          <w:b/>
        </w:rPr>
      </w:sdtEndPr>
      <w:sdtContent>
        <w:p w14:paraId="272DFE63" w14:textId="7803CFFD" w:rsidR="00D210E8" w:rsidRDefault="00D210E8" w:rsidP="00D210E8">
          <w:pPr>
            <w:pStyle w:val="Rubrik2"/>
          </w:pPr>
          <w:r>
            <w:t>Innehållsförteckning</w:t>
          </w:r>
        </w:p>
        <w:p w14:paraId="2F6EBEEA" w14:textId="4163FD84" w:rsidR="00D210E8" w:rsidRPr="00D210E8" w:rsidRDefault="00D210E8" w:rsidP="00D210E8">
          <w:pPr>
            <w:pStyle w:val="Innehll1"/>
            <w:rPr>
              <w:rFonts w:asciiTheme="minorHAnsi" w:eastAsiaTheme="minorEastAsia" w:hAnsiTheme="minorHAnsi" w:cstheme="minorBidi"/>
              <w:kern w:val="2"/>
              <w14:ligatures w14:val="standardContextual"/>
            </w:rPr>
          </w:pPr>
          <w:r>
            <w:fldChar w:fldCharType="begin"/>
          </w:r>
          <w:r>
            <w:instrText xml:space="preserve"> TOC \o "1-3" \h \z \u </w:instrText>
          </w:r>
          <w:r>
            <w:fldChar w:fldCharType="separate"/>
          </w:r>
          <w:hyperlink w:anchor="_Toc239253402" w:history="1">
            <w:r w:rsidRPr="00D210E8">
              <w:rPr>
                <w:rStyle w:val="Hyperlnk"/>
              </w:rPr>
              <w:t>Bakgrund och syfte</w:t>
            </w:r>
            <w:r w:rsidRPr="00D210E8">
              <w:rPr>
                <w:webHidden/>
              </w:rPr>
              <w:tab/>
            </w:r>
            <w:r w:rsidRPr="00D210E8">
              <w:rPr>
                <w:webHidden/>
              </w:rPr>
              <w:fldChar w:fldCharType="begin"/>
            </w:r>
            <w:r w:rsidRPr="00D210E8">
              <w:rPr>
                <w:webHidden/>
              </w:rPr>
              <w:instrText xml:space="preserve"> PAGEREF _Toc239253402 \h </w:instrText>
            </w:r>
            <w:r w:rsidRPr="00D210E8">
              <w:rPr>
                <w:webHidden/>
              </w:rPr>
            </w:r>
            <w:r w:rsidRPr="00D210E8">
              <w:rPr>
                <w:webHidden/>
              </w:rPr>
              <w:fldChar w:fldCharType="separate"/>
            </w:r>
            <w:r w:rsidR="00AF4AC9">
              <w:rPr>
                <w:webHidden/>
              </w:rPr>
              <w:t>1</w:t>
            </w:r>
            <w:r w:rsidRPr="00D210E8">
              <w:rPr>
                <w:webHidden/>
              </w:rPr>
              <w:fldChar w:fldCharType="end"/>
            </w:r>
          </w:hyperlink>
        </w:p>
        <w:p w14:paraId="469EF139" w14:textId="3BCE8D0E" w:rsidR="00D210E8" w:rsidRPr="00D210E8" w:rsidRDefault="00D210E8" w:rsidP="00D210E8">
          <w:pPr>
            <w:pStyle w:val="Innehll2"/>
            <w:rPr>
              <w:rFonts w:asciiTheme="minorHAnsi" w:eastAsiaTheme="minorEastAsia" w:hAnsiTheme="minorHAnsi" w:cstheme="minorBidi"/>
              <w:kern w:val="2"/>
              <w14:ligatures w14:val="standardContextual"/>
            </w:rPr>
          </w:pPr>
          <w:hyperlink w:anchor="_Toc239253403" w:history="1">
            <w:r w:rsidRPr="00D210E8">
              <w:rPr>
                <w:rStyle w:val="Hyperlnk"/>
              </w:rPr>
              <w:t>Vilka berörs</w:t>
            </w:r>
            <w:r w:rsidRPr="00D210E8">
              <w:rPr>
                <w:webHidden/>
              </w:rPr>
              <w:tab/>
            </w:r>
            <w:r w:rsidRPr="00D210E8">
              <w:rPr>
                <w:webHidden/>
              </w:rPr>
              <w:fldChar w:fldCharType="begin"/>
            </w:r>
            <w:r w:rsidRPr="00D210E8">
              <w:rPr>
                <w:webHidden/>
              </w:rPr>
              <w:instrText xml:space="preserve"> PAGEREF _Toc239253403 \h </w:instrText>
            </w:r>
            <w:r w:rsidRPr="00D210E8">
              <w:rPr>
                <w:webHidden/>
              </w:rPr>
            </w:r>
            <w:r w:rsidRPr="00D210E8">
              <w:rPr>
                <w:webHidden/>
              </w:rPr>
              <w:fldChar w:fldCharType="separate"/>
            </w:r>
            <w:r w:rsidR="00AF4AC9">
              <w:rPr>
                <w:webHidden/>
              </w:rPr>
              <w:t>2</w:t>
            </w:r>
            <w:r w:rsidRPr="00D210E8">
              <w:rPr>
                <w:webHidden/>
              </w:rPr>
              <w:fldChar w:fldCharType="end"/>
            </w:r>
          </w:hyperlink>
        </w:p>
        <w:p w14:paraId="5A98E5DB" w14:textId="4C49065B" w:rsidR="00D210E8" w:rsidRPr="00D210E8" w:rsidRDefault="00D210E8" w:rsidP="00D210E8">
          <w:pPr>
            <w:pStyle w:val="Innehll2"/>
            <w:rPr>
              <w:rFonts w:asciiTheme="minorHAnsi" w:eastAsiaTheme="minorEastAsia" w:hAnsiTheme="minorHAnsi" w:cstheme="minorBidi"/>
              <w:kern w:val="2"/>
              <w14:ligatures w14:val="standardContextual"/>
            </w:rPr>
          </w:pPr>
          <w:hyperlink w:anchor="_Toc239253404" w:history="1">
            <w:r w:rsidRPr="00D210E8">
              <w:rPr>
                <w:rStyle w:val="Hyperlnk"/>
              </w:rPr>
              <w:t>Mål</w:t>
            </w:r>
            <w:r w:rsidRPr="00D210E8">
              <w:rPr>
                <w:webHidden/>
              </w:rPr>
              <w:tab/>
            </w:r>
            <w:r w:rsidRPr="00D210E8">
              <w:rPr>
                <w:webHidden/>
              </w:rPr>
              <w:fldChar w:fldCharType="begin"/>
            </w:r>
            <w:r w:rsidRPr="00D210E8">
              <w:rPr>
                <w:webHidden/>
              </w:rPr>
              <w:instrText xml:space="preserve"> PAGEREF _Toc239253404 \h </w:instrText>
            </w:r>
            <w:r w:rsidRPr="00D210E8">
              <w:rPr>
                <w:webHidden/>
              </w:rPr>
            </w:r>
            <w:r w:rsidRPr="00D210E8">
              <w:rPr>
                <w:webHidden/>
              </w:rPr>
              <w:fldChar w:fldCharType="separate"/>
            </w:r>
            <w:r w:rsidR="00AF4AC9">
              <w:rPr>
                <w:webHidden/>
              </w:rPr>
              <w:t>2</w:t>
            </w:r>
            <w:r w:rsidRPr="00D210E8">
              <w:rPr>
                <w:webHidden/>
              </w:rPr>
              <w:fldChar w:fldCharType="end"/>
            </w:r>
          </w:hyperlink>
        </w:p>
        <w:p w14:paraId="36B6EDB5" w14:textId="2E6F6365" w:rsidR="00D210E8" w:rsidRDefault="00D210E8">
          <w:pPr>
            <w:pStyle w:val="Innehll3"/>
            <w:tabs>
              <w:tab w:val="right" w:leader="dot" w:pos="8919"/>
            </w:tabs>
            <w:rPr>
              <w:rFonts w:asciiTheme="minorHAnsi" w:eastAsiaTheme="minorEastAsia" w:hAnsiTheme="minorHAnsi" w:cstheme="minorBidi"/>
              <w:noProof/>
              <w:kern w:val="2"/>
              <w14:ligatures w14:val="standardContextual"/>
            </w:rPr>
          </w:pPr>
          <w:hyperlink w:anchor="_Toc239253405" w:history="1">
            <w:r w:rsidRPr="00A472D7">
              <w:rPr>
                <w:rStyle w:val="Hyperlnk"/>
                <w:noProof/>
              </w:rPr>
              <w:t>Positiva effekter med mobilisering</w:t>
            </w:r>
            <w:r>
              <w:rPr>
                <w:noProof/>
                <w:webHidden/>
              </w:rPr>
              <w:tab/>
            </w:r>
            <w:r>
              <w:rPr>
                <w:noProof/>
                <w:webHidden/>
              </w:rPr>
              <w:fldChar w:fldCharType="begin"/>
            </w:r>
            <w:r>
              <w:rPr>
                <w:noProof/>
                <w:webHidden/>
              </w:rPr>
              <w:instrText xml:space="preserve"> PAGEREF _Toc239253405 \h </w:instrText>
            </w:r>
            <w:r>
              <w:rPr>
                <w:noProof/>
                <w:webHidden/>
              </w:rPr>
            </w:r>
            <w:r>
              <w:rPr>
                <w:noProof/>
                <w:webHidden/>
              </w:rPr>
              <w:fldChar w:fldCharType="separate"/>
            </w:r>
            <w:r w:rsidR="00AF4AC9">
              <w:rPr>
                <w:noProof/>
                <w:webHidden/>
              </w:rPr>
              <w:t>3</w:t>
            </w:r>
            <w:r>
              <w:rPr>
                <w:noProof/>
                <w:webHidden/>
              </w:rPr>
              <w:fldChar w:fldCharType="end"/>
            </w:r>
          </w:hyperlink>
        </w:p>
        <w:p w14:paraId="22CA08DB" w14:textId="29AFC08C" w:rsidR="00D210E8" w:rsidRPr="00D210E8" w:rsidRDefault="00D210E8" w:rsidP="00D210E8">
          <w:pPr>
            <w:pStyle w:val="Innehll2"/>
            <w:rPr>
              <w:rFonts w:asciiTheme="minorHAnsi" w:eastAsiaTheme="minorEastAsia" w:hAnsiTheme="minorHAnsi" w:cstheme="minorBidi"/>
              <w:kern w:val="2"/>
              <w14:ligatures w14:val="standardContextual"/>
            </w:rPr>
          </w:pPr>
          <w:hyperlink w:anchor="_Toc239253406" w:history="1">
            <w:r w:rsidRPr="00D210E8">
              <w:rPr>
                <w:rStyle w:val="Hyperlnk"/>
              </w:rPr>
              <w:t>Utförande</w:t>
            </w:r>
            <w:r w:rsidRPr="00D210E8">
              <w:rPr>
                <w:webHidden/>
              </w:rPr>
              <w:tab/>
            </w:r>
            <w:r w:rsidRPr="00D210E8">
              <w:rPr>
                <w:webHidden/>
              </w:rPr>
              <w:fldChar w:fldCharType="begin"/>
            </w:r>
            <w:r w:rsidRPr="00D210E8">
              <w:rPr>
                <w:webHidden/>
              </w:rPr>
              <w:instrText xml:space="preserve"> PAGEREF _Toc239253406 \h </w:instrText>
            </w:r>
            <w:r w:rsidRPr="00D210E8">
              <w:rPr>
                <w:webHidden/>
              </w:rPr>
            </w:r>
            <w:r w:rsidRPr="00D210E8">
              <w:rPr>
                <w:webHidden/>
              </w:rPr>
              <w:fldChar w:fldCharType="separate"/>
            </w:r>
            <w:r w:rsidR="00AF4AC9">
              <w:rPr>
                <w:webHidden/>
              </w:rPr>
              <w:t>3</w:t>
            </w:r>
            <w:r w:rsidRPr="00D210E8">
              <w:rPr>
                <w:webHidden/>
              </w:rPr>
              <w:fldChar w:fldCharType="end"/>
            </w:r>
          </w:hyperlink>
        </w:p>
        <w:p w14:paraId="3BC273B4" w14:textId="33F8AA1F" w:rsidR="00D210E8" w:rsidRDefault="00D210E8">
          <w:pPr>
            <w:pStyle w:val="Innehll3"/>
            <w:tabs>
              <w:tab w:val="left" w:pos="960"/>
              <w:tab w:val="right" w:leader="dot" w:pos="8919"/>
            </w:tabs>
            <w:rPr>
              <w:rFonts w:asciiTheme="minorHAnsi" w:eastAsiaTheme="minorEastAsia" w:hAnsiTheme="minorHAnsi" w:cstheme="minorBidi"/>
              <w:noProof/>
              <w:kern w:val="2"/>
              <w14:ligatures w14:val="standardContextual"/>
            </w:rPr>
          </w:pPr>
          <w:hyperlink w:anchor="_Toc239253407" w:history="1">
            <w:r w:rsidRPr="00A472D7">
              <w:rPr>
                <w:rStyle w:val="Hyperlnk"/>
                <w:noProof/>
              </w:rPr>
              <w:t>1.</w:t>
            </w:r>
            <w:r>
              <w:rPr>
                <w:rFonts w:asciiTheme="minorHAnsi" w:eastAsiaTheme="minorEastAsia" w:hAnsiTheme="minorHAnsi" w:cstheme="minorBidi"/>
                <w:noProof/>
                <w:kern w:val="2"/>
                <w14:ligatures w14:val="standardContextual"/>
              </w:rPr>
              <w:tab/>
            </w:r>
            <w:r w:rsidRPr="00A472D7">
              <w:rPr>
                <w:rStyle w:val="Hyperlnk"/>
                <w:noProof/>
              </w:rPr>
              <w:t>Bedsidebedömning och mobiliseringsmål</w:t>
            </w:r>
            <w:r>
              <w:rPr>
                <w:noProof/>
                <w:webHidden/>
              </w:rPr>
              <w:tab/>
            </w:r>
            <w:r>
              <w:rPr>
                <w:noProof/>
                <w:webHidden/>
              </w:rPr>
              <w:fldChar w:fldCharType="begin"/>
            </w:r>
            <w:r>
              <w:rPr>
                <w:noProof/>
                <w:webHidden/>
              </w:rPr>
              <w:instrText xml:space="preserve"> PAGEREF _Toc239253407 \h </w:instrText>
            </w:r>
            <w:r>
              <w:rPr>
                <w:noProof/>
                <w:webHidden/>
              </w:rPr>
            </w:r>
            <w:r>
              <w:rPr>
                <w:noProof/>
                <w:webHidden/>
              </w:rPr>
              <w:fldChar w:fldCharType="separate"/>
            </w:r>
            <w:r w:rsidR="00AF4AC9">
              <w:rPr>
                <w:noProof/>
                <w:webHidden/>
              </w:rPr>
              <w:t>3</w:t>
            </w:r>
            <w:r>
              <w:rPr>
                <w:noProof/>
                <w:webHidden/>
              </w:rPr>
              <w:fldChar w:fldCharType="end"/>
            </w:r>
          </w:hyperlink>
        </w:p>
        <w:p w14:paraId="2DDD986F" w14:textId="42F13506" w:rsidR="00D210E8" w:rsidRDefault="00D210E8">
          <w:pPr>
            <w:pStyle w:val="Innehll3"/>
            <w:tabs>
              <w:tab w:val="left" w:pos="960"/>
              <w:tab w:val="right" w:leader="dot" w:pos="8919"/>
            </w:tabs>
            <w:rPr>
              <w:rFonts w:asciiTheme="minorHAnsi" w:eastAsiaTheme="minorEastAsia" w:hAnsiTheme="minorHAnsi" w:cstheme="minorBidi"/>
              <w:noProof/>
              <w:kern w:val="2"/>
              <w14:ligatures w14:val="standardContextual"/>
            </w:rPr>
          </w:pPr>
          <w:hyperlink w:anchor="_Toc239253408" w:history="1">
            <w:r w:rsidRPr="00A472D7">
              <w:rPr>
                <w:rStyle w:val="Hyperlnk"/>
                <w:noProof/>
              </w:rPr>
              <w:t>2.</w:t>
            </w:r>
            <w:r>
              <w:rPr>
                <w:rFonts w:asciiTheme="minorHAnsi" w:eastAsiaTheme="minorEastAsia" w:hAnsiTheme="minorHAnsi" w:cstheme="minorBidi"/>
                <w:noProof/>
                <w:kern w:val="2"/>
                <w14:ligatures w14:val="standardContextual"/>
              </w:rPr>
              <w:tab/>
            </w:r>
            <w:r w:rsidRPr="00A472D7">
              <w:rPr>
                <w:rStyle w:val="Hyperlnk"/>
                <w:noProof/>
              </w:rPr>
              <w:t>Kontraindikationer för mobilisering</w:t>
            </w:r>
            <w:r>
              <w:rPr>
                <w:noProof/>
                <w:webHidden/>
              </w:rPr>
              <w:tab/>
            </w:r>
            <w:r>
              <w:rPr>
                <w:noProof/>
                <w:webHidden/>
              </w:rPr>
              <w:fldChar w:fldCharType="begin"/>
            </w:r>
            <w:r>
              <w:rPr>
                <w:noProof/>
                <w:webHidden/>
              </w:rPr>
              <w:instrText xml:space="preserve"> PAGEREF _Toc239253408 \h </w:instrText>
            </w:r>
            <w:r>
              <w:rPr>
                <w:noProof/>
                <w:webHidden/>
              </w:rPr>
            </w:r>
            <w:r>
              <w:rPr>
                <w:noProof/>
                <w:webHidden/>
              </w:rPr>
              <w:fldChar w:fldCharType="separate"/>
            </w:r>
            <w:r w:rsidR="00AF4AC9">
              <w:rPr>
                <w:noProof/>
                <w:webHidden/>
              </w:rPr>
              <w:t>4</w:t>
            </w:r>
            <w:r>
              <w:rPr>
                <w:noProof/>
                <w:webHidden/>
              </w:rPr>
              <w:fldChar w:fldCharType="end"/>
            </w:r>
          </w:hyperlink>
        </w:p>
        <w:p w14:paraId="292D9E36" w14:textId="26919FB1" w:rsidR="00D210E8" w:rsidRDefault="00D210E8">
          <w:pPr>
            <w:pStyle w:val="Innehll3"/>
            <w:tabs>
              <w:tab w:val="left" w:pos="960"/>
              <w:tab w:val="right" w:leader="dot" w:pos="8919"/>
            </w:tabs>
            <w:rPr>
              <w:rFonts w:asciiTheme="minorHAnsi" w:eastAsiaTheme="minorEastAsia" w:hAnsiTheme="minorHAnsi" w:cstheme="minorBidi"/>
              <w:noProof/>
              <w:kern w:val="2"/>
              <w14:ligatures w14:val="standardContextual"/>
            </w:rPr>
          </w:pPr>
          <w:hyperlink w:anchor="_Toc239253409" w:history="1">
            <w:r w:rsidRPr="00A472D7">
              <w:rPr>
                <w:rStyle w:val="Hyperlnk"/>
                <w:noProof/>
              </w:rPr>
              <w:t>3.</w:t>
            </w:r>
            <w:r>
              <w:rPr>
                <w:rFonts w:asciiTheme="minorHAnsi" w:eastAsiaTheme="minorEastAsia" w:hAnsiTheme="minorHAnsi" w:cstheme="minorBidi"/>
                <w:noProof/>
                <w:kern w:val="2"/>
                <w14:ligatures w14:val="standardContextual"/>
              </w:rPr>
              <w:tab/>
            </w:r>
            <w:r w:rsidRPr="00A472D7">
              <w:rPr>
                <w:rStyle w:val="Hyperlnk"/>
                <w:noProof/>
              </w:rPr>
              <w:t>Sederingsnivå/smärtlindringsbehov</w:t>
            </w:r>
            <w:r>
              <w:rPr>
                <w:noProof/>
                <w:webHidden/>
              </w:rPr>
              <w:tab/>
            </w:r>
            <w:r>
              <w:rPr>
                <w:noProof/>
                <w:webHidden/>
              </w:rPr>
              <w:fldChar w:fldCharType="begin"/>
            </w:r>
            <w:r>
              <w:rPr>
                <w:noProof/>
                <w:webHidden/>
              </w:rPr>
              <w:instrText xml:space="preserve"> PAGEREF _Toc239253409 \h </w:instrText>
            </w:r>
            <w:r>
              <w:rPr>
                <w:noProof/>
                <w:webHidden/>
              </w:rPr>
            </w:r>
            <w:r>
              <w:rPr>
                <w:noProof/>
                <w:webHidden/>
              </w:rPr>
              <w:fldChar w:fldCharType="separate"/>
            </w:r>
            <w:r w:rsidR="00AF4AC9">
              <w:rPr>
                <w:noProof/>
                <w:webHidden/>
              </w:rPr>
              <w:t>5</w:t>
            </w:r>
            <w:r>
              <w:rPr>
                <w:noProof/>
                <w:webHidden/>
              </w:rPr>
              <w:fldChar w:fldCharType="end"/>
            </w:r>
          </w:hyperlink>
        </w:p>
        <w:p w14:paraId="561B46D2" w14:textId="382E7DBB" w:rsidR="00D210E8" w:rsidRDefault="00D210E8">
          <w:pPr>
            <w:pStyle w:val="Innehll3"/>
            <w:tabs>
              <w:tab w:val="left" w:pos="960"/>
              <w:tab w:val="right" w:leader="dot" w:pos="8919"/>
            </w:tabs>
            <w:rPr>
              <w:rFonts w:asciiTheme="minorHAnsi" w:eastAsiaTheme="minorEastAsia" w:hAnsiTheme="minorHAnsi" w:cstheme="minorBidi"/>
              <w:noProof/>
              <w:kern w:val="2"/>
              <w14:ligatures w14:val="standardContextual"/>
            </w:rPr>
          </w:pPr>
          <w:hyperlink w:anchor="_Toc239253410" w:history="1">
            <w:r w:rsidRPr="00A472D7">
              <w:rPr>
                <w:rStyle w:val="Hyperlnk"/>
                <w:noProof/>
              </w:rPr>
              <w:t>4.</w:t>
            </w:r>
            <w:r>
              <w:rPr>
                <w:rFonts w:asciiTheme="minorHAnsi" w:eastAsiaTheme="minorEastAsia" w:hAnsiTheme="minorHAnsi" w:cstheme="minorBidi"/>
                <w:noProof/>
                <w:kern w:val="2"/>
                <w14:ligatures w14:val="standardContextual"/>
              </w:rPr>
              <w:tab/>
            </w:r>
            <w:r w:rsidRPr="00A472D7">
              <w:rPr>
                <w:rStyle w:val="Hyperlnk"/>
                <w:noProof/>
              </w:rPr>
              <w:t>Utförande av mobilisering</w:t>
            </w:r>
            <w:r>
              <w:rPr>
                <w:noProof/>
                <w:webHidden/>
              </w:rPr>
              <w:tab/>
            </w:r>
            <w:r>
              <w:rPr>
                <w:noProof/>
                <w:webHidden/>
              </w:rPr>
              <w:fldChar w:fldCharType="begin"/>
            </w:r>
            <w:r>
              <w:rPr>
                <w:noProof/>
                <w:webHidden/>
              </w:rPr>
              <w:instrText xml:space="preserve"> PAGEREF _Toc239253410 \h </w:instrText>
            </w:r>
            <w:r>
              <w:rPr>
                <w:noProof/>
                <w:webHidden/>
              </w:rPr>
            </w:r>
            <w:r>
              <w:rPr>
                <w:noProof/>
                <w:webHidden/>
              </w:rPr>
              <w:fldChar w:fldCharType="separate"/>
            </w:r>
            <w:r w:rsidR="00AF4AC9">
              <w:rPr>
                <w:noProof/>
                <w:webHidden/>
              </w:rPr>
              <w:t>5</w:t>
            </w:r>
            <w:r>
              <w:rPr>
                <w:noProof/>
                <w:webHidden/>
              </w:rPr>
              <w:fldChar w:fldCharType="end"/>
            </w:r>
          </w:hyperlink>
        </w:p>
        <w:p w14:paraId="6F78D1E2" w14:textId="3AFDD014" w:rsidR="00D210E8" w:rsidRDefault="00D210E8">
          <w:pPr>
            <w:pStyle w:val="Innehll3"/>
            <w:tabs>
              <w:tab w:val="left" w:pos="960"/>
              <w:tab w:val="right" w:leader="dot" w:pos="8919"/>
            </w:tabs>
            <w:rPr>
              <w:rFonts w:asciiTheme="minorHAnsi" w:eastAsiaTheme="minorEastAsia" w:hAnsiTheme="minorHAnsi" w:cstheme="minorBidi"/>
              <w:noProof/>
              <w:kern w:val="2"/>
              <w14:ligatures w14:val="standardContextual"/>
            </w:rPr>
          </w:pPr>
          <w:hyperlink w:anchor="_Toc239253411" w:history="1">
            <w:r w:rsidRPr="00A472D7">
              <w:rPr>
                <w:rStyle w:val="Hyperlnk"/>
                <w:noProof/>
              </w:rPr>
              <w:t>5.</w:t>
            </w:r>
            <w:r>
              <w:rPr>
                <w:rFonts w:asciiTheme="minorHAnsi" w:eastAsiaTheme="minorEastAsia" w:hAnsiTheme="minorHAnsi" w:cstheme="minorBidi"/>
                <w:noProof/>
                <w:kern w:val="2"/>
                <w14:ligatures w14:val="standardContextual"/>
              </w:rPr>
              <w:tab/>
            </w:r>
            <w:r w:rsidRPr="00A472D7">
              <w:rPr>
                <w:rStyle w:val="Hyperlnk"/>
                <w:noProof/>
              </w:rPr>
              <w:t>Utvärdera och dokumentera</w:t>
            </w:r>
            <w:r>
              <w:rPr>
                <w:noProof/>
                <w:webHidden/>
              </w:rPr>
              <w:tab/>
            </w:r>
            <w:r>
              <w:rPr>
                <w:noProof/>
                <w:webHidden/>
              </w:rPr>
              <w:fldChar w:fldCharType="begin"/>
            </w:r>
            <w:r>
              <w:rPr>
                <w:noProof/>
                <w:webHidden/>
              </w:rPr>
              <w:instrText xml:space="preserve"> PAGEREF _Toc239253411 \h </w:instrText>
            </w:r>
            <w:r>
              <w:rPr>
                <w:noProof/>
                <w:webHidden/>
              </w:rPr>
            </w:r>
            <w:r>
              <w:rPr>
                <w:noProof/>
                <w:webHidden/>
              </w:rPr>
              <w:fldChar w:fldCharType="separate"/>
            </w:r>
            <w:r w:rsidR="00AF4AC9">
              <w:rPr>
                <w:noProof/>
                <w:webHidden/>
              </w:rPr>
              <w:t>7</w:t>
            </w:r>
            <w:r>
              <w:rPr>
                <w:noProof/>
                <w:webHidden/>
              </w:rPr>
              <w:fldChar w:fldCharType="end"/>
            </w:r>
          </w:hyperlink>
        </w:p>
        <w:p w14:paraId="0918C503" w14:textId="2C17F70B" w:rsidR="00D210E8" w:rsidRDefault="00D210E8" w:rsidP="00D210E8">
          <w:pPr>
            <w:pStyle w:val="Innehll2"/>
            <w:rPr>
              <w:rFonts w:asciiTheme="minorHAnsi" w:eastAsiaTheme="minorEastAsia" w:hAnsiTheme="minorHAnsi" w:cstheme="minorBidi"/>
              <w:kern w:val="2"/>
              <w14:ligatures w14:val="standardContextual"/>
            </w:rPr>
          </w:pPr>
          <w:hyperlink w:anchor="_Toc239253412" w:history="1">
            <w:r w:rsidRPr="00A472D7">
              <w:rPr>
                <w:rStyle w:val="Hyperlnk"/>
              </w:rPr>
              <w:t>Källförteckning</w:t>
            </w:r>
            <w:r>
              <w:rPr>
                <w:webHidden/>
              </w:rPr>
              <w:tab/>
            </w:r>
            <w:r>
              <w:rPr>
                <w:webHidden/>
              </w:rPr>
              <w:fldChar w:fldCharType="begin"/>
            </w:r>
            <w:r>
              <w:rPr>
                <w:webHidden/>
              </w:rPr>
              <w:instrText xml:space="preserve"> PAGEREF _Toc239253412 \h </w:instrText>
            </w:r>
            <w:r>
              <w:rPr>
                <w:webHidden/>
              </w:rPr>
            </w:r>
            <w:r>
              <w:rPr>
                <w:webHidden/>
              </w:rPr>
              <w:fldChar w:fldCharType="separate"/>
            </w:r>
            <w:r w:rsidR="00AF4AC9">
              <w:rPr>
                <w:webHidden/>
              </w:rPr>
              <w:t>8</w:t>
            </w:r>
            <w:r>
              <w:rPr>
                <w:webHidden/>
              </w:rPr>
              <w:fldChar w:fldCharType="end"/>
            </w:r>
          </w:hyperlink>
        </w:p>
        <w:p w14:paraId="2A84DBF5" w14:textId="2FA19E9C" w:rsidR="00D210E8" w:rsidRDefault="00D210E8">
          <w:r>
            <w:rPr>
              <w:b/>
              <w:bCs/>
            </w:rPr>
            <w:fldChar w:fldCharType="end"/>
          </w:r>
        </w:p>
      </w:sdtContent>
    </w:sdt>
    <w:p w14:paraId="29B03EF5" w14:textId="77777777" w:rsidR="009A32ED" w:rsidRDefault="009A32ED" w:rsidP="009A32ED">
      <w:pPr>
        <w:pStyle w:val="Rubrik2"/>
        <w:ind w:right="-143"/>
      </w:pPr>
      <w:bookmarkStart w:id="8" w:name="_Toc100327186"/>
      <w:bookmarkStart w:id="9" w:name="_Toc181866759"/>
      <w:bookmarkStart w:id="10" w:name="_Toc239253402"/>
      <w:bookmarkEnd w:id="5"/>
      <w:r>
        <w:t>Bakgrund och syfte</w:t>
      </w:r>
      <w:bookmarkEnd w:id="8"/>
      <w:bookmarkEnd w:id="9"/>
      <w:bookmarkEnd w:id="10"/>
      <w:r>
        <w:t xml:space="preserve"> </w:t>
      </w:r>
    </w:p>
    <w:p w14:paraId="2A9DB266" w14:textId="77777777" w:rsidR="007E197E" w:rsidRPr="00A6426E" w:rsidRDefault="007E197E" w:rsidP="00931AB2">
      <w:r w:rsidRPr="00A6426E">
        <w:t xml:space="preserve">Tidig mobilisering på IVA (intensivvårdsavdelningen) syftar till att optimera patientens fysiologiska möjligheter för tillfrisknande. Dock riskerar patienten på IVA att drabbas av immobilisering vilket har många negativa effekter på bland annat blodtryck, lungfunktion, </w:t>
      </w:r>
      <w:r w:rsidRPr="00A6426E">
        <w:lastRenderedPageBreak/>
        <w:t>muskelfunktion och mag-tarmkanalens funktion. Tidig mobilisering av patienter som vårdas på IVA är en självklar del i vården och minskar risken för komplikationer under och efter vårdtiden samt kan förkorta tiden i respirator och den totala vårdtiden. En total immobilisering leder till att muskelnedbrytningen startar, vilket sker redan efter några timmar. 25–50% av intensivvårdade patienter lider av neuromuskulär svaghet flera år efter utskrivning. Patienter som vårdas på IVA kan också drabbas av PICS (Post-intensive care syndrome) som innebär att både den kognitiva och fysiska förmågan samt den psykiska hälsan är nedsatt, förekomsten är fler än hälften av alla som vårdas på IVA under en längre tid. Med tidig mobilisering kan dessa risker minimeras samt bidra till en förbättrad kroppsmedvetenhet samt en mer normaliserad dygnsrytm (aktivitet dagtid och vila nattetid). Det hjälper även att förebygga uppkomsten av atelektaser, ventromboser och även minimera risken för pneumoni (1, 2 &amp; 3).</w:t>
      </w:r>
    </w:p>
    <w:p w14:paraId="5A11D4FD" w14:textId="7E8BF31D" w:rsidR="00CA1315" w:rsidRPr="00CA1315" w:rsidRDefault="00931AB2" w:rsidP="00D210E8">
      <w:r w:rsidRPr="00A6426E">
        <w:t>Syftet med denna rutin är att främja tidig mobilisering av patient på IVA/IMA. Rutinen innehåller riktlinjer och verktyg som ska underlätta planeringen och främja påbörjandet av mobilisering av patient så tidigt som möjligt.</w:t>
      </w:r>
    </w:p>
    <w:p w14:paraId="687A47A7" w14:textId="4C3C851C" w:rsidR="00544A26" w:rsidRDefault="00F6007F" w:rsidP="00544A26">
      <w:pPr>
        <w:pStyle w:val="Rubrik2"/>
      </w:pPr>
      <w:bookmarkStart w:id="11" w:name="_Toc239253403"/>
      <w:bookmarkStart w:id="12" w:name="_Toc100327192"/>
      <w:bookmarkStart w:id="13" w:name="_Toc181866761"/>
      <w:r>
        <w:t>Vilka berörs</w:t>
      </w:r>
      <w:bookmarkEnd w:id="11"/>
    </w:p>
    <w:p w14:paraId="3ECFECD7" w14:textId="0EB1972A" w:rsidR="00F6007F" w:rsidRDefault="00CA1315" w:rsidP="00CA1315">
      <w:r w:rsidRPr="00A6426E">
        <w:t>Gäller för läkare, sjuksköterskor och undersköterskor på IVA och IMA</w:t>
      </w:r>
      <w:r>
        <w:t xml:space="preserve"> i NU-sjukvården</w:t>
      </w:r>
      <w:r w:rsidRPr="00A6426E">
        <w:t>.</w:t>
      </w:r>
    </w:p>
    <w:p w14:paraId="4C94C137" w14:textId="3E024B1E" w:rsidR="001D25FC" w:rsidRDefault="001D25FC" w:rsidP="001D25FC">
      <w:pPr>
        <w:pStyle w:val="Rubrik2"/>
      </w:pPr>
      <w:bookmarkStart w:id="14" w:name="_Toc239253404"/>
      <w:r>
        <w:t>Mål</w:t>
      </w:r>
      <w:bookmarkEnd w:id="14"/>
    </w:p>
    <w:p w14:paraId="71C3AD14" w14:textId="6F4A44BA" w:rsidR="004248A6" w:rsidRPr="00A6426E" w:rsidRDefault="004248A6" w:rsidP="004248A6">
      <w:r w:rsidRPr="00A6426E">
        <w:t>Att påbörja mobilisering av patient inom 48h efter ankomst till IVA</w:t>
      </w:r>
      <w:r>
        <w:t xml:space="preserve"> eller IMA</w:t>
      </w:r>
      <w:r w:rsidRPr="00A6426E">
        <w:t>. </w:t>
      </w:r>
    </w:p>
    <w:p w14:paraId="11A97D37" w14:textId="77777777" w:rsidR="00E57F71" w:rsidRDefault="00E57F71">
      <w:pPr>
        <w:spacing w:after="0" w:line="240" w:lineRule="auto"/>
        <w:ind w:left="0" w:right="0"/>
        <w:rPr>
          <w:rFonts w:ascii="Verdana" w:eastAsiaTheme="majorEastAsia" w:hAnsi="Verdana" w:cstheme="majorBidi"/>
          <w:bCs/>
          <w:color w:val="000000" w:themeColor="text1"/>
          <w:sz w:val="28"/>
        </w:rPr>
      </w:pPr>
      <w:r>
        <w:br w:type="page"/>
      </w:r>
    </w:p>
    <w:p w14:paraId="5B782AE6" w14:textId="3ABD77CB" w:rsidR="001D25FC" w:rsidRDefault="00E70BCE" w:rsidP="00E70BCE">
      <w:pPr>
        <w:pStyle w:val="Rubrik3"/>
      </w:pPr>
      <w:bookmarkStart w:id="15" w:name="_Toc239253405"/>
      <w:r>
        <w:lastRenderedPageBreak/>
        <w:t>Positiva effekter med mobilisering</w:t>
      </w:r>
      <w:bookmarkEnd w:id="15"/>
    </w:p>
    <w:tbl>
      <w:tblPr>
        <w:tblStyle w:val="Rutntstabell4dekorfrg1"/>
        <w:tblW w:w="9773"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266"/>
        <w:gridCol w:w="1657"/>
        <w:gridCol w:w="1794"/>
        <w:gridCol w:w="1860"/>
        <w:gridCol w:w="2196"/>
      </w:tblGrid>
      <w:tr w:rsidR="00E57F71" w14:paraId="5B1BB5BF" w14:textId="77777777" w:rsidTr="00E57F7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70" w:type="dxa"/>
            <w:tcBorders>
              <w:top w:val="single" w:sz="6" w:space="0" w:color="156082"/>
              <w:left w:val="single" w:sz="6" w:space="0" w:color="156082"/>
              <w:bottom w:val="single" w:sz="6" w:space="0" w:color="156082"/>
            </w:tcBorders>
            <w:tcMar>
              <w:left w:w="105" w:type="dxa"/>
              <w:right w:w="105" w:type="dxa"/>
            </w:tcMar>
            <w:vAlign w:val="bottom"/>
          </w:tcPr>
          <w:p w14:paraId="2FDF071B" w14:textId="77777777" w:rsidR="00E57F71" w:rsidRDefault="00E57F71" w:rsidP="00324F35">
            <w:pPr>
              <w:ind w:left="0" w:right="0"/>
              <w:jc w:val="center"/>
            </w:pPr>
            <w:r w:rsidRPr="6F187EDC">
              <w:t>Respiration</w:t>
            </w:r>
          </w:p>
        </w:tc>
        <w:tc>
          <w:tcPr>
            <w:tcW w:w="1589" w:type="dxa"/>
            <w:tcBorders>
              <w:top w:val="single" w:sz="6" w:space="0" w:color="156082"/>
              <w:bottom w:val="single" w:sz="6" w:space="0" w:color="156082"/>
            </w:tcBorders>
            <w:tcMar>
              <w:left w:w="105" w:type="dxa"/>
              <w:right w:w="105" w:type="dxa"/>
            </w:tcMar>
            <w:vAlign w:val="bottom"/>
          </w:tcPr>
          <w:p w14:paraId="1A205C0C" w14:textId="77777777" w:rsidR="00E57F71" w:rsidRDefault="00E57F71" w:rsidP="00324F35">
            <w:pPr>
              <w:ind w:left="0" w:right="0"/>
              <w:jc w:val="center"/>
              <w:cnfStyle w:val="100000000000" w:firstRow="1" w:lastRow="0" w:firstColumn="0" w:lastColumn="0" w:oddVBand="0" w:evenVBand="0" w:oddHBand="0" w:evenHBand="0" w:firstRowFirstColumn="0" w:firstRowLastColumn="0" w:lastRowFirstColumn="0" w:lastRowLastColumn="0"/>
            </w:pPr>
            <w:r w:rsidRPr="6F187EDC">
              <w:t xml:space="preserve">Cirkulation </w:t>
            </w:r>
          </w:p>
        </w:tc>
        <w:tc>
          <w:tcPr>
            <w:tcW w:w="1720" w:type="dxa"/>
            <w:tcBorders>
              <w:top w:val="single" w:sz="6" w:space="0" w:color="156082"/>
              <w:bottom w:val="single" w:sz="6" w:space="0" w:color="156082"/>
            </w:tcBorders>
            <w:tcMar>
              <w:left w:w="105" w:type="dxa"/>
              <w:right w:w="105" w:type="dxa"/>
            </w:tcMar>
            <w:vAlign w:val="bottom"/>
          </w:tcPr>
          <w:p w14:paraId="6677E58A" w14:textId="77777777" w:rsidR="00E57F71" w:rsidRDefault="00E57F71" w:rsidP="00324F35">
            <w:pPr>
              <w:ind w:left="0" w:right="0"/>
              <w:jc w:val="center"/>
              <w:cnfStyle w:val="100000000000" w:firstRow="1" w:lastRow="0" w:firstColumn="0" w:lastColumn="0" w:oddVBand="0" w:evenVBand="0" w:oddHBand="0" w:evenHBand="0" w:firstRowFirstColumn="0" w:firstRowLastColumn="0" w:lastRowFirstColumn="0" w:lastRowLastColumn="0"/>
            </w:pPr>
            <w:r w:rsidRPr="6F187EDC">
              <w:t xml:space="preserve">Elimination </w:t>
            </w:r>
          </w:p>
        </w:tc>
        <w:tc>
          <w:tcPr>
            <w:tcW w:w="1783" w:type="dxa"/>
            <w:tcBorders>
              <w:top w:val="single" w:sz="6" w:space="0" w:color="156082"/>
              <w:bottom w:val="single" w:sz="6" w:space="0" w:color="156082"/>
            </w:tcBorders>
            <w:tcMar>
              <w:left w:w="105" w:type="dxa"/>
              <w:right w:w="105" w:type="dxa"/>
            </w:tcMar>
            <w:vAlign w:val="bottom"/>
          </w:tcPr>
          <w:p w14:paraId="20ADCD48" w14:textId="77777777" w:rsidR="00E57F71" w:rsidRDefault="00E57F71" w:rsidP="00324F35">
            <w:pPr>
              <w:ind w:left="0" w:right="0"/>
              <w:jc w:val="center"/>
              <w:cnfStyle w:val="100000000000" w:firstRow="1" w:lastRow="0" w:firstColumn="0" w:lastColumn="0" w:oddVBand="0" w:evenVBand="0" w:oddHBand="0" w:evenHBand="0" w:firstRowFirstColumn="0" w:firstRowLastColumn="0" w:lastRowFirstColumn="0" w:lastRowLastColumn="0"/>
            </w:pPr>
            <w:r w:rsidRPr="6F187EDC">
              <w:t xml:space="preserve">Muskel &amp; ledfunktion </w:t>
            </w:r>
          </w:p>
        </w:tc>
        <w:tc>
          <w:tcPr>
            <w:tcW w:w="2511" w:type="dxa"/>
            <w:tcBorders>
              <w:top w:val="single" w:sz="6" w:space="0" w:color="156082"/>
              <w:bottom w:val="single" w:sz="6" w:space="0" w:color="156082"/>
              <w:right w:val="single" w:sz="6" w:space="0" w:color="156082"/>
            </w:tcBorders>
            <w:tcMar>
              <w:left w:w="105" w:type="dxa"/>
              <w:right w:w="105" w:type="dxa"/>
            </w:tcMar>
            <w:vAlign w:val="bottom"/>
          </w:tcPr>
          <w:p w14:paraId="46A8F715" w14:textId="77777777" w:rsidR="00E57F71" w:rsidRDefault="00E57F71" w:rsidP="00324F35">
            <w:pPr>
              <w:ind w:left="0" w:right="0"/>
              <w:jc w:val="center"/>
              <w:cnfStyle w:val="100000000000" w:firstRow="1" w:lastRow="0" w:firstColumn="0" w:lastColumn="0" w:oddVBand="0" w:evenVBand="0" w:oddHBand="0" w:evenHBand="0" w:firstRowFirstColumn="0" w:firstRowLastColumn="0" w:lastRowFirstColumn="0" w:lastRowLastColumn="0"/>
            </w:pPr>
            <w:r w:rsidRPr="6F187EDC">
              <w:t xml:space="preserve">Kognitivt </w:t>
            </w:r>
          </w:p>
        </w:tc>
      </w:tr>
      <w:tr w:rsidR="00E57F71" w14:paraId="4F46743C" w14:textId="77777777" w:rsidTr="00E57F71">
        <w:trPr>
          <w:trHeight w:val="567"/>
        </w:trPr>
        <w:tc>
          <w:tcPr>
            <w:cnfStyle w:val="001000000000" w:firstRow="0" w:lastRow="0" w:firstColumn="1" w:lastColumn="0" w:oddVBand="0" w:evenVBand="0" w:oddHBand="0" w:evenHBand="0" w:firstRowFirstColumn="0" w:firstRowLastColumn="0" w:lastRowFirstColumn="0" w:lastRowLastColumn="0"/>
            <w:tcW w:w="2170" w:type="dxa"/>
            <w:tcMar>
              <w:left w:w="105" w:type="dxa"/>
              <w:right w:w="105" w:type="dxa"/>
            </w:tcMar>
            <w:vAlign w:val="center"/>
          </w:tcPr>
          <w:p w14:paraId="5118476A" w14:textId="77777777" w:rsidR="00E57F71" w:rsidRDefault="00E57F71" w:rsidP="00324F35">
            <w:pPr>
              <w:ind w:left="0" w:right="0"/>
              <w:jc w:val="center"/>
              <w:rPr>
                <w:b w:val="0"/>
                <w:bCs w:val="0"/>
                <w:sz w:val="20"/>
                <w:szCs w:val="20"/>
              </w:rPr>
            </w:pPr>
            <w:r w:rsidRPr="6F187EDC">
              <w:rPr>
                <w:b w:val="0"/>
                <w:bCs w:val="0"/>
                <w:sz w:val="20"/>
                <w:szCs w:val="20"/>
              </w:rPr>
              <w:t xml:space="preserve">Förebygger </w:t>
            </w:r>
            <w:r>
              <w:br/>
            </w:r>
            <w:r w:rsidRPr="6F187EDC">
              <w:rPr>
                <w:b w:val="0"/>
                <w:bCs w:val="0"/>
                <w:sz w:val="20"/>
                <w:szCs w:val="20"/>
              </w:rPr>
              <w:t xml:space="preserve">atelektaser </w:t>
            </w:r>
          </w:p>
        </w:tc>
        <w:tc>
          <w:tcPr>
            <w:tcW w:w="1589" w:type="dxa"/>
            <w:tcMar>
              <w:left w:w="105" w:type="dxa"/>
              <w:right w:w="105" w:type="dxa"/>
            </w:tcMar>
            <w:vAlign w:val="center"/>
          </w:tcPr>
          <w:p w14:paraId="2B787DFB" w14:textId="77777777" w:rsidR="00E57F71" w:rsidRDefault="00E57F71" w:rsidP="00324F35">
            <w:pPr>
              <w:ind w:left="0" w:right="0"/>
              <w:jc w:val="center"/>
              <w:cnfStyle w:val="000000000000" w:firstRow="0" w:lastRow="0" w:firstColumn="0" w:lastColumn="0" w:oddVBand="0" w:evenVBand="0" w:oddHBand="0" w:evenHBand="0" w:firstRowFirstColumn="0" w:firstRowLastColumn="0" w:lastRowFirstColumn="0" w:lastRowLastColumn="0"/>
              <w:rPr>
                <w:sz w:val="20"/>
                <w:szCs w:val="20"/>
              </w:rPr>
            </w:pPr>
            <w:r w:rsidRPr="6F187EDC">
              <w:rPr>
                <w:sz w:val="20"/>
                <w:szCs w:val="20"/>
              </w:rPr>
              <w:t>Minskar risken för ventrombos och lungemboli</w:t>
            </w:r>
          </w:p>
        </w:tc>
        <w:tc>
          <w:tcPr>
            <w:tcW w:w="1720" w:type="dxa"/>
            <w:tcMar>
              <w:left w:w="105" w:type="dxa"/>
              <w:right w:w="105" w:type="dxa"/>
            </w:tcMar>
            <w:vAlign w:val="center"/>
          </w:tcPr>
          <w:p w14:paraId="4885E32B" w14:textId="77777777" w:rsidR="00E57F71" w:rsidRDefault="00E57F71" w:rsidP="00324F35">
            <w:pPr>
              <w:ind w:left="0" w:right="0"/>
              <w:jc w:val="center"/>
              <w:cnfStyle w:val="000000000000" w:firstRow="0" w:lastRow="0" w:firstColumn="0" w:lastColumn="0" w:oddVBand="0" w:evenVBand="0" w:oddHBand="0" w:evenHBand="0" w:firstRowFirstColumn="0" w:firstRowLastColumn="0" w:lastRowFirstColumn="0" w:lastRowLastColumn="0"/>
              <w:rPr>
                <w:sz w:val="20"/>
                <w:szCs w:val="20"/>
              </w:rPr>
            </w:pPr>
            <w:r w:rsidRPr="6F187EDC">
              <w:rPr>
                <w:sz w:val="20"/>
                <w:szCs w:val="20"/>
              </w:rPr>
              <w:t>Främjar tarmens peristaltik</w:t>
            </w:r>
          </w:p>
        </w:tc>
        <w:tc>
          <w:tcPr>
            <w:tcW w:w="1783" w:type="dxa"/>
            <w:tcMar>
              <w:left w:w="105" w:type="dxa"/>
              <w:right w:w="105" w:type="dxa"/>
            </w:tcMar>
            <w:vAlign w:val="center"/>
          </w:tcPr>
          <w:p w14:paraId="5368D26B" w14:textId="77777777" w:rsidR="00E57F71" w:rsidRDefault="00E57F71" w:rsidP="00324F35">
            <w:pPr>
              <w:ind w:left="0" w:right="0"/>
              <w:jc w:val="center"/>
              <w:cnfStyle w:val="000000000000" w:firstRow="0" w:lastRow="0" w:firstColumn="0" w:lastColumn="0" w:oddVBand="0" w:evenVBand="0" w:oddHBand="0" w:evenHBand="0" w:firstRowFirstColumn="0" w:firstRowLastColumn="0" w:lastRowFirstColumn="0" w:lastRowLastColumn="0"/>
              <w:rPr>
                <w:sz w:val="20"/>
                <w:szCs w:val="20"/>
              </w:rPr>
            </w:pPr>
            <w:r w:rsidRPr="6F187EDC">
              <w:rPr>
                <w:sz w:val="20"/>
                <w:szCs w:val="20"/>
              </w:rPr>
              <w:t>Förebygger muskelatrofi</w:t>
            </w:r>
          </w:p>
        </w:tc>
        <w:tc>
          <w:tcPr>
            <w:tcW w:w="2511" w:type="dxa"/>
            <w:tcMar>
              <w:left w:w="105" w:type="dxa"/>
              <w:right w:w="105" w:type="dxa"/>
            </w:tcMar>
            <w:vAlign w:val="center"/>
          </w:tcPr>
          <w:p w14:paraId="775D3EFD" w14:textId="77777777" w:rsidR="00E57F71" w:rsidRDefault="00E57F71" w:rsidP="00324F35">
            <w:pPr>
              <w:ind w:left="0" w:right="0"/>
              <w:jc w:val="center"/>
              <w:cnfStyle w:val="000000000000" w:firstRow="0" w:lastRow="0" w:firstColumn="0" w:lastColumn="0" w:oddVBand="0" w:evenVBand="0" w:oddHBand="0" w:evenHBand="0" w:firstRowFirstColumn="0" w:firstRowLastColumn="0" w:lastRowFirstColumn="0" w:lastRowLastColumn="0"/>
              <w:rPr>
                <w:sz w:val="20"/>
                <w:szCs w:val="20"/>
              </w:rPr>
            </w:pPr>
            <w:r w:rsidRPr="6F187EDC">
              <w:rPr>
                <w:sz w:val="20"/>
                <w:szCs w:val="20"/>
              </w:rPr>
              <w:t>Minskar oro, ångest och risk för delirium</w:t>
            </w:r>
          </w:p>
        </w:tc>
      </w:tr>
      <w:tr w:rsidR="00E57F71" w14:paraId="7064C346" w14:textId="77777777" w:rsidTr="00E57F71">
        <w:trPr>
          <w:trHeight w:val="567"/>
        </w:trPr>
        <w:tc>
          <w:tcPr>
            <w:cnfStyle w:val="001000000000" w:firstRow="0" w:lastRow="0" w:firstColumn="1" w:lastColumn="0" w:oddVBand="0" w:evenVBand="0" w:oddHBand="0" w:evenHBand="0" w:firstRowFirstColumn="0" w:firstRowLastColumn="0" w:lastRowFirstColumn="0" w:lastRowLastColumn="0"/>
            <w:tcW w:w="2170" w:type="dxa"/>
            <w:tcMar>
              <w:left w:w="105" w:type="dxa"/>
              <w:right w:w="105" w:type="dxa"/>
            </w:tcMar>
            <w:vAlign w:val="center"/>
          </w:tcPr>
          <w:p w14:paraId="5CE5F33E" w14:textId="77777777" w:rsidR="00E57F71" w:rsidRDefault="00E57F71" w:rsidP="00324F35">
            <w:pPr>
              <w:ind w:left="0" w:right="0"/>
              <w:jc w:val="center"/>
              <w:rPr>
                <w:b w:val="0"/>
                <w:bCs w:val="0"/>
                <w:sz w:val="20"/>
                <w:szCs w:val="20"/>
              </w:rPr>
            </w:pPr>
            <w:r w:rsidRPr="6F187EDC">
              <w:rPr>
                <w:b w:val="0"/>
                <w:bCs w:val="0"/>
                <w:sz w:val="20"/>
                <w:szCs w:val="20"/>
              </w:rPr>
              <w:t xml:space="preserve">Mobiliserar slem </w:t>
            </w:r>
          </w:p>
        </w:tc>
        <w:tc>
          <w:tcPr>
            <w:tcW w:w="1589" w:type="dxa"/>
            <w:tcMar>
              <w:left w:w="105" w:type="dxa"/>
              <w:right w:w="105" w:type="dxa"/>
            </w:tcMar>
            <w:vAlign w:val="center"/>
          </w:tcPr>
          <w:p w14:paraId="7CB17C5E" w14:textId="77777777" w:rsidR="00E57F71" w:rsidRDefault="00E57F71" w:rsidP="00324F35">
            <w:pPr>
              <w:ind w:left="0" w:right="0"/>
              <w:jc w:val="center"/>
              <w:cnfStyle w:val="000000000000" w:firstRow="0" w:lastRow="0" w:firstColumn="0" w:lastColumn="0" w:oddVBand="0" w:evenVBand="0" w:oddHBand="0" w:evenHBand="0" w:firstRowFirstColumn="0" w:firstRowLastColumn="0" w:lastRowFirstColumn="0" w:lastRowLastColumn="0"/>
              <w:rPr>
                <w:sz w:val="20"/>
                <w:szCs w:val="20"/>
              </w:rPr>
            </w:pPr>
            <w:r w:rsidRPr="6F187EDC">
              <w:rPr>
                <w:sz w:val="20"/>
                <w:szCs w:val="20"/>
              </w:rPr>
              <w:t>Minskar risken för ortostatisk hypotension (ger därigenom en lägre vilopuls och ökade slagvolymer)</w:t>
            </w:r>
          </w:p>
        </w:tc>
        <w:tc>
          <w:tcPr>
            <w:tcW w:w="1720" w:type="dxa"/>
            <w:tcMar>
              <w:left w:w="105" w:type="dxa"/>
              <w:right w:w="105" w:type="dxa"/>
            </w:tcMar>
            <w:vAlign w:val="center"/>
          </w:tcPr>
          <w:p w14:paraId="3FFD231A" w14:textId="77777777" w:rsidR="00E57F71" w:rsidRDefault="00E57F71" w:rsidP="00324F35">
            <w:pPr>
              <w:ind w:left="0" w:right="0"/>
              <w:jc w:val="center"/>
              <w:cnfStyle w:val="000000000000" w:firstRow="0" w:lastRow="0" w:firstColumn="0" w:lastColumn="0" w:oddVBand="0" w:evenVBand="0" w:oddHBand="0" w:evenHBand="0" w:firstRowFirstColumn="0" w:firstRowLastColumn="0" w:lastRowFirstColumn="0" w:lastRowLastColumn="0"/>
              <w:rPr>
                <w:sz w:val="20"/>
                <w:szCs w:val="20"/>
              </w:rPr>
            </w:pPr>
            <w:r w:rsidRPr="6F187EDC">
              <w:rPr>
                <w:sz w:val="20"/>
                <w:szCs w:val="20"/>
              </w:rPr>
              <w:t>Främjar urinproduktionen</w:t>
            </w:r>
          </w:p>
        </w:tc>
        <w:tc>
          <w:tcPr>
            <w:tcW w:w="1783" w:type="dxa"/>
            <w:tcMar>
              <w:left w:w="105" w:type="dxa"/>
              <w:right w:w="105" w:type="dxa"/>
            </w:tcMar>
            <w:vAlign w:val="center"/>
          </w:tcPr>
          <w:p w14:paraId="6D386725" w14:textId="77777777" w:rsidR="00E57F71" w:rsidRDefault="00E57F71" w:rsidP="00324F35">
            <w:pPr>
              <w:ind w:left="0" w:right="0"/>
              <w:jc w:val="center"/>
              <w:cnfStyle w:val="000000000000" w:firstRow="0" w:lastRow="0" w:firstColumn="0" w:lastColumn="0" w:oddVBand="0" w:evenVBand="0" w:oddHBand="0" w:evenHBand="0" w:firstRowFirstColumn="0" w:firstRowLastColumn="0" w:lastRowFirstColumn="0" w:lastRowLastColumn="0"/>
              <w:rPr>
                <w:sz w:val="20"/>
                <w:szCs w:val="20"/>
              </w:rPr>
            </w:pPr>
            <w:r w:rsidRPr="6F187EDC">
              <w:rPr>
                <w:sz w:val="20"/>
                <w:szCs w:val="20"/>
              </w:rPr>
              <w:t>Förebygger ledkontrakturer och smärtproblematik.</w:t>
            </w:r>
          </w:p>
        </w:tc>
        <w:tc>
          <w:tcPr>
            <w:tcW w:w="2511" w:type="dxa"/>
            <w:tcMar>
              <w:left w:w="105" w:type="dxa"/>
              <w:right w:w="105" w:type="dxa"/>
            </w:tcMar>
            <w:vAlign w:val="center"/>
          </w:tcPr>
          <w:p w14:paraId="27D9FA51" w14:textId="77777777" w:rsidR="00E57F71" w:rsidRDefault="00E57F71" w:rsidP="00324F35">
            <w:pPr>
              <w:ind w:left="0" w:right="0"/>
              <w:jc w:val="center"/>
              <w:cnfStyle w:val="000000000000" w:firstRow="0" w:lastRow="0" w:firstColumn="0" w:lastColumn="0" w:oddVBand="0" w:evenVBand="0" w:oddHBand="0" w:evenHBand="0" w:firstRowFirstColumn="0" w:firstRowLastColumn="0" w:lastRowFirstColumn="0" w:lastRowLastColumn="0"/>
              <w:rPr>
                <w:sz w:val="20"/>
                <w:szCs w:val="20"/>
              </w:rPr>
            </w:pPr>
            <w:r w:rsidRPr="6F187EDC">
              <w:rPr>
                <w:sz w:val="20"/>
                <w:szCs w:val="20"/>
              </w:rPr>
              <w:t>Medvetandegör kroppsgränser och kroppspositioner</w:t>
            </w:r>
          </w:p>
        </w:tc>
      </w:tr>
      <w:tr w:rsidR="00E57F71" w14:paraId="0CB01BEA" w14:textId="77777777" w:rsidTr="00E57F71">
        <w:trPr>
          <w:trHeight w:val="567"/>
        </w:trPr>
        <w:tc>
          <w:tcPr>
            <w:cnfStyle w:val="001000000000" w:firstRow="0" w:lastRow="0" w:firstColumn="1" w:lastColumn="0" w:oddVBand="0" w:evenVBand="0" w:oddHBand="0" w:evenHBand="0" w:firstRowFirstColumn="0" w:firstRowLastColumn="0" w:lastRowFirstColumn="0" w:lastRowLastColumn="0"/>
            <w:tcW w:w="2170" w:type="dxa"/>
            <w:tcMar>
              <w:left w:w="105" w:type="dxa"/>
              <w:right w:w="105" w:type="dxa"/>
            </w:tcMar>
            <w:vAlign w:val="center"/>
          </w:tcPr>
          <w:p w14:paraId="64A44A11" w14:textId="77777777" w:rsidR="00E57F71" w:rsidRDefault="00E57F71" w:rsidP="00324F35">
            <w:pPr>
              <w:ind w:left="0" w:right="0"/>
              <w:jc w:val="center"/>
              <w:rPr>
                <w:b w:val="0"/>
                <w:bCs w:val="0"/>
                <w:sz w:val="20"/>
                <w:szCs w:val="20"/>
              </w:rPr>
            </w:pPr>
            <w:r w:rsidRPr="6F187EDC">
              <w:rPr>
                <w:b w:val="0"/>
                <w:bCs w:val="0"/>
                <w:sz w:val="20"/>
                <w:szCs w:val="20"/>
              </w:rPr>
              <w:t>Optimerar den funktionella residualkapaciteten</w:t>
            </w:r>
          </w:p>
        </w:tc>
        <w:tc>
          <w:tcPr>
            <w:tcW w:w="1589" w:type="dxa"/>
            <w:tcMar>
              <w:left w:w="105" w:type="dxa"/>
              <w:right w:w="105" w:type="dxa"/>
            </w:tcMar>
            <w:vAlign w:val="center"/>
          </w:tcPr>
          <w:p w14:paraId="0DBA4EE9" w14:textId="77777777" w:rsidR="00E57F71" w:rsidRDefault="00E57F71" w:rsidP="00324F35">
            <w:pPr>
              <w:ind w:left="0" w:right="0"/>
              <w:jc w:val="center"/>
              <w:cnfStyle w:val="000000000000" w:firstRow="0" w:lastRow="0" w:firstColumn="0" w:lastColumn="0" w:oddVBand="0" w:evenVBand="0" w:oddHBand="0" w:evenHBand="0" w:firstRowFirstColumn="0" w:firstRowLastColumn="0" w:lastRowFirstColumn="0" w:lastRowLastColumn="0"/>
              <w:rPr>
                <w:sz w:val="20"/>
                <w:szCs w:val="20"/>
              </w:rPr>
            </w:pPr>
            <w:r w:rsidRPr="6F187EDC">
              <w:rPr>
                <w:sz w:val="20"/>
                <w:szCs w:val="20"/>
              </w:rPr>
              <w:t>Minskar risken för hämmad mikrovaskulär funktion</w:t>
            </w:r>
          </w:p>
        </w:tc>
        <w:tc>
          <w:tcPr>
            <w:tcW w:w="1720" w:type="dxa"/>
            <w:tcMar>
              <w:left w:w="105" w:type="dxa"/>
              <w:right w:w="105" w:type="dxa"/>
            </w:tcMar>
            <w:vAlign w:val="center"/>
          </w:tcPr>
          <w:p w14:paraId="3F72073A" w14:textId="77777777" w:rsidR="00E57F71" w:rsidRDefault="00E57F71" w:rsidP="00324F35">
            <w:pPr>
              <w:ind w:left="0" w:right="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3" w:type="dxa"/>
            <w:tcMar>
              <w:left w:w="105" w:type="dxa"/>
              <w:right w:w="105" w:type="dxa"/>
            </w:tcMar>
            <w:vAlign w:val="center"/>
          </w:tcPr>
          <w:p w14:paraId="148C19F5" w14:textId="77777777" w:rsidR="00E57F71" w:rsidRDefault="00E57F71" w:rsidP="00324F35">
            <w:pPr>
              <w:ind w:left="0" w:right="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511" w:type="dxa"/>
            <w:tcMar>
              <w:left w:w="105" w:type="dxa"/>
              <w:right w:w="105" w:type="dxa"/>
            </w:tcMar>
            <w:vAlign w:val="center"/>
          </w:tcPr>
          <w:p w14:paraId="5DCC9655" w14:textId="77777777" w:rsidR="00E57F71" w:rsidRDefault="00E57F71" w:rsidP="00324F35">
            <w:pPr>
              <w:ind w:left="0" w:right="0"/>
              <w:jc w:val="center"/>
              <w:cnfStyle w:val="000000000000" w:firstRow="0" w:lastRow="0" w:firstColumn="0" w:lastColumn="0" w:oddVBand="0" w:evenVBand="0" w:oddHBand="0" w:evenHBand="0" w:firstRowFirstColumn="0" w:firstRowLastColumn="0" w:lastRowFirstColumn="0" w:lastRowLastColumn="0"/>
              <w:rPr>
                <w:sz w:val="20"/>
                <w:szCs w:val="20"/>
              </w:rPr>
            </w:pPr>
            <w:r w:rsidRPr="6F187EDC">
              <w:rPr>
                <w:sz w:val="20"/>
                <w:szCs w:val="20"/>
              </w:rPr>
              <w:t>Normaliserar dygnsrytmen</w:t>
            </w:r>
          </w:p>
        </w:tc>
      </w:tr>
      <w:tr w:rsidR="00E57F71" w14:paraId="053A9D0C" w14:textId="77777777" w:rsidTr="00E57F71">
        <w:trPr>
          <w:trHeight w:val="567"/>
        </w:trPr>
        <w:tc>
          <w:tcPr>
            <w:cnfStyle w:val="001000000000" w:firstRow="0" w:lastRow="0" w:firstColumn="1" w:lastColumn="0" w:oddVBand="0" w:evenVBand="0" w:oddHBand="0" w:evenHBand="0" w:firstRowFirstColumn="0" w:firstRowLastColumn="0" w:lastRowFirstColumn="0" w:lastRowLastColumn="0"/>
            <w:tcW w:w="2170" w:type="dxa"/>
            <w:tcMar>
              <w:left w:w="105" w:type="dxa"/>
              <w:right w:w="105" w:type="dxa"/>
            </w:tcMar>
            <w:vAlign w:val="center"/>
          </w:tcPr>
          <w:p w14:paraId="5B2B9C19" w14:textId="77777777" w:rsidR="00E57F71" w:rsidRDefault="00E57F71" w:rsidP="00324F35">
            <w:pPr>
              <w:ind w:left="0" w:right="0"/>
              <w:jc w:val="center"/>
              <w:rPr>
                <w:b w:val="0"/>
                <w:bCs w:val="0"/>
                <w:sz w:val="20"/>
                <w:szCs w:val="20"/>
              </w:rPr>
            </w:pPr>
            <w:r w:rsidRPr="6F187EDC">
              <w:rPr>
                <w:b w:val="0"/>
                <w:bCs w:val="0"/>
                <w:sz w:val="20"/>
                <w:szCs w:val="20"/>
              </w:rPr>
              <w:t>Stimulerar egenandning och aktiverar andningsmuskulaturen</w:t>
            </w:r>
          </w:p>
        </w:tc>
        <w:tc>
          <w:tcPr>
            <w:tcW w:w="1589" w:type="dxa"/>
            <w:tcMar>
              <w:left w:w="105" w:type="dxa"/>
              <w:right w:w="105" w:type="dxa"/>
            </w:tcMar>
            <w:vAlign w:val="center"/>
          </w:tcPr>
          <w:p w14:paraId="33105ED9" w14:textId="77777777" w:rsidR="00E57F71" w:rsidRDefault="00E57F71" w:rsidP="00324F35">
            <w:pPr>
              <w:ind w:left="0" w:right="0"/>
              <w:jc w:val="center"/>
              <w:cnfStyle w:val="000000000000" w:firstRow="0" w:lastRow="0" w:firstColumn="0" w:lastColumn="0" w:oddVBand="0" w:evenVBand="0" w:oddHBand="0" w:evenHBand="0" w:firstRowFirstColumn="0" w:firstRowLastColumn="0" w:lastRowFirstColumn="0" w:lastRowLastColumn="0"/>
              <w:rPr>
                <w:sz w:val="20"/>
                <w:szCs w:val="20"/>
              </w:rPr>
            </w:pPr>
            <w:r w:rsidRPr="6F187EDC">
              <w:rPr>
                <w:sz w:val="20"/>
                <w:szCs w:val="20"/>
              </w:rPr>
              <w:t>Minskar risken för insulinresistens.</w:t>
            </w:r>
          </w:p>
        </w:tc>
        <w:tc>
          <w:tcPr>
            <w:tcW w:w="1720" w:type="dxa"/>
            <w:tcMar>
              <w:left w:w="105" w:type="dxa"/>
              <w:right w:w="105" w:type="dxa"/>
            </w:tcMar>
            <w:vAlign w:val="center"/>
          </w:tcPr>
          <w:p w14:paraId="161376AA" w14:textId="77777777" w:rsidR="00E57F71" w:rsidRDefault="00E57F71" w:rsidP="00324F35">
            <w:pPr>
              <w:ind w:left="0" w:right="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783" w:type="dxa"/>
            <w:tcMar>
              <w:left w:w="105" w:type="dxa"/>
              <w:right w:w="105" w:type="dxa"/>
            </w:tcMar>
            <w:vAlign w:val="center"/>
          </w:tcPr>
          <w:p w14:paraId="03BC0458" w14:textId="77777777" w:rsidR="00E57F71" w:rsidRDefault="00E57F71" w:rsidP="00324F35">
            <w:pPr>
              <w:ind w:left="0" w:right="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511" w:type="dxa"/>
            <w:tcMar>
              <w:left w:w="105" w:type="dxa"/>
              <w:right w:w="105" w:type="dxa"/>
            </w:tcMar>
            <w:vAlign w:val="center"/>
          </w:tcPr>
          <w:p w14:paraId="5EFF5A5D" w14:textId="049687DA" w:rsidR="00E57F71" w:rsidRDefault="00E57F71" w:rsidP="00324F35">
            <w:pPr>
              <w:ind w:left="0" w:right="0"/>
              <w:jc w:val="center"/>
              <w:cnfStyle w:val="000000000000" w:firstRow="0" w:lastRow="0" w:firstColumn="0" w:lastColumn="0" w:oddVBand="0" w:evenVBand="0" w:oddHBand="0" w:evenHBand="0" w:firstRowFirstColumn="0" w:firstRowLastColumn="0" w:lastRowFirstColumn="0" w:lastRowLastColumn="0"/>
            </w:pPr>
            <w:r>
              <w:t>0</w:t>
            </w:r>
          </w:p>
        </w:tc>
      </w:tr>
    </w:tbl>
    <w:p w14:paraId="5F6273A8" w14:textId="77777777" w:rsidR="00E70BCE" w:rsidRPr="00E70BCE" w:rsidRDefault="00E70BCE" w:rsidP="00E70BCE"/>
    <w:p w14:paraId="5DF5BA0A" w14:textId="1B80740F" w:rsidR="00B035A3" w:rsidRPr="00482E06" w:rsidRDefault="009A32ED" w:rsidP="00482E06">
      <w:pPr>
        <w:pStyle w:val="Rubrik2"/>
        <w:ind w:right="-143"/>
        <w:rPr>
          <w:color w:val="auto"/>
        </w:rPr>
      </w:pPr>
      <w:bookmarkStart w:id="16" w:name="_Toc239253406"/>
      <w:r w:rsidRPr="00065A6B">
        <w:rPr>
          <w:color w:val="auto"/>
        </w:rPr>
        <w:t>Utförande</w:t>
      </w:r>
      <w:bookmarkEnd w:id="12"/>
      <w:bookmarkEnd w:id="13"/>
      <w:bookmarkEnd w:id="16"/>
    </w:p>
    <w:tbl>
      <w:tblPr>
        <w:tblStyle w:val="Rutntstabell4dekorfrg1"/>
        <w:tblW w:w="10057"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428"/>
        <w:gridCol w:w="9629"/>
      </w:tblGrid>
      <w:tr w:rsidR="00F150F9" w14:paraId="43B227E3" w14:textId="77777777" w:rsidTr="00B035A3">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8" w:type="dxa"/>
            <w:tcBorders>
              <w:top w:val="single" w:sz="6" w:space="0" w:color="156082"/>
              <w:left w:val="single" w:sz="6" w:space="0" w:color="156082"/>
              <w:bottom w:val="single" w:sz="6" w:space="0" w:color="156082"/>
            </w:tcBorders>
            <w:tcMar>
              <w:left w:w="105" w:type="dxa"/>
              <w:right w:w="105" w:type="dxa"/>
            </w:tcMar>
            <w:vAlign w:val="bottom"/>
          </w:tcPr>
          <w:p w14:paraId="3FABF456" w14:textId="77777777" w:rsidR="00F150F9" w:rsidRDefault="00F150F9" w:rsidP="00324F35">
            <w:pPr>
              <w:ind w:left="0" w:right="0"/>
            </w:pPr>
          </w:p>
        </w:tc>
        <w:tc>
          <w:tcPr>
            <w:tcW w:w="9629" w:type="dxa"/>
            <w:tcBorders>
              <w:top w:val="single" w:sz="6" w:space="0" w:color="156082"/>
              <w:bottom w:val="single" w:sz="6" w:space="0" w:color="156082"/>
              <w:right w:val="single" w:sz="6" w:space="0" w:color="156082"/>
            </w:tcBorders>
            <w:tcMar>
              <w:left w:w="105" w:type="dxa"/>
              <w:right w:w="105" w:type="dxa"/>
            </w:tcMar>
            <w:vAlign w:val="bottom"/>
          </w:tcPr>
          <w:p w14:paraId="42C96846" w14:textId="77777777" w:rsidR="00F150F9" w:rsidRDefault="00F150F9" w:rsidP="00324F35">
            <w:pPr>
              <w:ind w:left="0" w:right="0"/>
              <w:cnfStyle w:val="100000000000" w:firstRow="1" w:lastRow="0" w:firstColumn="0" w:lastColumn="0" w:oddVBand="0" w:evenVBand="0" w:oddHBand="0" w:evenHBand="0" w:firstRowFirstColumn="0" w:firstRowLastColumn="0" w:lastRowFirstColumn="0" w:lastRowLastColumn="0"/>
            </w:pPr>
            <w:r w:rsidRPr="6F187EDC">
              <w:t>Mobiliseringens 5 steg på IVA/IMA</w:t>
            </w:r>
          </w:p>
        </w:tc>
      </w:tr>
      <w:tr w:rsidR="00F150F9" w14:paraId="4E3CC744" w14:textId="77777777" w:rsidTr="00B035A3">
        <w:trPr>
          <w:trHeight w:val="285"/>
        </w:trPr>
        <w:tc>
          <w:tcPr>
            <w:cnfStyle w:val="001000000000" w:firstRow="0" w:lastRow="0" w:firstColumn="1" w:lastColumn="0" w:oddVBand="0" w:evenVBand="0" w:oddHBand="0" w:evenHBand="0" w:firstRowFirstColumn="0" w:firstRowLastColumn="0" w:lastRowFirstColumn="0" w:lastRowLastColumn="0"/>
            <w:tcW w:w="428" w:type="dxa"/>
            <w:tcMar>
              <w:left w:w="105" w:type="dxa"/>
              <w:right w:w="105" w:type="dxa"/>
            </w:tcMar>
            <w:vAlign w:val="bottom"/>
          </w:tcPr>
          <w:p w14:paraId="24B0FCDE" w14:textId="77777777" w:rsidR="00F150F9" w:rsidRDefault="00F150F9" w:rsidP="00324F35">
            <w:pPr>
              <w:ind w:left="0" w:right="0"/>
            </w:pPr>
            <w:r w:rsidRPr="6F187EDC">
              <w:t>1</w:t>
            </w:r>
          </w:p>
        </w:tc>
        <w:tc>
          <w:tcPr>
            <w:tcW w:w="9629" w:type="dxa"/>
            <w:tcMar>
              <w:left w:w="105" w:type="dxa"/>
              <w:right w:w="105" w:type="dxa"/>
            </w:tcMar>
            <w:vAlign w:val="bottom"/>
          </w:tcPr>
          <w:p w14:paraId="34E19C7A" w14:textId="77777777" w:rsidR="00F150F9" w:rsidRDefault="00F150F9" w:rsidP="00324F35">
            <w:pPr>
              <w:ind w:left="0" w:right="0"/>
              <w:cnfStyle w:val="000000000000" w:firstRow="0" w:lastRow="0" w:firstColumn="0" w:lastColumn="0" w:oddVBand="0" w:evenVBand="0" w:oddHBand="0" w:evenHBand="0" w:firstRowFirstColumn="0" w:firstRowLastColumn="0" w:lastRowFirstColumn="0" w:lastRowLastColumn="0"/>
            </w:pPr>
            <w:r w:rsidRPr="6F187EDC">
              <w:t>Bedsidebedömning och mobiliseringsmål</w:t>
            </w:r>
          </w:p>
        </w:tc>
      </w:tr>
      <w:tr w:rsidR="00F150F9" w14:paraId="06CB77C0" w14:textId="77777777" w:rsidTr="00B035A3">
        <w:trPr>
          <w:trHeight w:val="285"/>
        </w:trPr>
        <w:tc>
          <w:tcPr>
            <w:cnfStyle w:val="001000000000" w:firstRow="0" w:lastRow="0" w:firstColumn="1" w:lastColumn="0" w:oddVBand="0" w:evenVBand="0" w:oddHBand="0" w:evenHBand="0" w:firstRowFirstColumn="0" w:firstRowLastColumn="0" w:lastRowFirstColumn="0" w:lastRowLastColumn="0"/>
            <w:tcW w:w="428" w:type="dxa"/>
            <w:tcMar>
              <w:left w:w="105" w:type="dxa"/>
              <w:right w:w="105" w:type="dxa"/>
            </w:tcMar>
            <w:vAlign w:val="bottom"/>
          </w:tcPr>
          <w:p w14:paraId="0CB55878" w14:textId="77777777" w:rsidR="00F150F9" w:rsidRDefault="00F150F9" w:rsidP="00324F35">
            <w:pPr>
              <w:ind w:left="0" w:right="0"/>
            </w:pPr>
            <w:r w:rsidRPr="6F187EDC">
              <w:t>2</w:t>
            </w:r>
          </w:p>
        </w:tc>
        <w:tc>
          <w:tcPr>
            <w:tcW w:w="9629" w:type="dxa"/>
            <w:tcMar>
              <w:left w:w="105" w:type="dxa"/>
              <w:right w:w="105" w:type="dxa"/>
            </w:tcMar>
            <w:vAlign w:val="bottom"/>
          </w:tcPr>
          <w:p w14:paraId="240FA220" w14:textId="77777777" w:rsidR="00F150F9" w:rsidRDefault="00F150F9" w:rsidP="00324F35">
            <w:pPr>
              <w:ind w:left="0" w:right="0"/>
              <w:cnfStyle w:val="000000000000" w:firstRow="0" w:lastRow="0" w:firstColumn="0" w:lastColumn="0" w:oddVBand="0" w:evenVBand="0" w:oddHBand="0" w:evenHBand="0" w:firstRowFirstColumn="0" w:firstRowLastColumn="0" w:lastRowFirstColumn="0" w:lastRowLastColumn="0"/>
            </w:pPr>
            <w:r w:rsidRPr="6F187EDC">
              <w:t>Kontraindikationer för mobilisering</w:t>
            </w:r>
          </w:p>
        </w:tc>
      </w:tr>
      <w:tr w:rsidR="00F150F9" w14:paraId="431C6C0A" w14:textId="77777777" w:rsidTr="00B035A3">
        <w:trPr>
          <w:trHeight w:val="285"/>
        </w:trPr>
        <w:tc>
          <w:tcPr>
            <w:cnfStyle w:val="001000000000" w:firstRow="0" w:lastRow="0" w:firstColumn="1" w:lastColumn="0" w:oddVBand="0" w:evenVBand="0" w:oddHBand="0" w:evenHBand="0" w:firstRowFirstColumn="0" w:firstRowLastColumn="0" w:lastRowFirstColumn="0" w:lastRowLastColumn="0"/>
            <w:tcW w:w="428" w:type="dxa"/>
            <w:tcMar>
              <w:left w:w="105" w:type="dxa"/>
              <w:right w:w="105" w:type="dxa"/>
            </w:tcMar>
            <w:vAlign w:val="bottom"/>
          </w:tcPr>
          <w:p w14:paraId="46BDB739" w14:textId="77777777" w:rsidR="00F150F9" w:rsidRDefault="00F150F9" w:rsidP="00324F35">
            <w:pPr>
              <w:ind w:left="0" w:right="0"/>
            </w:pPr>
            <w:r w:rsidRPr="6F187EDC">
              <w:t>3</w:t>
            </w:r>
          </w:p>
        </w:tc>
        <w:tc>
          <w:tcPr>
            <w:tcW w:w="9629" w:type="dxa"/>
            <w:tcMar>
              <w:left w:w="105" w:type="dxa"/>
              <w:right w:w="105" w:type="dxa"/>
            </w:tcMar>
            <w:vAlign w:val="bottom"/>
          </w:tcPr>
          <w:p w14:paraId="772AE191" w14:textId="77777777" w:rsidR="00F150F9" w:rsidRDefault="00F150F9" w:rsidP="00324F35">
            <w:pPr>
              <w:ind w:left="0" w:right="0"/>
              <w:cnfStyle w:val="000000000000" w:firstRow="0" w:lastRow="0" w:firstColumn="0" w:lastColumn="0" w:oddVBand="0" w:evenVBand="0" w:oddHBand="0" w:evenHBand="0" w:firstRowFirstColumn="0" w:firstRowLastColumn="0" w:lastRowFirstColumn="0" w:lastRowLastColumn="0"/>
            </w:pPr>
            <w:r w:rsidRPr="6F187EDC">
              <w:t>Bedöm sederingsnivå/behov av smärtlindring</w:t>
            </w:r>
          </w:p>
        </w:tc>
      </w:tr>
      <w:tr w:rsidR="00F150F9" w14:paraId="230344DA" w14:textId="77777777" w:rsidTr="00B035A3">
        <w:trPr>
          <w:trHeight w:val="285"/>
        </w:trPr>
        <w:tc>
          <w:tcPr>
            <w:cnfStyle w:val="001000000000" w:firstRow="0" w:lastRow="0" w:firstColumn="1" w:lastColumn="0" w:oddVBand="0" w:evenVBand="0" w:oddHBand="0" w:evenHBand="0" w:firstRowFirstColumn="0" w:firstRowLastColumn="0" w:lastRowFirstColumn="0" w:lastRowLastColumn="0"/>
            <w:tcW w:w="428" w:type="dxa"/>
            <w:tcMar>
              <w:left w:w="105" w:type="dxa"/>
              <w:right w:w="105" w:type="dxa"/>
            </w:tcMar>
            <w:vAlign w:val="bottom"/>
          </w:tcPr>
          <w:p w14:paraId="346998EB" w14:textId="77777777" w:rsidR="00F150F9" w:rsidRDefault="00F150F9" w:rsidP="00324F35">
            <w:pPr>
              <w:ind w:left="0" w:right="0"/>
            </w:pPr>
            <w:r w:rsidRPr="6F187EDC">
              <w:t>4</w:t>
            </w:r>
          </w:p>
        </w:tc>
        <w:tc>
          <w:tcPr>
            <w:tcW w:w="9629" w:type="dxa"/>
            <w:tcMar>
              <w:left w:w="105" w:type="dxa"/>
              <w:right w:w="105" w:type="dxa"/>
            </w:tcMar>
            <w:vAlign w:val="bottom"/>
          </w:tcPr>
          <w:p w14:paraId="521C4EAE" w14:textId="77777777" w:rsidR="00F150F9" w:rsidRDefault="00F150F9" w:rsidP="00324F35">
            <w:pPr>
              <w:ind w:left="0" w:right="0"/>
              <w:cnfStyle w:val="000000000000" w:firstRow="0" w:lastRow="0" w:firstColumn="0" w:lastColumn="0" w:oddVBand="0" w:evenVBand="0" w:oddHBand="0" w:evenHBand="0" w:firstRowFirstColumn="0" w:firstRowLastColumn="0" w:lastRowFirstColumn="0" w:lastRowLastColumn="0"/>
            </w:pPr>
            <w:r w:rsidRPr="6F187EDC">
              <w:t>Utförande av mobilisering</w:t>
            </w:r>
          </w:p>
        </w:tc>
      </w:tr>
      <w:tr w:rsidR="00F150F9" w14:paraId="407E37B9" w14:textId="77777777" w:rsidTr="00B035A3">
        <w:trPr>
          <w:trHeight w:val="285"/>
        </w:trPr>
        <w:tc>
          <w:tcPr>
            <w:cnfStyle w:val="001000000000" w:firstRow="0" w:lastRow="0" w:firstColumn="1" w:lastColumn="0" w:oddVBand="0" w:evenVBand="0" w:oddHBand="0" w:evenHBand="0" w:firstRowFirstColumn="0" w:firstRowLastColumn="0" w:lastRowFirstColumn="0" w:lastRowLastColumn="0"/>
            <w:tcW w:w="428" w:type="dxa"/>
            <w:tcMar>
              <w:left w:w="105" w:type="dxa"/>
              <w:right w:w="105" w:type="dxa"/>
            </w:tcMar>
            <w:vAlign w:val="bottom"/>
          </w:tcPr>
          <w:p w14:paraId="4F75184A" w14:textId="77777777" w:rsidR="00F150F9" w:rsidRDefault="00F150F9" w:rsidP="00324F35">
            <w:pPr>
              <w:ind w:left="0" w:right="0"/>
            </w:pPr>
            <w:r w:rsidRPr="6F187EDC">
              <w:t>5</w:t>
            </w:r>
          </w:p>
        </w:tc>
        <w:tc>
          <w:tcPr>
            <w:tcW w:w="9629" w:type="dxa"/>
            <w:tcMar>
              <w:left w:w="105" w:type="dxa"/>
              <w:right w:w="105" w:type="dxa"/>
            </w:tcMar>
            <w:vAlign w:val="bottom"/>
          </w:tcPr>
          <w:p w14:paraId="5A31B875" w14:textId="77777777" w:rsidR="00F150F9" w:rsidRDefault="00F150F9" w:rsidP="00324F35">
            <w:pPr>
              <w:ind w:left="0" w:right="0"/>
              <w:cnfStyle w:val="000000000000" w:firstRow="0" w:lastRow="0" w:firstColumn="0" w:lastColumn="0" w:oddVBand="0" w:evenVBand="0" w:oddHBand="0" w:evenHBand="0" w:firstRowFirstColumn="0" w:firstRowLastColumn="0" w:lastRowFirstColumn="0" w:lastRowLastColumn="0"/>
            </w:pPr>
            <w:r w:rsidRPr="6F187EDC">
              <w:t>Utvärdera och dokumentera</w:t>
            </w:r>
          </w:p>
        </w:tc>
      </w:tr>
    </w:tbl>
    <w:p w14:paraId="6D11B145" w14:textId="2D4EC1C8" w:rsidR="009E52B2" w:rsidRDefault="00F150F9" w:rsidP="00482E06">
      <w:pPr>
        <w:pStyle w:val="Rubrik3"/>
        <w:numPr>
          <w:ilvl w:val="0"/>
          <w:numId w:val="28"/>
        </w:numPr>
      </w:pPr>
      <w:bookmarkStart w:id="17" w:name="_Toc239253407"/>
      <w:r>
        <w:t>Bedsidebedömning och mobiliseringsmål</w:t>
      </w:r>
      <w:bookmarkEnd w:id="17"/>
    </w:p>
    <w:p w14:paraId="7E3D18D9" w14:textId="77777777" w:rsidR="002C1228" w:rsidRPr="002C1228" w:rsidRDefault="002C1228" w:rsidP="002C1228">
      <w:pPr>
        <w:rPr>
          <w:rFonts w:eastAsia="Georgia"/>
        </w:rPr>
      </w:pPr>
      <w:r w:rsidRPr="002C1228">
        <w:rPr>
          <w:rFonts w:eastAsia="Georgia"/>
        </w:rPr>
        <w:t xml:space="preserve">Målet är att påbörja mobilisering av patient inom 48h efter ankomst till IVA/IMA med hjälp av IMS (7), se nedan.   </w:t>
      </w:r>
    </w:p>
    <w:p w14:paraId="08EF36AB" w14:textId="77777777" w:rsidR="002C1228" w:rsidRDefault="002C1228" w:rsidP="002C1228">
      <w:pPr>
        <w:rPr>
          <w:rFonts w:eastAsia="Georgia"/>
        </w:rPr>
      </w:pPr>
      <w:r w:rsidRPr="002C1228">
        <w:rPr>
          <w:rFonts w:eastAsia="Georgia"/>
        </w:rPr>
        <w:lastRenderedPageBreak/>
        <w:t>Läkaren, sjuksköterskan, undersköterskan och fysioterapeuten fastställer mobiliseringsmål för patienten. Detta göras dagligen och kan delas in i 5 mobiliseringsnivåer. (Nivå 0 är inkluderat i den basala omvårdnaden och ingår inte i mobiliseringen, nivå 0 kan tillämpas till alla patienter). Mobilisering utförs under 10-30 minuter 3-4 ggr/dag. Sjuksköterskan och undersköterskan ansvarar för att utföra mobiliseringen. Vilken mobiliseringsnivå som är aktuell ordineras av läkarnas rondfönster.</w:t>
      </w:r>
    </w:p>
    <w:tbl>
      <w:tblPr>
        <w:tblStyle w:val="Rutntstabell4dekorfrg1"/>
        <w:tblW w:w="10057"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780"/>
        <w:gridCol w:w="1779"/>
        <w:gridCol w:w="2536"/>
        <w:gridCol w:w="4962"/>
      </w:tblGrid>
      <w:tr w:rsidR="007276DB" w14:paraId="58E0316E" w14:textId="77777777" w:rsidTr="00000BEC">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80" w:type="dxa"/>
            <w:tcBorders>
              <w:top w:val="single" w:sz="6" w:space="0" w:color="156082"/>
              <w:left w:val="single" w:sz="6" w:space="0" w:color="156082"/>
              <w:bottom w:val="single" w:sz="6" w:space="0" w:color="156082"/>
            </w:tcBorders>
            <w:tcMar>
              <w:left w:w="105" w:type="dxa"/>
              <w:right w:w="105" w:type="dxa"/>
            </w:tcMar>
            <w:vAlign w:val="bottom"/>
          </w:tcPr>
          <w:p w14:paraId="68F27EC2" w14:textId="77777777" w:rsidR="007276DB" w:rsidRDefault="007276DB" w:rsidP="00324F35">
            <w:pPr>
              <w:ind w:left="0" w:right="0"/>
              <w:jc w:val="center"/>
              <w:rPr>
                <w:rFonts w:ascii="Aptos" w:eastAsia="Aptos" w:hAnsi="Aptos" w:cs="Aptos"/>
              </w:rPr>
            </w:pPr>
            <w:r w:rsidRPr="6F187EDC">
              <w:rPr>
                <w:rFonts w:ascii="Aptos" w:eastAsia="Aptos" w:hAnsi="Aptos" w:cs="Aptos"/>
              </w:rPr>
              <w:t xml:space="preserve">Nivå </w:t>
            </w:r>
          </w:p>
        </w:tc>
        <w:tc>
          <w:tcPr>
            <w:tcW w:w="1779" w:type="dxa"/>
            <w:tcBorders>
              <w:top w:val="single" w:sz="6" w:space="0" w:color="156082"/>
              <w:bottom w:val="single" w:sz="6" w:space="0" w:color="156082"/>
            </w:tcBorders>
            <w:tcMar>
              <w:left w:w="105" w:type="dxa"/>
              <w:right w:w="105" w:type="dxa"/>
            </w:tcMar>
            <w:vAlign w:val="bottom"/>
          </w:tcPr>
          <w:p w14:paraId="39F5B90F" w14:textId="77777777" w:rsidR="007276DB" w:rsidRDefault="007276DB" w:rsidP="00324F35">
            <w:pPr>
              <w:ind w:left="0" w:right="0"/>
              <w:jc w:val="center"/>
              <w:cnfStyle w:val="100000000000" w:firstRow="1" w:lastRow="0" w:firstColumn="0" w:lastColumn="0" w:oddVBand="0" w:evenVBand="0" w:oddHBand="0" w:evenHBand="0" w:firstRowFirstColumn="0" w:firstRowLastColumn="0" w:lastRowFirstColumn="0" w:lastRowLastColumn="0"/>
              <w:rPr>
                <w:rFonts w:ascii="Aptos" w:eastAsia="Aptos" w:hAnsi="Aptos" w:cs="Aptos"/>
                <w:b w:val="0"/>
                <w:bCs w:val="0"/>
              </w:rPr>
            </w:pPr>
            <w:r w:rsidRPr="6F187EDC">
              <w:rPr>
                <w:rFonts w:ascii="Aptos" w:eastAsia="Aptos" w:hAnsi="Aptos" w:cs="Aptos"/>
              </w:rPr>
              <w:t>Benämning</w:t>
            </w:r>
          </w:p>
        </w:tc>
        <w:tc>
          <w:tcPr>
            <w:tcW w:w="2536" w:type="dxa"/>
            <w:tcBorders>
              <w:top w:val="single" w:sz="6" w:space="0" w:color="156082"/>
              <w:bottom w:val="single" w:sz="6" w:space="0" w:color="156082"/>
            </w:tcBorders>
            <w:tcMar>
              <w:left w:w="105" w:type="dxa"/>
              <w:right w:w="105" w:type="dxa"/>
            </w:tcMar>
            <w:vAlign w:val="bottom"/>
          </w:tcPr>
          <w:p w14:paraId="22C95376" w14:textId="77777777" w:rsidR="007276DB" w:rsidRDefault="007276DB" w:rsidP="00324F35">
            <w:pPr>
              <w:ind w:left="0" w:right="0"/>
              <w:jc w:val="center"/>
              <w:cnfStyle w:val="100000000000" w:firstRow="1" w:lastRow="0" w:firstColumn="0" w:lastColumn="0" w:oddVBand="0" w:evenVBand="0" w:oddHBand="0" w:evenHBand="0" w:firstRowFirstColumn="0" w:firstRowLastColumn="0" w:lastRowFirstColumn="0" w:lastRowLastColumn="0"/>
              <w:rPr>
                <w:rFonts w:ascii="Aptos" w:eastAsia="Aptos" w:hAnsi="Aptos" w:cs="Aptos"/>
                <w:b w:val="0"/>
                <w:bCs w:val="0"/>
              </w:rPr>
            </w:pPr>
            <w:r w:rsidRPr="6F187EDC">
              <w:rPr>
                <w:rFonts w:ascii="Aptos" w:eastAsia="Aptos" w:hAnsi="Aptos" w:cs="Aptos"/>
              </w:rPr>
              <w:t>Syfte</w:t>
            </w:r>
          </w:p>
        </w:tc>
        <w:tc>
          <w:tcPr>
            <w:tcW w:w="4962" w:type="dxa"/>
            <w:tcBorders>
              <w:top w:val="single" w:sz="6" w:space="0" w:color="156082"/>
              <w:bottom w:val="single" w:sz="6" w:space="0" w:color="156082"/>
              <w:right w:val="single" w:sz="6" w:space="0" w:color="156082"/>
            </w:tcBorders>
            <w:tcMar>
              <w:left w:w="105" w:type="dxa"/>
              <w:right w:w="105" w:type="dxa"/>
            </w:tcMar>
            <w:vAlign w:val="bottom"/>
          </w:tcPr>
          <w:p w14:paraId="209395A2" w14:textId="77777777" w:rsidR="007276DB" w:rsidRDefault="007276DB" w:rsidP="00324F35">
            <w:pPr>
              <w:ind w:left="0" w:right="0"/>
              <w:jc w:val="center"/>
              <w:cnfStyle w:val="100000000000" w:firstRow="1" w:lastRow="0" w:firstColumn="0" w:lastColumn="0" w:oddVBand="0" w:evenVBand="0" w:oddHBand="0" w:evenHBand="0" w:firstRowFirstColumn="0" w:firstRowLastColumn="0" w:lastRowFirstColumn="0" w:lastRowLastColumn="0"/>
              <w:rPr>
                <w:rFonts w:ascii="Aptos" w:eastAsia="Aptos" w:hAnsi="Aptos" w:cs="Aptos"/>
                <w:b w:val="0"/>
                <w:bCs w:val="0"/>
              </w:rPr>
            </w:pPr>
            <w:r w:rsidRPr="6F187EDC">
              <w:rPr>
                <w:rFonts w:ascii="Aptos" w:eastAsia="Aptos" w:hAnsi="Aptos" w:cs="Aptos"/>
              </w:rPr>
              <w:t>Åtgärder</w:t>
            </w:r>
          </w:p>
        </w:tc>
      </w:tr>
      <w:tr w:rsidR="007276DB" w14:paraId="1E2AACE9" w14:textId="77777777" w:rsidTr="00000BEC">
        <w:trPr>
          <w:trHeight w:val="285"/>
        </w:trPr>
        <w:tc>
          <w:tcPr>
            <w:cnfStyle w:val="001000000000" w:firstRow="0" w:lastRow="0" w:firstColumn="1" w:lastColumn="0" w:oddVBand="0" w:evenVBand="0" w:oddHBand="0" w:evenHBand="0" w:firstRowFirstColumn="0" w:firstRowLastColumn="0" w:lastRowFirstColumn="0" w:lastRowLastColumn="0"/>
            <w:tcW w:w="780" w:type="dxa"/>
            <w:tcMar>
              <w:left w:w="105" w:type="dxa"/>
              <w:right w:w="105" w:type="dxa"/>
            </w:tcMar>
            <w:vAlign w:val="center"/>
          </w:tcPr>
          <w:p w14:paraId="2BD5310A" w14:textId="77777777" w:rsidR="007276DB" w:rsidRDefault="007276DB" w:rsidP="00324F35">
            <w:pPr>
              <w:ind w:left="0" w:right="0"/>
              <w:jc w:val="right"/>
              <w:rPr>
                <w:rFonts w:ascii="Aptos" w:eastAsia="Aptos" w:hAnsi="Aptos" w:cs="Aptos"/>
                <w:color w:val="000000" w:themeColor="text2"/>
                <w:sz w:val="20"/>
                <w:szCs w:val="20"/>
              </w:rPr>
            </w:pPr>
            <w:r w:rsidRPr="6F187EDC">
              <w:rPr>
                <w:rFonts w:ascii="Aptos" w:eastAsia="Aptos" w:hAnsi="Aptos" w:cs="Aptos"/>
                <w:color w:val="000000" w:themeColor="text2"/>
                <w:sz w:val="20"/>
                <w:szCs w:val="20"/>
              </w:rPr>
              <w:t>0</w:t>
            </w:r>
          </w:p>
        </w:tc>
        <w:tc>
          <w:tcPr>
            <w:tcW w:w="1779" w:type="dxa"/>
            <w:tcMar>
              <w:left w:w="105" w:type="dxa"/>
              <w:right w:w="105" w:type="dxa"/>
            </w:tcMar>
          </w:tcPr>
          <w:p w14:paraId="2CC70B93" w14:textId="18AF1BFD" w:rsidR="007276DB" w:rsidRDefault="007276DB" w:rsidP="00324F35">
            <w:pPr>
              <w:ind w:left="0" w:right="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Basal omv</w:t>
            </w:r>
            <w:r w:rsidR="00000BEC">
              <w:rPr>
                <w:rFonts w:ascii="Aptos" w:eastAsia="Aptos" w:hAnsi="Aptos" w:cs="Aptos"/>
                <w:color w:val="000000" w:themeColor="text2"/>
                <w:sz w:val="20"/>
                <w:szCs w:val="20"/>
              </w:rPr>
              <w:t>årdnad</w:t>
            </w:r>
          </w:p>
        </w:tc>
        <w:tc>
          <w:tcPr>
            <w:tcW w:w="2536" w:type="dxa"/>
            <w:tcMar>
              <w:left w:w="105" w:type="dxa"/>
              <w:right w:w="105" w:type="dxa"/>
            </w:tcMar>
          </w:tcPr>
          <w:p w14:paraId="6B13D00E" w14:textId="77777777" w:rsidR="007276DB" w:rsidRDefault="007276DB" w:rsidP="00324F35">
            <w:pPr>
              <w:ind w:left="0" w:right="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Förebygga komplikationer</w:t>
            </w:r>
          </w:p>
        </w:tc>
        <w:tc>
          <w:tcPr>
            <w:tcW w:w="4962" w:type="dxa"/>
            <w:tcMar>
              <w:left w:w="105" w:type="dxa"/>
              <w:right w:w="105" w:type="dxa"/>
            </w:tcMar>
          </w:tcPr>
          <w:p w14:paraId="72219820" w14:textId="77777777" w:rsidR="007276DB" w:rsidRDefault="007276DB" w:rsidP="007276DB">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Huvudända ≥30°</w:t>
            </w:r>
          </w:p>
          <w:p w14:paraId="0DD60B53" w14:textId="77777777" w:rsidR="007276DB" w:rsidRDefault="007276DB" w:rsidP="007276DB">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Lägesändringar</w:t>
            </w:r>
          </w:p>
          <w:p w14:paraId="46614F44" w14:textId="30ADA5F4" w:rsidR="007276DB" w:rsidRPr="00B035A3" w:rsidRDefault="007276DB" w:rsidP="00B035A3">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Andningsträning med PEP</w:t>
            </w:r>
          </w:p>
        </w:tc>
      </w:tr>
      <w:tr w:rsidR="007276DB" w14:paraId="74D7A9E0" w14:textId="77777777" w:rsidTr="00000BEC">
        <w:trPr>
          <w:trHeight w:val="285"/>
        </w:trPr>
        <w:tc>
          <w:tcPr>
            <w:cnfStyle w:val="001000000000" w:firstRow="0" w:lastRow="0" w:firstColumn="1" w:lastColumn="0" w:oddVBand="0" w:evenVBand="0" w:oddHBand="0" w:evenHBand="0" w:firstRowFirstColumn="0" w:firstRowLastColumn="0" w:lastRowFirstColumn="0" w:lastRowLastColumn="0"/>
            <w:tcW w:w="780" w:type="dxa"/>
            <w:tcMar>
              <w:left w:w="105" w:type="dxa"/>
              <w:right w:w="105" w:type="dxa"/>
            </w:tcMar>
            <w:vAlign w:val="center"/>
          </w:tcPr>
          <w:p w14:paraId="66382BE0" w14:textId="77777777" w:rsidR="007276DB" w:rsidRDefault="007276DB" w:rsidP="00324F35">
            <w:pPr>
              <w:ind w:left="0" w:right="0"/>
              <w:jc w:val="right"/>
              <w:rPr>
                <w:rFonts w:ascii="Aptos" w:eastAsia="Aptos" w:hAnsi="Aptos" w:cs="Aptos"/>
                <w:color w:val="000000" w:themeColor="text2"/>
                <w:sz w:val="20"/>
                <w:szCs w:val="20"/>
              </w:rPr>
            </w:pPr>
            <w:r w:rsidRPr="6F187EDC">
              <w:rPr>
                <w:rFonts w:ascii="Aptos" w:eastAsia="Aptos" w:hAnsi="Aptos" w:cs="Aptos"/>
                <w:color w:val="000000" w:themeColor="text2"/>
                <w:sz w:val="20"/>
                <w:szCs w:val="20"/>
              </w:rPr>
              <w:t>1</w:t>
            </w:r>
          </w:p>
        </w:tc>
        <w:tc>
          <w:tcPr>
            <w:tcW w:w="1779" w:type="dxa"/>
            <w:tcMar>
              <w:left w:w="105" w:type="dxa"/>
              <w:right w:w="105" w:type="dxa"/>
            </w:tcMar>
          </w:tcPr>
          <w:p w14:paraId="13F82A49" w14:textId="77777777" w:rsidR="007276DB" w:rsidRDefault="007276DB" w:rsidP="00324F35">
            <w:pPr>
              <w:ind w:left="0" w:right="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 xml:space="preserve">Balas mobilisering </w:t>
            </w:r>
          </w:p>
        </w:tc>
        <w:tc>
          <w:tcPr>
            <w:tcW w:w="2536" w:type="dxa"/>
            <w:tcMar>
              <w:left w:w="105" w:type="dxa"/>
              <w:right w:w="105" w:type="dxa"/>
            </w:tcMar>
          </w:tcPr>
          <w:p w14:paraId="327AFA4D" w14:textId="77777777" w:rsidR="007276DB" w:rsidRDefault="007276DB" w:rsidP="00324F35">
            <w:pPr>
              <w:ind w:left="0" w:right="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Bibehålla rörelseförmåga</w:t>
            </w:r>
          </w:p>
        </w:tc>
        <w:tc>
          <w:tcPr>
            <w:tcW w:w="4962" w:type="dxa"/>
            <w:tcMar>
              <w:left w:w="105" w:type="dxa"/>
              <w:right w:w="105" w:type="dxa"/>
            </w:tcMar>
          </w:tcPr>
          <w:p w14:paraId="32E13643" w14:textId="77777777" w:rsidR="007276DB" w:rsidRDefault="007276DB" w:rsidP="007276DB">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Alla steg under Nivå 0.</w:t>
            </w:r>
          </w:p>
          <w:p w14:paraId="04EB7D76" w14:textId="77777777" w:rsidR="007276DB" w:rsidRDefault="007276DB" w:rsidP="007276DB">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Passivt rörelseuttag</w:t>
            </w:r>
          </w:p>
          <w:p w14:paraId="5938D887" w14:textId="77777777" w:rsidR="007276DB" w:rsidRDefault="007276DB" w:rsidP="007276DB">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Aktivt rörelseuttag</w:t>
            </w:r>
          </w:p>
        </w:tc>
      </w:tr>
      <w:tr w:rsidR="007276DB" w14:paraId="5836E5E8" w14:textId="77777777" w:rsidTr="00000BEC">
        <w:trPr>
          <w:trHeight w:val="285"/>
        </w:trPr>
        <w:tc>
          <w:tcPr>
            <w:cnfStyle w:val="001000000000" w:firstRow="0" w:lastRow="0" w:firstColumn="1" w:lastColumn="0" w:oddVBand="0" w:evenVBand="0" w:oddHBand="0" w:evenHBand="0" w:firstRowFirstColumn="0" w:firstRowLastColumn="0" w:lastRowFirstColumn="0" w:lastRowLastColumn="0"/>
            <w:tcW w:w="780" w:type="dxa"/>
            <w:tcMar>
              <w:left w:w="105" w:type="dxa"/>
              <w:right w:w="105" w:type="dxa"/>
            </w:tcMar>
            <w:vAlign w:val="center"/>
          </w:tcPr>
          <w:p w14:paraId="109CF9BA" w14:textId="77777777" w:rsidR="007276DB" w:rsidRDefault="007276DB" w:rsidP="00324F35">
            <w:pPr>
              <w:ind w:left="0" w:right="0"/>
              <w:jc w:val="right"/>
              <w:rPr>
                <w:rFonts w:ascii="Aptos" w:eastAsia="Aptos" w:hAnsi="Aptos" w:cs="Aptos"/>
                <w:color w:val="000000" w:themeColor="text2"/>
                <w:sz w:val="20"/>
                <w:szCs w:val="20"/>
              </w:rPr>
            </w:pPr>
            <w:r w:rsidRPr="6F187EDC">
              <w:rPr>
                <w:rFonts w:ascii="Aptos" w:eastAsia="Aptos" w:hAnsi="Aptos" w:cs="Aptos"/>
                <w:color w:val="000000" w:themeColor="text2"/>
                <w:sz w:val="20"/>
                <w:szCs w:val="20"/>
              </w:rPr>
              <w:t>2</w:t>
            </w:r>
          </w:p>
        </w:tc>
        <w:tc>
          <w:tcPr>
            <w:tcW w:w="1779" w:type="dxa"/>
            <w:tcMar>
              <w:left w:w="105" w:type="dxa"/>
              <w:right w:w="105" w:type="dxa"/>
            </w:tcMar>
          </w:tcPr>
          <w:p w14:paraId="71251814" w14:textId="212B1937" w:rsidR="007276DB" w:rsidRDefault="007276DB" w:rsidP="00324F35">
            <w:pPr>
              <w:ind w:left="0" w:right="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Passiv mobiliserin</w:t>
            </w:r>
            <w:r w:rsidR="00000BEC">
              <w:rPr>
                <w:rFonts w:ascii="Aptos" w:eastAsia="Aptos" w:hAnsi="Aptos" w:cs="Aptos"/>
                <w:color w:val="000000" w:themeColor="text2"/>
                <w:sz w:val="20"/>
                <w:szCs w:val="20"/>
              </w:rPr>
              <w:t>g</w:t>
            </w:r>
          </w:p>
        </w:tc>
        <w:tc>
          <w:tcPr>
            <w:tcW w:w="2536" w:type="dxa"/>
            <w:tcMar>
              <w:left w:w="105" w:type="dxa"/>
              <w:right w:w="105" w:type="dxa"/>
            </w:tcMar>
          </w:tcPr>
          <w:p w14:paraId="3719AA5B" w14:textId="77777777" w:rsidR="007276DB" w:rsidRDefault="007276DB" w:rsidP="00324F35">
            <w:pPr>
              <w:ind w:left="0" w:right="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Tidig mobilisering utan aktiv medverkan</w:t>
            </w:r>
          </w:p>
        </w:tc>
        <w:tc>
          <w:tcPr>
            <w:tcW w:w="4962" w:type="dxa"/>
            <w:tcMar>
              <w:left w:w="105" w:type="dxa"/>
              <w:right w:w="105" w:type="dxa"/>
            </w:tcMar>
          </w:tcPr>
          <w:p w14:paraId="6EA93EE5" w14:textId="77777777" w:rsidR="007276DB" w:rsidRDefault="007276DB" w:rsidP="007276DB">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Alla steg under Nivå 1</w:t>
            </w:r>
          </w:p>
          <w:p w14:paraId="6DDECF39" w14:textId="77777777" w:rsidR="007276DB" w:rsidRDefault="007276DB" w:rsidP="007276DB">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Kombistol (Sara-combiliser/JATAB-stol)</w:t>
            </w:r>
          </w:p>
          <w:p w14:paraId="17C0BD9D" w14:textId="77777777" w:rsidR="007276DB" w:rsidRDefault="007276DB" w:rsidP="007276DB">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Sängcykling</w:t>
            </w:r>
          </w:p>
        </w:tc>
      </w:tr>
      <w:tr w:rsidR="007276DB" w14:paraId="464F14C3" w14:textId="77777777" w:rsidTr="00B035A3">
        <w:trPr>
          <w:trHeight w:val="1960"/>
        </w:trPr>
        <w:tc>
          <w:tcPr>
            <w:cnfStyle w:val="001000000000" w:firstRow="0" w:lastRow="0" w:firstColumn="1" w:lastColumn="0" w:oddVBand="0" w:evenVBand="0" w:oddHBand="0" w:evenHBand="0" w:firstRowFirstColumn="0" w:firstRowLastColumn="0" w:lastRowFirstColumn="0" w:lastRowLastColumn="0"/>
            <w:tcW w:w="780" w:type="dxa"/>
            <w:tcMar>
              <w:left w:w="105" w:type="dxa"/>
              <w:right w:w="105" w:type="dxa"/>
            </w:tcMar>
            <w:vAlign w:val="center"/>
          </w:tcPr>
          <w:p w14:paraId="4D1EE61F" w14:textId="77777777" w:rsidR="007276DB" w:rsidRDefault="007276DB" w:rsidP="00324F35">
            <w:pPr>
              <w:ind w:left="0" w:right="0"/>
              <w:jc w:val="right"/>
              <w:rPr>
                <w:rFonts w:ascii="Aptos" w:eastAsia="Aptos" w:hAnsi="Aptos" w:cs="Aptos"/>
                <w:color w:val="000000" w:themeColor="text2"/>
                <w:sz w:val="20"/>
                <w:szCs w:val="20"/>
              </w:rPr>
            </w:pPr>
            <w:r w:rsidRPr="6F187EDC">
              <w:rPr>
                <w:rFonts w:ascii="Aptos" w:eastAsia="Aptos" w:hAnsi="Aptos" w:cs="Aptos"/>
                <w:color w:val="000000" w:themeColor="text2"/>
                <w:sz w:val="20"/>
                <w:szCs w:val="20"/>
              </w:rPr>
              <w:t>3</w:t>
            </w:r>
          </w:p>
        </w:tc>
        <w:tc>
          <w:tcPr>
            <w:tcW w:w="1779" w:type="dxa"/>
            <w:tcMar>
              <w:left w:w="105" w:type="dxa"/>
              <w:right w:w="105" w:type="dxa"/>
            </w:tcMar>
          </w:tcPr>
          <w:p w14:paraId="356F223B" w14:textId="021600D8" w:rsidR="007276DB" w:rsidRDefault="007276DB" w:rsidP="00324F35">
            <w:pPr>
              <w:ind w:left="0" w:right="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Aktiv mobiliserin</w:t>
            </w:r>
            <w:r w:rsidR="00000BEC">
              <w:rPr>
                <w:rFonts w:ascii="Aptos" w:eastAsia="Aptos" w:hAnsi="Aptos" w:cs="Aptos"/>
                <w:color w:val="000000" w:themeColor="text2"/>
                <w:sz w:val="20"/>
                <w:szCs w:val="20"/>
              </w:rPr>
              <w:t>g</w:t>
            </w:r>
          </w:p>
        </w:tc>
        <w:tc>
          <w:tcPr>
            <w:tcW w:w="2536" w:type="dxa"/>
            <w:tcMar>
              <w:left w:w="105" w:type="dxa"/>
              <w:right w:w="105" w:type="dxa"/>
            </w:tcMar>
          </w:tcPr>
          <w:p w14:paraId="03810BA7" w14:textId="77777777" w:rsidR="007276DB" w:rsidRDefault="007276DB" w:rsidP="00324F35">
            <w:pPr>
              <w:ind w:left="0" w:right="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Återfå funktion</w:t>
            </w:r>
          </w:p>
        </w:tc>
        <w:tc>
          <w:tcPr>
            <w:tcW w:w="4962" w:type="dxa"/>
            <w:tcMar>
              <w:left w:w="105" w:type="dxa"/>
              <w:right w:w="105" w:type="dxa"/>
            </w:tcMar>
          </w:tcPr>
          <w:p w14:paraId="08A8AD75" w14:textId="77777777" w:rsidR="007276DB" w:rsidRDefault="007276DB" w:rsidP="007276DB">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Alla steg under Nivå 1 och 2</w:t>
            </w:r>
          </w:p>
          <w:p w14:paraId="4A13264A" w14:textId="77777777" w:rsidR="007276DB" w:rsidRDefault="007276DB" w:rsidP="007276DB">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 xml:space="preserve">Sitta på sängkant - </w:t>
            </w:r>
            <w:r w:rsidRPr="6F187EDC">
              <w:rPr>
                <w:rFonts w:ascii="Aptos" w:eastAsia="Aptos" w:hAnsi="Aptos" w:cs="Aptos"/>
                <w:i/>
                <w:iCs/>
                <w:color w:val="000000" w:themeColor="text2"/>
                <w:sz w:val="20"/>
                <w:szCs w:val="20"/>
              </w:rPr>
              <w:t>kontakta fysioterapeut innan första försök till sängkant för patient som vårdats längre än 4 dygn på IVA/IMA</w:t>
            </w:r>
          </w:p>
          <w:p w14:paraId="5BB0B4FB" w14:textId="77777777" w:rsidR="007276DB" w:rsidRDefault="007276DB" w:rsidP="007276DB">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Stå upprätt i kombistol</w:t>
            </w:r>
          </w:p>
          <w:p w14:paraId="251BE1B1" w14:textId="77777777" w:rsidR="007276DB" w:rsidRDefault="007276DB" w:rsidP="007276DB">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Stå upp vid sängkant med gåbord.</w:t>
            </w:r>
          </w:p>
          <w:p w14:paraId="675BC2DA" w14:textId="55F4032E" w:rsidR="007276DB" w:rsidRPr="00B035A3" w:rsidRDefault="007276DB" w:rsidP="00B035A3">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Egen ADL</w:t>
            </w:r>
          </w:p>
        </w:tc>
      </w:tr>
      <w:tr w:rsidR="007276DB" w14:paraId="27461275" w14:textId="77777777" w:rsidTr="00000BEC">
        <w:trPr>
          <w:trHeight w:val="285"/>
        </w:trPr>
        <w:tc>
          <w:tcPr>
            <w:cnfStyle w:val="001000000000" w:firstRow="0" w:lastRow="0" w:firstColumn="1" w:lastColumn="0" w:oddVBand="0" w:evenVBand="0" w:oddHBand="0" w:evenHBand="0" w:firstRowFirstColumn="0" w:firstRowLastColumn="0" w:lastRowFirstColumn="0" w:lastRowLastColumn="0"/>
            <w:tcW w:w="780" w:type="dxa"/>
            <w:tcMar>
              <w:left w:w="105" w:type="dxa"/>
              <w:right w:w="105" w:type="dxa"/>
            </w:tcMar>
            <w:vAlign w:val="center"/>
          </w:tcPr>
          <w:p w14:paraId="62DC686F" w14:textId="77777777" w:rsidR="007276DB" w:rsidRDefault="007276DB" w:rsidP="00324F35">
            <w:pPr>
              <w:ind w:left="0" w:right="0"/>
              <w:jc w:val="right"/>
              <w:rPr>
                <w:rFonts w:ascii="Aptos" w:eastAsia="Aptos" w:hAnsi="Aptos" w:cs="Aptos"/>
                <w:color w:val="000000" w:themeColor="text2"/>
                <w:sz w:val="20"/>
                <w:szCs w:val="20"/>
              </w:rPr>
            </w:pPr>
            <w:r w:rsidRPr="6F187EDC">
              <w:rPr>
                <w:rFonts w:ascii="Aptos" w:eastAsia="Aptos" w:hAnsi="Aptos" w:cs="Aptos"/>
                <w:color w:val="000000" w:themeColor="text2"/>
                <w:sz w:val="20"/>
                <w:szCs w:val="20"/>
              </w:rPr>
              <w:t>4</w:t>
            </w:r>
          </w:p>
        </w:tc>
        <w:tc>
          <w:tcPr>
            <w:tcW w:w="1779" w:type="dxa"/>
            <w:tcMar>
              <w:left w:w="105" w:type="dxa"/>
              <w:right w:w="105" w:type="dxa"/>
            </w:tcMar>
          </w:tcPr>
          <w:p w14:paraId="3C9F643C" w14:textId="152D334E" w:rsidR="007276DB" w:rsidRDefault="007276DB" w:rsidP="00324F35">
            <w:pPr>
              <w:ind w:left="0" w:right="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Mobilisering utanför vårdru</w:t>
            </w:r>
            <w:r w:rsidR="00000BEC">
              <w:rPr>
                <w:rFonts w:ascii="Aptos" w:eastAsia="Aptos" w:hAnsi="Aptos" w:cs="Aptos"/>
                <w:color w:val="000000" w:themeColor="text2"/>
                <w:sz w:val="20"/>
                <w:szCs w:val="20"/>
              </w:rPr>
              <w:t>m</w:t>
            </w:r>
          </w:p>
        </w:tc>
        <w:tc>
          <w:tcPr>
            <w:tcW w:w="2536" w:type="dxa"/>
            <w:tcMar>
              <w:left w:w="105" w:type="dxa"/>
              <w:right w:w="105" w:type="dxa"/>
            </w:tcMar>
          </w:tcPr>
          <w:p w14:paraId="49D51994" w14:textId="77777777" w:rsidR="007276DB" w:rsidRDefault="007276DB" w:rsidP="00324F35">
            <w:pPr>
              <w:ind w:left="0" w:right="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Öka självständighet och stimulans</w:t>
            </w:r>
          </w:p>
        </w:tc>
        <w:tc>
          <w:tcPr>
            <w:tcW w:w="4962" w:type="dxa"/>
            <w:tcMar>
              <w:left w:w="105" w:type="dxa"/>
              <w:right w:w="105" w:type="dxa"/>
            </w:tcMar>
          </w:tcPr>
          <w:p w14:paraId="0F431D0F" w14:textId="77777777" w:rsidR="007276DB" w:rsidRDefault="007276DB" w:rsidP="007276DB">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Alla steg under Nivå 1, 2 och 3</w:t>
            </w:r>
          </w:p>
          <w:p w14:paraId="1CBE7735" w14:textId="77777777" w:rsidR="007276DB" w:rsidRDefault="007276DB" w:rsidP="007276DB">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Promenad i kombistol/rullstol</w:t>
            </w:r>
          </w:p>
          <w:p w14:paraId="51EFECEB" w14:textId="77777777" w:rsidR="007276DB" w:rsidRDefault="007276DB" w:rsidP="007276DB">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Stå/gåträning med levande stöd eller gåbord</w:t>
            </w:r>
          </w:p>
          <w:p w14:paraId="7C60C3D7" w14:textId="77777777" w:rsidR="007276DB" w:rsidRDefault="007276DB" w:rsidP="007276DB">
            <w:pPr>
              <w:pStyle w:val="Liststycke"/>
              <w:spacing w:line="288" w:lineRule="auto"/>
              <w:ind w:left="360" w:right="0" w:hanging="360"/>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2"/>
                <w:sz w:val="20"/>
                <w:szCs w:val="20"/>
              </w:rPr>
            </w:pPr>
            <w:r w:rsidRPr="6F187EDC">
              <w:rPr>
                <w:rFonts w:ascii="Aptos" w:eastAsia="Aptos" w:hAnsi="Aptos" w:cs="Aptos"/>
                <w:color w:val="000000" w:themeColor="text2"/>
                <w:sz w:val="20"/>
                <w:szCs w:val="20"/>
              </w:rPr>
              <w:t>Promenad med levande stöd/gåbord</w:t>
            </w:r>
          </w:p>
        </w:tc>
      </w:tr>
    </w:tbl>
    <w:p w14:paraId="48091A59" w14:textId="77777777" w:rsidR="002C1228" w:rsidRDefault="002C1228" w:rsidP="002C1228">
      <w:pPr>
        <w:rPr>
          <w:rFonts w:eastAsia="Georgia"/>
        </w:rPr>
      </w:pPr>
    </w:p>
    <w:p w14:paraId="77B2B5F4" w14:textId="399FEBCE" w:rsidR="007276DB" w:rsidRDefault="007276DB" w:rsidP="00482E06">
      <w:pPr>
        <w:pStyle w:val="Rubrik3"/>
        <w:numPr>
          <w:ilvl w:val="0"/>
          <w:numId w:val="28"/>
        </w:numPr>
      </w:pPr>
      <w:bookmarkStart w:id="18" w:name="_Toc239253408"/>
      <w:r>
        <w:t>Kontraindikationer för mobilisering</w:t>
      </w:r>
      <w:bookmarkEnd w:id="18"/>
    </w:p>
    <w:p w14:paraId="3359D9AB" w14:textId="77777777" w:rsidR="003C0332" w:rsidRDefault="003C0332" w:rsidP="003C0332">
      <w:r w:rsidRPr="70531174">
        <w:t>Föreligger ingen kontraindikation kan ansvarig sjuksköterska tillsammans med undersköterska påbörja mobilisering utan att rådfråga läkare. Det finns få absoluta men flera relativa kontraindikationer, vid tveksamhet fråga läkare. </w:t>
      </w:r>
    </w:p>
    <w:p w14:paraId="6AFC3EDE" w14:textId="77777777" w:rsidR="00D210E8" w:rsidRDefault="00D210E8" w:rsidP="003C0332"/>
    <w:tbl>
      <w:tblPr>
        <w:tblStyle w:val="Rutntstabell4dekorfrg1"/>
        <w:tblW w:w="10201"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0201"/>
      </w:tblGrid>
      <w:tr w:rsidR="00F70E7A" w14:paraId="6742D962" w14:textId="77777777" w:rsidTr="00B035A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0201" w:type="dxa"/>
            <w:tcBorders>
              <w:top w:val="single" w:sz="6" w:space="0" w:color="156082"/>
              <w:bottom w:val="single" w:sz="6" w:space="0" w:color="156082"/>
              <w:right w:val="single" w:sz="6" w:space="0" w:color="156082"/>
            </w:tcBorders>
            <w:tcMar>
              <w:left w:w="105" w:type="dxa"/>
              <w:right w:w="105" w:type="dxa"/>
            </w:tcMar>
            <w:vAlign w:val="bottom"/>
          </w:tcPr>
          <w:p w14:paraId="2349F4D8" w14:textId="77777777" w:rsidR="00F70E7A" w:rsidRDefault="00F70E7A" w:rsidP="00324F35">
            <w:pPr>
              <w:ind w:left="360" w:right="0"/>
            </w:pPr>
            <w:r>
              <w:lastRenderedPageBreak/>
              <w:t>Exempel på kontraindikation: </w:t>
            </w:r>
          </w:p>
        </w:tc>
      </w:tr>
      <w:tr w:rsidR="00F70E7A" w14:paraId="6330B82A" w14:textId="77777777" w:rsidTr="00B035A3">
        <w:trPr>
          <w:trHeight w:val="567"/>
        </w:trPr>
        <w:tc>
          <w:tcPr>
            <w:cnfStyle w:val="001000000000" w:firstRow="0" w:lastRow="0" w:firstColumn="1" w:lastColumn="0" w:oddVBand="0" w:evenVBand="0" w:oddHBand="0" w:evenHBand="0" w:firstRowFirstColumn="0" w:firstRowLastColumn="0" w:lastRowFirstColumn="0" w:lastRowLastColumn="0"/>
            <w:tcW w:w="10201" w:type="dxa"/>
            <w:tcMar>
              <w:left w:w="105" w:type="dxa"/>
              <w:right w:w="105" w:type="dxa"/>
            </w:tcMar>
            <w:vAlign w:val="bottom"/>
          </w:tcPr>
          <w:p w14:paraId="0A9A796B" w14:textId="77777777" w:rsidR="00F70E7A" w:rsidRDefault="00F70E7A" w:rsidP="00324F35">
            <w:pPr>
              <w:ind w:left="360" w:right="0"/>
              <w:rPr>
                <w:b w:val="0"/>
                <w:bCs w:val="0"/>
              </w:rPr>
            </w:pPr>
            <w:r>
              <w:rPr>
                <w:b w:val="0"/>
                <w:bCs w:val="0"/>
              </w:rPr>
              <w:t>Hemodynamisk instabilitet/kraftigt ökat inotropt stöd </w:t>
            </w:r>
          </w:p>
        </w:tc>
      </w:tr>
      <w:tr w:rsidR="00F70E7A" w14:paraId="6B6D24CD" w14:textId="77777777" w:rsidTr="00B035A3">
        <w:trPr>
          <w:trHeight w:val="567"/>
        </w:trPr>
        <w:tc>
          <w:tcPr>
            <w:cnfStyle w:val="001000000000" w:firstRow="0" w:lastRow="0" w:firstColumn="1" w:lastColumn="0" w:oddVBand="0" w:evenVBand="0" w:oddHBand="0" w:evenHBand="0" w:firstRowFirstColumn="0" w:firstRowLastColumn="0" w:lastRowFirstColumn="0" w:lastRowLastColumn="0"/>
            <w:tcW w:w="10201" w:type="dxa"/>
            <w:tcMar>
              <w:left w:w="105" w:type="dxa"/>
              <w:right w:w="105" w:type="dxa"/>
            </w:tcMar>
            <w:vAlign w:val="bottom"/>
          </w:tcPr>
          <w:p w14:paraId="5F16093C" w14:textId="77777777" w:rsidR="00F70E7A" w:rsidRDefault="00F70E7A" w:rsidP="00324F35">
            <w:pPr>
              <w:ind w:left="360" w:right="0"/>
              <w:rPr>
                <w:b w:val="0"/>
                <w:bCs w:val="0"/>
              </w:rPr>
            </w:pPr>
            <w:r>
              <w:rPr>
                <w:b w:val="0"/>
                <w:bCs w:val="0"/>
              </w:rPr>
              <w:t>Progredierande respiratorisk svikt och/eller högt syrgasbehov/höga PEEP </w:t>
            </w:r>
          </w:p>
        </w:tc>
      </w:tr>
      <w:tr w:rsidR="00F70E7A" w14:paraId="3D3C7603" w14:textId="77777777" w:rsidTr="00B035A3">
        <w:trPr>
          <w:trHeight w:val="567"/>
        </w:trPr>
        <w:tc>
          <w:tcPr>
            <w:cnfStyle w:val="001000000000" w:firstRow="0" w:lastRow="0" w:firstColumn="1" w:lastColumn="0" w:oddVBand="0" w:evenVBand="0" w:oddHBand="0" w:evenHBand="0" w:firstRowFirstColumn="0" w:firstRowLastColumn="0" w:lastRowFirstColumn="0" w:lastRowLastColumn="0"/>
            <w:tcW w:w="10201" w:type="dxa"/>
            <w:tcMar>
              <w:left w:w="105" w:type="dxa"/>
              <w:right w:w="105" w:type="dxa"/>
            </w:tcMar>
            <w:vAlign w:val="bottom"/>
          </w:tcPr>
          <w:p w14:paraId="5529BCCA" w14:textId="77777777" w:rsidR="00F70E7A" w:rsidRDefault="00F70E7A" w:rsidP="00324F35">
            <w:pPr>
              <w:ind w:left="360" w:right="0"/>
              <w:rPr>
                <w:b w:val="0"/>
                <w:bCs w:val="0"/>
              </w:rPr>
            </w:pPr>
            <w:r>
              <w:rPr>
                <w:b w:val="0"/>
                <w:bCs w:val="0"/>
              </w:rPr>
              <w:t>Påverkad av neuromuskulära blockerande läkemedel  </w:t>
            </w:r>
          </w:p>
        </w:tc>
      </w:tr>
      <w:tr w:rsidR="00F70E7A" w14:paraId="299061E3" w14:textId="77777777" w:rsidTr="00B035A3">
        <w:trPr>
          <w:trHeight w:val="567"/>
        </w:trPr>
        <w:tc>
          <w:tcPr>
            <w:cnfStyle w:val="001000000000" w:firstRow="0" w:lastRow="0" w:firstColumn="1" w:lastColumn="0" w:oddVBand="0" w:evenVBand="0" w:oddHBand="0" w:evenHBand="0" w:firstRowFirstColumn="0" w:firstRowLastColumn="0" w:lastRowFirstColumn="0" w:lastRowLastColumn="0"/>
            <w:tcW w:w="10201" w:type="dxa"/>
            <w:tcMar>
              <w:left w:w="105" w:type="dxa"/>
              <w:right w:w="105" w:type="dxa"/>
            </w:tcMar>
            <w:vAlign w:val="bottom"/>
          </w:tcPr>
          <w:p w14:paraId="538828C1" w14:textId="77777777" w:rsidR="00F70E7A" w:rsidRDefault="00F70E7A" w:rsidP="00324F35">
            <w:pPr>
              <w:ind w:left="360" w:right="0"/>
              <w:rPr>
                <w:b w:val="0"/>
                <w:bCs w:val="0"/>
              </w:rPr>
            </w:pPr>
            <w:r>
              <w:rPr>
                <w:b w:val="0"/>
                <w:bCs w:val="0"/>
              </w:rPr>
              <w:t>Hjärnblödning eller neurologiska sjukdomar (undvika högt ICP) </w:t>
            </w:r>
          </w:p>
        </w:tc>
      </w:tr>
      <w:tr w:rsidR="00F70E7A" w14:paraId="03E4EC5F" w14:textId="77777777" w:rsidTr="00B035A3">
        <w:trPr>
          <w:trHeight w:val="567"/>
        </w:trPr>
        <w:tc>
          <w:tcPr>
            <w:cnfStyle w:val="001000000000" w:firstRow="0" w:lastRow="0" w:firstColumn="1" w:lastColumn="0" w:oddVBand="0" w:evenVBand="0" w:oddHBand="0" w:evenHBand="0" w:firstRowFirstColumn="0" w:firstRowLastColumn="0" w:lastRowFirstColumn="0" w:lastRowLastColumn="0"/>
            <w:tcW w:w="10201" w:type="dxa"/>
            <w:tcMar>
              <w:left w:w="105" w:type="dxa"/>
              <w:right w:w="105" w:type="dxa"/>
            </w:tcMar>
            <w:vAlign w:val="bottom"/>
          </w:tcPr>
          <w:p w14:paraId="2307F8EA" w14:textId="77777777" w:rsidR="00F70E7A" w:rsidRDefault="00F70E7A" w:rsidP="00324F35">
            <w:pPr>
              <w:ind w:left="360" w:right="0"/>
              <w:rPr>
                <w:b w:val="0"/>
                <w:bCs w:val="0"/>
              </w:rPr>
            </w:pPr>
            <w:r>
              <w:rPr>
                <w:b w:val="0"/>
                <w:bCs w:val="0"/>
              </w:rPr>
              <w:t>Immobiliserad patient/ordinerat sängläge  </w:t>
            </w:r>
          </w:p>
        </w:tc>
      </w:tr>
      <w:tr w:rsidR="00F70E7A" w14:paraId="1A20E70E" w14:textId="77777777" w:rsidTr="00B035A3">
        <w:trPr>
          <w:trHeight w:val="567"/>
        </w:trPr>
        <w:tc>
          <w:tcPr>
            <w:cnfStyle w:val="001000000000" w:firstRow="0" w:lastRow="0" w:firstColumn="1" w:lastColumn="0" w:oddVBand="0" w:evenVBand="0" w:oddHBand="0" w:evenHBand="0" w:firstRowFirstColumn="0" w:firstRowLastColumn="0" w:lastRowFirstColumn="0" w:lastRowLastColumn="0"/>
            <w:tcW w:w="10201" w:type="dxa"/>
            <w:tcMar>
              <w:left w:w="105" w:type="dxa"/>
              <w:right w:w="105" w:type="dxa"/>
            </w:tcMar>
            <w:vAlign w:val="bottom"/>
          </w:tcPr>
          <w:p w14:paraId="004CB74E" w14:textId="77777777" w:rsidR="00F70E7A" w:rsidRDefault="00F70E7A" w:rsidP="00324F35">
            <w:pPr>
              <w:ind w:left="360" w:right="0"/>
              <w:rPr>
                <w:b w:val="0"/>
                <w:bCs w:val="0"/>
              </w:rPr>
            </w:pPr>
            <w:r>
              <w:rPr>
                <w:b w:val="0"/>
                <w:bCs w:val="0"/>
              </w:rPr>
              <w:t>Patienter där beslut är taget om palliation </w:t>
            </w:r>
          </w:p>
        </w:tc>
      </w:tr>
      <w:tr w:rsidR="00F70E7A" w14:paraId="4D949C87" w14:textId="77777777" w:rsidTr="00B035A3">
        <w:trPr>
          <w:trHeight w:val="567"/>
        </w:trPr>
        <w:tc>
          <w:tcPr>
            <w:cnfStyle w:val="001000000000" w:firstRow="0" w:lastRow="0" w:firstColumn="1" w:lastColumn="0" w:oddVBand="0" w:evenVBand="0" w:oddHBand="0" w:evenHBand="0" w:firstRowFirstColumn="0" w:firstRowLastColumn="0" w:lastRowFirstColumn="0" w:lastRowLastColumn="0"/>
            <w:tcW w:w="10201" w:type="dxa"/>
            <w:tcMar>
              <w:left w:w="105" w:type="dxa"/>
              <w:right w:w="105" w:type="dxa"/>
            </w:tcMar>
            <w:vAlign w:val="bottom"/>
          </w:tcPr>
          <w:p w14:paraId="7B4CD502" w14:textId="77777777" w:rsidR="00F70E7A" w:rsidRDefault="00F70E7A" w:rsidP="00324F35">
            <w:pPr>
              <w:ind w:left="360" w:right="0"/>
              <w:rPr>
                <w:b w:val="0"/>
                <w:bCs w:val="0"/>
              </w:rPr>
            </w:pPr>
            <w:r>
              <w:rPr>
                <w:b w:val="0"/>
                <w:bCs w:val="0"/>
              </w:rPr>
              <w:t>Öppen buk eller annan kirurgi med risk för sårruptur  </w:t>
            </w:r>
            <w:r>
              <w:br/>
            </w:r>
            <w:r>
              <w:rPr>
                <w:b w:val="0"/>
                <w:bCs w:val="0"/>
              </w:rPr>
              <w:t>(gäller ej VAC-PAC behandlade patienter) </w:t>
            </w:r>
          </w:p>
        </w:tc>
      </w:tr>
      <w:tr w:rsidR="00F70E7A" w14:paraId="632AF99A" w14:textId="77777777" w:rsidTr="00B035A3">
        <w:trPr>
          <w:trHeight w:val="567"/>
        </w:trPr>
        <w:tc>
          <w:tcPr>
            <w:cnfStyle w:val="001000000000" w:firstRow="0" w:lastRow="0" w:firstColumn="1" w:lastColumn="0" w:oddVBand="0" w:evenVBand="0" w:oddHBand="0" w:evenHBand="0" w:firstRowFirstColumn="0" w:firstRowLastColumn="0" w:lastRowFirstColumn="0" w:lastRowLastColumn="0"/>
            <w:tcW w:w="10201" w:type="dxa"/>
            <w:tcMar>
              <w:left w:w="105" w:type="dxa"/>
              <w:right w:w="105" w:type="dxa"/>
            </w:tcMar>
            <w:vAlign w:val="bottom"/>
          </w:tcPr>
          <w:p w14:paraId="5945BB30" w14:textId="77777777" w:rsidR="00F70E7A" w:rsidRDefault="00F70E7A" w:rsidP="00324F35">
            <w:pPr>
              <w:ind w:left="360" w:right="0"/>
              <w:rPr>
                <w:b w:val="0"/>
                <w:bCs w:val="0"/>
              </w:rPr>
            </w:pPr>
            <w:r>
              <w:rPr>
                <w:b w:val="0"/>
                <w:bCs w:val="0"/>
              </w:rPr>
              <w:t>Pågående, aktiv blödning </w:t>
            </w:r>
          </w:p>
        </w:tc>
      </w:tr>
    </w:tbl>
    <w:p w14:paraId="65ED8F4C" w14:textId="77777777" w:rsidR="007276DB" w:rsidRDefault="007276DB" w:rsidP="00482E06">
      <w:pPr>
        <w:rPr>
          <w:rFonts w:eastAsia="Georgia"/>
        </w:rPr>
      </w:pPr>
    </w:p>
    <w:p w14:paraId="3F23888E" w14:textId="475E4F36" w:rsidR="00F70E7A" w:rsidRDefault="00F70E7A" w:rsidP="00482E06">
      <w:pPr>
        <w:pStyle w:val="Rubrik3"/>
        <w:numPr>
          <w:ilvl w:val="0"/>
          <w:numId w:val="28"/>
        </w:numPr>
      </w:pPr>
      <w:bookmarkStart w:id="19" w:name="_Toc239253409"/>
      <w:r>
        <w:t>Sederingsnivå/smärtlindringsbehov</w:t>
      </w:r>
      <w:bookmarkEnd w:id="19"/>
    </w:p>
    <w:p w14:paraId="165E9338" w14:textId="77777777" w:rsidR="00DA4D9F" w:rsidRPr="00A6426E" w:rsidRDefault="00DA4D9F" w:rsidP="00DA4D9F">
      <w:r w:rsidRPr="00A6426E">
        <w:t>Inför mobiliseringen, utvärdera patientens sederingsnivå och eventuella behov av smärtlindring. För bedömning av sederingsnivån används RASS, om sederingsnivån är suboptimal, reevaluera mobiliseringsnivån eller se över sedering och/eller smärtlindring. </w:t>
      </w:r>
    </w:p>
    <w:p w14:paraId="4542954C" w14:textId="77777777" w:rsidR="00DA4D9F" w:rsidRPr="00A6426E" w:rsidRDefault="00DA4D9F" w:rsidP="00DA4D9F">
      <w:r w:rsidRPr="00A6426E">
        <w:t>Inför mobiliseringen, utvärdera om patienten behöv av smärtlindring. För att bedöma nivå av smärtan hos patienten används bl.a. instrumentet VAS-skalan. Adekvat smärtlindring skall vara ordinerat av ansvarig läkare. Vilken typ av smärtlindring skall diskuteras och ordineras under rond eller efter behov (minst 1ggr/dag). </w:t>
      </w:r>
    </w:p>
    <w:p w14:paraId="0DB94177" w14:textId="1F9006C6" w:rsidR="00F70E7A" w:rsidRDefault="00DA4D9F" w:rsidP="00482E06">
      <w:pPr>
        <w:pStyle w:val="Rubrik3"/>
        <w:numPr>
          <w:ilvl w:val="0"/>
          <w:numId w:val="28"/>
        </w:numPr>
      </w:pPr>
      <w:bookmarkStart w:id="20" w:name="_Toc239253410"/>
      <w:r>
        <w:t>Utförande av mobilisering</w:t>
      </w:r>
      <w:bookmarkEnd w:id="20"/>
    </w:p>
    <w:p w14:paraId="28E5DC1F" w14:textId="77777777" w:rsidR="0022296E" w:rsidRPr="00A6426E" w:rsidRDefault="0022296E" w:rsidP="00435A60">
      <w:pPr>
        <w:pStyle w:val="MellanrubrikVGR"/>
      </w:pPr>
      <w:r>
        <w:t>Nivå 0: Basal mobilisering  </w:t>
      </w:r>
    </w:p>
    <w:p w14:paraId="794EC29A" w14:textId="33A9D680" w:rsidR="0022296E" w:rsidRPr="00A6426E" w:rsidRDefault="0022296E" w:rsidP="0022296E">
      <w:r w:rsidRPr="00A6426E">
        <w:t>Den basala mobilisering under Nivå 0 skall utföras varje pass. Höjd huvudända är ett måste för att förebygga VAP (Ventilator Associerad Pneumoni), minst 30 graders höjning rekommenderas (1). Regelbundna lägesändringar för stillaliggande patienter görs med 2-</w:t>
      </w:r>
      <w:r w:rsidRPr="00A6426E">
        <w:lastRenderedPageBreak/>
        <w:t>3 h intervall. Här rekommenderas variation mellan rygg- och sidliggande för optimal lungrekrytering (5) samt avlastning för att motverka trycksår. (Nivå 0 är inkluderat i den basala omvårdnaden och ingår inte i mobiliseringen, nivå 0 kan tillämpas till alla patienter). </w:t>
      </w:r>
    </w:p>
    <w:p w14:paraId="5D8C8BE6" w14:textId="77777777" w:rsidR="0022296E" w:rsidRPr="00A6426E" w:rsidRDefault="0022296E" w:rsidP="00435A60">
      <w:pPr>
        <w:pStyle w:val="MellanrubrikVGR"/>
      </w:pPr>
      <w:r>
        <w:t>Nivå 1: Basal mobilisering </w:t>
      </w:r>
    </w:p>
    <w:p w14:paraId="6E3EADDC" w14:textId="331EB489" w:rsidR="0022296E" w:rsidRPr="00A6426E" w:rsidRDefault="0022296E" w:rsidP="0022296E">
      <w:r w:rsidRPr="00A6426E">
        <w:t>Mobilisering på Nivå 1 innebär praktisering av passiva samt aktiva rörelseuttag av patienten. Passiva rörelseuttag alternativt uppmuntran till aktiva rörelseuttag är den lägsta nivå patienter erhåller på IVA. Om patienten bedöms som RASS -3 eller -4 kan mobiliseringsnivå 1 ändå genomföras med god effekt. Forskningen har visat att passiva rörelseuttag minskar risken för hämmad mikrovaskulär funktion (6). Evaluera mobiliseringen kontinuerligt. </w:t>
      </w:r>
    </w:p>
    <w:p w14:paraId="75A0B626" w14:textId="77777777" w:rsidR="0022296E" w:rsidRPr="00A6426E" w:rsidRDefault="0022296E" w:rsidP="00435A60">
      <w:pPr>
        <w:pStyle w:val="MellanrubrikVGR"/>
      </w:pPr>
      <w:r>
        <w:t>Nivå 2: Passiv mobilisering </w:t>
      </w:r>
    </w:p>
    <w:p w14:paraId="7F5B564D" w14:textId="2D37B602" w:rsidR="0022296E" w:rsidRPr="00A6426E" w:rsidRDefault="0022296E" w:rsidP="0022296E">
      <w:r w:rsidRPr="00A6426E">
        <w:t>Den passiva fasen som innebär mobiliseringen utan patientens aktiva medverkan startar alltid med att informera patienten. Patientens vitalparametrar observeras för att ha en baslinje att utgå från och upptäcka eventuella förändringar under mobiliseringen som kan vara till skada för patienten. Efter denna information och observation mobiliseras patienten till SARA-/Jatabstol alternativt sängcykling. (OBS! Vid passiv träning med sängcykel behöver patienten hjälp med stabilisering av extremiteter). </w:t>
      </w:r>
    </w:p>
    <w:p w14:paraId="6E0AD1FD" w14:textId="77777777" w:rsidR="0022296E" w:rsidRPr="00A6426E" w:rsidRDefault="0022296E" w:rsidP="00435A60">
      <w:pPr>
        <w:pStyle w:val="MellanrubrikVGR"/>
      </w:pPr>
      <w:r>
        <w:t>Nivå 3: Aktiv mobilisering  </w:t>
      </w:r>
    </w:p>
    <w:p w14:paraId="5AB5E0B3" w14:textId="66C07F25" w:rsidR="0022296E" w:rsidRPr="00A6426E" w:rsidRDefault="0022296E" w:rsidP="0022296E">
      <w:r w:rsidRPr="00A6426E">
        <w:t xml:space="preserve">Nivå 3 av mobilisering kan startas då patienten genomgått nivå 1 och 2 samt påvisar egen muskelfunktion. Vid frågor eller osäkerhet kring uppstart av nivå 3 kontakta fysioterapeut (FT). Första steget på nivå 3 är att sitta på sängkant. Vid sittande på sängkant bedöms orientering och vitalparametrar. Utöver detta kan fysioterapeut bedöma exempelvis bålstabilitet och andra svagheter för att komplettera med övningar som kan påskynda patientens fortsatta rehabilitering. Om det fungerar väl att sitta på sängkant kan man prova att stå med </w:t>
      </w:r>
      <w:r w:rsidRPr="00A6426E">
        <w:lastRenderedPageBreak/>
        <w:t>gåbord bredvid sängen. Även här kan FT involveras vid behov av stimulering av proprioception/postural kontroll som stående med stöttning, t ex tippbräda, gåbord etc. </w:t>
      </w:r>
    </w:p>
    <w:p w14:paraId="0E7A0AB2" w14:textId="77777777" w:rsidR="0022296E" w:rsidRPr="00A6426E" w:rsidRDefault="0022296E" w:rsidP="00435A60">
      <w:pPr>
        <w:pStyle w:val="MellanrubrikVGR"/>
      </w:pPr>
      <w:r>
        <w:t>Nivå 4: Mobilisering utanför patientsal </w:t>
      </w:r>
    </w:p>
    <w:p w14:paraId="40D08E59" w14:textId="016F931E" w:rsidR="0022296E" w:rsidRDefault="0022296E" w:rsidP="0022296E">
      <w:r w:rsidRPr="70531174">
        <w:t>För patienter som vårdas under en längre tid på intensivvårdsavdelning (2-3 månader eller längre) kan förutom de tidigare beskrivna nivåerna av mobilisering kompletteras med mobilisering utanför patientsal, då ett miljöombyte kan bidra till ökad motivation hos patienten i sin fortsatta vård. När patienten bedöms vara stabil i sina parametrar under en kortare period och klarar ca 30-45min utan övervak ska mobilisering av nivå 4 initieras. Detta inkluderar promenad i kombistol/rullstol utanför patientsal och vid ett senare skede kan även en mer aktiv mobiliseringen appliceras i from av gåträning med gåbord alternativt levande stöd.  </w:t>
      </w:r>
    </w:p>
    <w:p w14:paraId="016F069C" w14:textId="6D573124" w:rsidR="00435A60" w:rsidRDefault="00435A60" w:rsidP="00435A60">
      <w:pPr>
        <w:pStyle w:val="Rubrik3"/>
        <w:numPr>
          <w:ilvl w:val="0"/>
          <w:numId w:val="28"/>
        </w:numPr>
      </w:pPr>
      <w:bookmarkStart w:id="21" w:name="_Toc239253411"/>
      <w:r>
        <w:t>Utvärdera och dokumentera</w:t>
      </w:r>
      <w:bookmarkEnd w:id="21"/>
    </w:p>
    <w:p w14:paraId="27ADBC3E" w14:textId="77777777" w:rsidR="0022296E" w:rsidRPr="00A6426E" w:rsidRDefault="0022296E" w:rsidP="0022296E">
      <w:r w:rsidRPr="6F187EDC">
        <w:t>Målet med mobiliseringen på IVA/IMA NÄL är att starta den inom 48h efter ankomst till IVA/IMA. Därför ska bedömning genomföras samt plan upprättas inom denna tidsram. Under ronden diskuteras och ordineras vilken mobiliseringsnivå som är aktuell för patienten. Ordination dokumenteras sedan i Rond-fliken. Den ordinerade mobilisering dokumenteras under omvårdnadsfliken i CHA samt under Aktivitet i Melior. Detta kan göras i samråd med fysioterapeut för smidig och följsam övergång mellan avdelningar och mellan olika vårdnivåer. Om mobilisering ej utförts ska detta också dokumenteras och varför.  </w:t>
      </w:r>
    </w:p>
    <w:p w14:paraId="3BA84CCF" w14:textId="77777777" w:rsidR="00DA4D9F" w:rsidRPr="00DA4D9F" w:rsidRDefault="00DA4D9F" w:rsidP="00DA4D9F">
      <w:pPr>
        <w:rPr>
          <w:rFonts w:eastAsia="Georgia"/>
        </w:rPr>
      </w:pPr>
    </w:p>
    <w:p w14:paraId="3A2CB686" w14:textId="77777777" w:rsidR="00F150F9" w:rsidRPr="00F150F9" w:rsidRDefault="00F150F9" w:rsidP="00F150F9"/>
    <w:p w14:paraId="3CF0C923" w14:textId="77777777" w:rsidR="00B035A3" w:rsidRDefault="00B035A3">
      <w:pPr>
        <w:spacing w:after="0" w:line="240" w:lineRule="auto"/>
        <w:ind w:left="0" w:right="0"/>
        <w:rPr>
          <w:rFonts w:ascii="Verdana" w:eastAsiaTheme="majorEastAsia" w:hAnsi="Verdana" w:cstheme="majorBidi"/>
          <w:bCs/>
          <w:color w:val="000000" w:themeColor="text1"/>
          <w:sz w:val="36"/>
          <w:szCs w:val="26"/>
        </w:rPr>
      </w:pPr>
      <w:bookmarkStart w:id="22" w:name="_Toc100327195"/>
      <w:bookmarkStart w:id="23" w:name="_Toc181866764"/>
      <w:r>
        <w:br w:type="page"/>
      </w:r>
    </w:p>
    <w:p w14:paraId="188AE2C8" w14:textId="3CC71802" w:rsidR="009A32ED" w:rsidRPr="000D04ED" w:rsidRDefault="009A32ED" w:rsidP="009A32ED">
      <w:pPr>
        <w:pStyle w:val="Rubrik2"/>
        <w:ind w:right="-143"/>
      </w:pPr>
      <w:bookmarkStart w:id="24" w:name="_Toc239253412"/>
      <w:r w:rsidRPr="000D04ED">
        <w:lastRenderedPageBreak/>
        <w:t>Källförteckning</w:t>
      </w:r>
      <w:bookmarkEnd w:id="22"/>
      <w:bookmarkEnd w:id="23"/>
      <w:bookmarkEnd w:id="24"/>
    </w:p>
    <w:p w14:paraId="186D564B" w14:textId="79AC08DA" w:rsidR="00D13038" w:rsidRPr="00A6426E" w:rsidRDefault="00D13038" w:rsidP="00D13038">
      <w:pPr>
        <w:numPr>
          <w:ilvl w:val="0"/>
          <w:numId w:val="22"/>
        </w:numPr>
      </w:pPr>
      <w:r w:rsidRPr="00A6426E">
        <w:t>Vårdhandboken (2021). Orörlighet, komplikationer. </w:t>
      </w:r>
      <w:hyperlink r:id="rId8" w:tgtFrame="_blank" w:history="1">
        <w:r w:rsidRPr="00A6426E">
          <w:rPr>
            <w:color w:val="006298" w:themeColor="hyperlink"/>
            <w:u w:val="single"/>
          </w:rPr>
          <w:t>Orörlighet, komplikationer - Vårdhandboken (vardhandboken.se)</w:t>
        </w:r>
      </w:hyperlink>
      <w:r w:rsidRPr="00A6426E">
        <w:t> [2022-04-14] </w:t>
      </w:r>
    </w:p>
    <w:p w14:paraId="35944D25" w14:textId="421E3840" w:rsidR="00D13038" w:rsidRPr="00A6426E" w:rsidRDefault="00D13038" w:rsidP="00D13038">
      <w:pPr>
        <w:numPr>
          <w:ilvl w:val="0"/>
          <w:numId w:val="23"/>
        </w:numPr>
      </w:pPr>
      <w:r w:rsidRPr="00A6426E">
        <w:t>Up To Date (2022). Post-intensive care syndrome (PICS). </w:t>
      </w:r>
      <w:hyperlink r:id="rId9" w:anchor="H5502584" w:tgtFrame="_blank" w:history="1">
        <w:r w:rsidRPr="00A6426E">
          <w:rPr>
            <w:color w:val="006298" w:themeColor="hyperlink"/>
            <w:u w:val="single"/>
          </w:rPr>
          <w:t>Post-intensive care syndrome (PICS) - UpToDate</w:t>
        </w:r>
      </w:hyperlink>
      <w:r w:rsidRPr="00A6426E">
        <w:t> [2022-04-14] </w:t>
      </w:r>
    </w:p>
    <w:p w14:paraId="15604C60" w14:textId="47B06D4B" w:rsidR="00D13038" w:rsidRPr="00A6426E" w:rsidRDefault="00D13038" w:rsidP="00D13038">
      <w:pPr>
        <w:numPr>
          <w:ilvl w:val="0"/>
          <w:numId w:val="24"/>
        </w:numPr>
      </w:pPr>
      <w:r w:rsidRPr="00A6426E">
        <w:t>Engel, HJ, DM Needham, PE Morris, &amp; MA Gropper, ‘ICU Early Mobilization: From Recommendation to Implementation at Three Medical Centers’. in Critical care medicine, 41, 2013, 69–80 </w:t>
      </w:r>
    </w:p>
    <w:p w14:paraId="2A5EC0BD" w14:textId="6649CA5B" w:rsidR="00D13038" w:rsidRPr="00A6426E" w:rsidRDefault="00D13038" w:rsidP="00D13038">
      <w:pPr>
        <w:numPr>
          <w:ilvl w:val="0"/>
          <w:numId w:val="25"/>
        </w:numPr>
        <w:rPr>
          <w:lang w:val="en-US"/>
        </w:rPr>
      </w:pPr>
      <w:r w:rsidRPr="6F187EDC">
        <w:rPr>
          <w:lang w:val="en-US"/>
        </w:rPr>
        <w:t>Hodgson, CL, K Stiller, DM Needham, CJ Tipping, M Harrold, CE Baldwin, et al., ‘Expert consensus and recommendations on safety criteria for active mobilization of mechanically ventilated critically ill adults’. In Critical care   (London, England), 18, 2014, 658–658 </w:t>
      </w:r>
    </w:p>
    <w:p w14:paraId="1014DF8A" w14:textId="66166362" w:rsidR="00D13038" w:rsidRPr="00A6426E" w:rsidRDefault="00D13038" w:rsidP="00D13038">
      <w:pPr>
        <w:numPr>
          <w:ilvl w:val="0"/>
          <w:numId w:val="26"/>
        </w:numPr>
      </w:pPr>
      <w:r w:rsidRPr="00A6426E">
        <w:rPr>
          <w:lang w:val="en-US"/>
        </w:rPr>
        <w:t>Roldán, R., Rodriguez, S., Barriga, F., Tucci, M., Victor, M., Alcala, G., Villamonte, R., Suárez-Sipmann, F., Amato, M., Brochard, L., &amp; Tusman, G. (2022). Sequential lateral positioning as a new lung recruitment maneuver: an exploratory study in early mechanically ventilated Covid-19 ARDS patients. Annals of intensive care, 12(1), 13. </w:t>
      </w:r>
      <w:hyperlink r:id="rId10" w:tgtFrame="_blank" w:history="1">
        <w:r w:rsidRPr="00A6426E">
          <w:rPr>
            <w:color w:val="006298" w:themeColor="hyperlink"/>
            <w:u w:val="single"/>
            <w:lang w:val="en-US"/>
          </w:rPr>
          <w:t>https://doi.org/10.1186/s13613-022-00988-9</w:t>
        </w:r>
      </w:hyperlink>
      <w:r w:rsidRPr="00A6426E">
        <w:t> </w:t>
      </w:r>
    </w:p>
    <w:p w14:paraId="56C72E4A" w14:textId="77AF1096" w:rsidR="00D13038" w:rsidRPr="00D13038" w:rsidRDefault="00D13038" w:rsidP="00D13038">
      <w:pPr>
        <w:numPr>
          <w:ilvl w:val="0"/>
          <w:numId w:val="27"/>
        </w:numPr>
        <w:rPr>
          <w:rFonts w:eastAsia="Georgia" w:cs="Georgia"/>
        </w:rPr>
      </w:pPr>
      <w:r w:rsidRPr="3AB56232">
        <w:rPr>
          <w:lang w:val="en-US"/>
        </w:rPr>
        <w:t>Vollenweider, R., Manettas, A. I., Häni, N., de Bruin, E. D., &amp; Knols, R. H. (2022). Passive motion of the lower extremities in sedated and ve</w:t>
      </w:r>
      <w:r w:rsidRPr="3AB56232">
        <w:rPr>
          <w:rFonts w:eastAsia="Georgia" w:cs="Georgia"/>
          <w:lang w:val="en-US"/>
        </w:rPr>
        <w:t>ntilated patients in the ICU - a systematic review of early effects and replicability of Interventions. PloS one, 17(5), e0267255. </w:t>
      </w:r>
      <w:hyperlink r:id="rId11">
        <w:r w:rsidRPr="3AB56232">
          <w:rPr>
            <w:rFonts w:eastAsia="Georgia" w:cs="Georgia"/>
            <w:color w:val="006298" w:themeColor="accent1"/>
            <w:u w:val="single"/>
            <w:lang w:val="en-US"/>
          </w:rPr>
          <w:t>https://doi.org/10.1371/journal.pone.0267255</w:t>
        </w:r>
      </w:hyperlink>
      <w:r w:rsidRPr="3AB56232">
        <w:rPr>
          <w:rFonts w:eastAsia="Georgia" w:cs="Georgia"/>
        </w:rPr>
        <w:t> </w:t>
      </w:r>
    </w:p>
    <w:p w14:paraId="3247A706" w14:textId="77777777" w:rsidR="00D13038" w:rsidRDefault="00D13038" w:rsidP="00D13038">
      <w:pPr>
        <w:numPr>
          <w:ilvl w:val="0"/>
          <w:numId w:val="27"/>
        </w:numPr>
        <w:rPr>
          <w:rFonts w:eastAsia="Georgia" w:cs="Georgia"/>
        </w:rPr>
      </w:pPr>
      <w:r w:rsidRPr="3AB56232">
        <w:rPr>
          <w:rFonts w:eastAsia="Georgia" w:cs="Georgia"/>
          <w:color w:val="000000" w:themeColor="text2"/>
          <w:lang w:val="en-US"/>
        </w:rPr>
        <w:t xml:space="preserve">Tipping, C. J., Bailey, M. J., Bellomo, R., Berney, S., Buhr, H., Denehy, L., Harrold, M., Holland, A., Higgins, A. M., Iwashyna, T. J., Needham, D., Presneill, J., Saxena, M., Skinner, E. H., Webb, S., Young, P., Zanni, J., &amp; Hodgson, C. L. (2016). The ICU Mobility Scale Has Construct and Predictive Validity and Is Responsive. A Multicenter Observational Study. </w:t>
      </w:r>
      <w:r w:rsidRPr="3AB56232">
        <w:rPr>
          <w:rFonts w:eastAsia="Georgia" w:cs="Georgia"/>
          <w:i/>
          <w:iCs/>
          <w:color w:val="000000" w:themeColor="text2"/>
          <w:lang w:val="en-US"/>
        </w:rPr>
        <w:t>Ann Am Thorac Soc</w:t>
      </w:r>
      <w:r w:rsidRPr="3AB56232">
        <w:rPr>
          <w:rFonts w:eastAsia="Georgia" w:cs="Georgia"/>
          <w:color w:val="000000" w:themeColor="text2"/>
          <w:lang w:val="en-US"/>
        </w:rPr>
        <w:t>,</w:t>
      </w:r>
      <w:r w:rsidRPr="3AB56232">
        <w:rPr>
          <w:rFonts w:eastAsia="Georgia" w:cs="Georgia"/>
          <w:i/>
          <w:iCs/>
          <w:color w:val="000000" w:themeColor="text2"/>
          <w:lang w:val="en-US"/>
        </w:rPr>
        <w:t xml:space="preserve"> 13</w:t>
      </w:r>
      <w:r w:rsidRPr="3AB56232">
        <w:rPr>
          <w:rFonts w:eastAsia="Georgia" w:cs="Georgia"/>
          <w:color w:val="000000" w:themeColor="text2"/>
          <w:lang w:val="en-US"/>
        </w:rPr>
        <w:t xml:space="preserve">(6), 887-893. </w:t>
      </w:r>
      <w:hyperlink r:id="rId12">
        <w:r w:rsidRPr="3AB56232">
          <w:rPr>
            <w:rStyle w:val="Hyperlnk"/>
            <w:rFonts w:eastAsia="Georgia" w:cs="Georgia"/>
            <w:lang w:val="en-US"/>
          </w:rPr>
          <w:t>https://doi.org/10.1513/AnnalsATS.201510-717OC</w:t>
        </w:r>
      </w:hyperlink>
      <w:r w:rsidRPr="3AB56232">
        <w:rPr>
          <w:rFonts w:eastAsia="Georgia" w:cs="Georgia"/>
          <w:color w:val="000000" w:themeColor="text2"/>
          <w:lang w:val="en-US"/>
        </w:rPr>
        <w:t xml:space="preserve">  </w:t>
      </w:r>
      <w:r w:rsidRPr="3AB56232">
        <w:rPr>
          <w:rFonts w:eastAsia="Georgia" w:cs="Georgia"/>
        </w:rPr>
        <w:t xml:space="preserve"> </w:t>
      </w:r>
    </w:p>
    <w:p w14:paraId="40AA233F" w14:textId="01EB7CDA" w:rsidR="009C6C0C" w:rsidRDefault="009C6C0C" w:rsidP="009A32ED">
      <w:pPr>
        <w:ind w:right="-143"/>
      </w:pPr>
    </w:p>
    <w:sectPr w:rsidR="009C6C0C"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E3602" w14:textId="77777777" w:rsidR="00BD6D90" w:rsidRDefault="00BD6D90">
      <w:r>
        <w:separator/>
      </w:r>
    </w:p>
  </w:endnote>
  <w:endnote w:type="continuationSeparator" w:id="0">
    <w:p w14:paraId="5D1D9AEE" w14:textId="77777777" w:rsidR="00BD6D90" w:rsidRDefault="00BD6D90">
      <w:r>
        <w:continuationSeparator/>
      </w:r>
    </w:p>
  </w:endnote>
  <w:endnote w:type="continuationNotice" w:id="1">
    <w:p w14:paraId="0FFD6E95" w14:textId="77777777" w:rsidR="00BD6D90" w:rsidRDefault="00BD6D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702B8" w14:textId="77777777" w:rsidR="00BD6D90" w:rsidRDefault="00BD6D90"/>
  </w:footnote>
  <w:footnote w:type="continuationSeparator" w:id="0">
    <w:p w14:paraId="38CA889F" w14:textId="77777777" w:rsidR="00BD6D90" w:rsidRDefault="00BD6D90">
      <w:r>
        <w:continuationSeparator/>
      </w:r>
    </w:p>
  </w:footnote>
  <w:footnote w:type="continuationNotice" w:id="1">
    <w:p w14:paraId="7F5D9D6E" w14:textId="77777777" w:rsidR="00BD6D90" w:rsidRDefault="00BD6D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EE1659"/>
    <w:multiLevelType w:val="multilevel"/>
    <w:tmpl w:val="026C5A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6C2274"/>
    <w:multiLevelType w:val="hybridMultilevel"/>
    <w:tmpl w:val="E822162E"/>
    <w:lvl w:ilvl="0" w:tplc="039A727E">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0931A2A"/>
    <w:multiLevelType w:val="multilevel"/>
    <w:tmpl w:val="CAE443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000DEB"/>
    <w:multiLevelType w:val="multilevel"/>
    <w:tmpl w:val="4C2C8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76A7CB7"/>
    <w:multiLevelType w:val="hybridMultilevel"/>
    <w:tmpl w:val="8758DB4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23E12395"/>
    <w:multiLevelType w:val="hybridMultilevel"/>
    <w:tmpl w:val="6D7466D0"/>
    <w:lvl w:ilvl="0" w:tplc="744CE4F6">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3CD44244"/>
    <w:multiLevelType w:val="multilevel"/>
    <w:tmpl w:val="F50A3F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62AB78F2"/>
    <w:multiLevelType w:val="multilevel"/>
    <w:tmpl w:val="54C8E8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4897AFD"/>
    <w:multiLevelType w:val="multilevel"/>
    <w:tmpl w:val="204A2F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6"/>
  </w:num>
  <w:num w:numId="2" w16cid:durableId="1367871050">
    <w:abstractNumId w:val="21"/>
  </w:num>
  <w:num w:numId="3" w16cid:durableId="164058872">
    <w:abstractNumId w:val="0"/>
  </w:num>
  <w:num w:numId="4" w16cid:durableId="861477783">
    <w:abstractNumId w:val="11"/>
  </w:num>
  <w:num w:numId="5" w16cid:durableId="1280868239">
    <w:abstractNumId w:val="23"/>
  </w:num>
  <w:num w:numId="6" w16cid:durableId="444931515">
    <w:abstractNumId w:val="4"/>
  </w:num>
  <w:num w:numId="7" w16cid:durableId="739910959">
    <w:abstractNumId w:val="18"/>
  </w:num>
  <w:num w:numId="8" w16cid:durableId="391579451">
    <w:abstractNumId w:val="14"/>
  </w:num>
  <w:num w:numId="9" w16cid:durableId="1296368398">
    <w:abstractNumId w:val="1"/>
  </w:num>
  <w:num w:numId="10" w16cid:durableId="689646344">
    <w:abstractNumId w:val="1"/>
  </w:num>
  <w:num w:numId="11" w16cid:durableId="1979215945">
    <w:abstractNumId w:val="5"/>
  </w:num>
  <w:num w:numId="12" w16cid:durableId="830874331">
    <w:abstractNumId w:val="8"/>
  </w:num>
  <w:num w:numId="13" w16cid:durableId="57095060">
    <w:abstractNumId w:val="20"/>
  </w:num>
  <w:num w:numId="14" w16cid:durableId="36130748">
    <w:abstractNumId w:val="15"/>
  </w:num>
  <w:num w:numId="15" w16cid:durableId="560679449">
    <w:abstractNumId w:val="12"/>
  </w:num>
  <w:num w:numId="16" w16cid:durableId="1420566503">
    <w:abstractNumId w:val="19"/>
  </w:num>
  <w:num w:numId="17" w16cid:durableId="256527698">
    <w:abstractNumId w:val="9"/>
  </w:num>
  <w:num w:numId="18" w16cid:durableId="1090539201">
    <w:abstractNumId w:val="17"/>
  </w:num>
  <w:num w:numId="19" w16cid:durableId="1846439597">
    <w:abstractNumId w:val="25"/>
  </w:num>
  <w:num w:numId="20" w16cid:durableId="321274501">
    <w:abstractNumId w:val="13"/>
  </w:num>
  <w:num w:numId="21" w16cid:durableId="682172371">
    <w:abstractNumId w:val="10"/>
  </w:num>
  <w:num w:numId="22" w16cid:durableId="240793367">
    <w:abstractNumId w:val="7"/>
  </w:num>
  <w:num w:numId="23" w16cid:durableId="1994601569">
    <w:abstractNumId w:val="24"/>
  </w:num>
  <w:num w:numId="24" w16cid:durableId="334040582">
    <w:abstractNumId w:val="2"/>
  </w:num>
  <w:num w:numId="25" w16cid:durableId="970866574">
    <w:abstractNumId w:val="22"/>
  </w:num>
  <w:num w:numId="26" w16cid:durableId="1005133917">
    <w:abstractNumId w:val="16"/>
  </w:num>
  <w:num w:numId="27" w16cid:durableId="126747742">
    <w:abstractNumId w:val="6"/>
  </w:num>
  <w:num w:numId="28" w16cid:durableId="2128115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BEC"/>
    <w:rsid w:val="000051D5"/>
    <w:rsid w:val="00006D2A"/>
    <w:rsid w:val="00010D47"/>
    <w:rsid w:val="00016CF0"/>
    <w:rsid w:val="00030DDD"/>
    <w:rsid w:val="000313BB"/>
    <w:rsid w:val="00033ED5"/>
    <w:rsid w:val="00050500"/>
    <w:rsid w:val="00053226"/>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D25FC"/>
    <w:rsid w:val="001E3789"/>
    <w:rsid w:val="00211487"/>
    <w:rsid w:val="00211D91"/>
    <w:rsid w:val="00217DEC"/>
    <w:rsid w:val="0022296E"/>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28"/>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C0332"/>
    <w:rsid w:val="003D099E"/>
    <w:rsid w:val="003D21A2"/>
    <w:rsid w:val="003D29D2"/>
    <w:rsid w:val="003D6DF1"/>
    <w:rsid w:val="003E0705"/>
    <w:rsid w:val="003E2FF7"/>
    <w:rsid w:val="003F1013"/>
    <w:rsid w:val="003F1ACF"/>
    <w:rsid w:val="00404948"/>
    <w:rsid w:val="00406BEA"/>
    <w:rsid w:val="00413A60"/>
    <w:rsid w:val="004230F7"/>
    <w:rsid w:val="004248A6"/>
    <w:rsid w:val="0043167E"/>
    <w:rsid w:val="0043409A"/>
    <w:rsid w:val="00435A60"/>
    <w:rsid w:val="00446255"/>
    <w:rsid w:val="00451935"/>
    <w:rsid w:val="00460ED0"/>
    <w:rsid w:val="00465651"/>
    <w:rsid w:val="00470CE7"/>
    <w:rsid w:val="00470F4F"/>
    <w:rsid w:val="00472482"/>
    <w:rsid w:val="004735F1"/>
    <w:rsid w:val="00480DC7"/>
    <w:rsid w:val="00482E06"/>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A26"/>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92927"/>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276D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197E"/>
    <w:rsid w:val="007F1CFF"/>
    <w:rsid w:val="007F5DD5"/>
    <w:rsid w:val="008051B8"/>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AB2"/>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2B2"/>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4AC9"/>
    <w:rsid w:val="00AF5AAF"/>
    <w:rsid w:val="00AF7CA0"/>
    <w:rsid w:val="00B035A3"/>
    <w:rsid w:val="00B046D8"/>
    <w:rsid w:val="00B13F4C"/>
    <w:rsid w:val="00B14487"/>
    <w:rsid w:val="00B16219"/>
    <w:rsid w:val="00B16C59"/>
    <w:rsid w:val="00B33FDD"/>
    <w:rsid w:val="00B359CC"/>
    <w:rsid w:val="00B36107"/>
    <w:rsid w:val="00B405A1"/>
    <w:rsid w:val="00B41571"/>
    <w:rsid w:val="00B41789"/>
    <w:rsid w:val="00B46C03"/>
    <w:rsid w:val="00B57924"/>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D6D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1315"/>
    <w:rsid w:val="00CA39EF"/>
    <w:rsid w:val="00CA521F"/>
    <w:rsid w:val="00CB0493"/>
    <w:rsid w:val="00CB17FF"/>
    <w:rsid w:val="00CB1ED7"/>
    <w:rsid w:val="00CC167C"/>
    <w:rsid w:val="00CC52D9"/>
    <w:rsid w:val="00CD6647"/>
    <w:rsid w:val="00CE4B73"/>
    <w:rsid w:val="00CF70BB"/>
    <w:rsid w:val="00D00BD7"/>
    <w:rsid w:val="00D074DB"/>
    <w:rsid w:val="00D13038"/>
    <w:rsid w:val="00D139CF"/>
    <w:rsid w:val="00D20779"/>
    <w:rsid w:val="00D210E8"/>
    <w:rsid w:val="00D37E7F"/>
    <w:rsid w:val="00D47AD7"/>
    <w:rsid w:val="00D51529"/>
    <w:rsid w:val="00D62468"/>
    <w:rsid w:val="00D67C88"/>
    <w:rsid w:val="00D85218"/>
    <w:rsid w:val="00D915B1"/>
    <w:rsid w:val="00DA299D"/>
    <w:rsid w:val="00DA4D9F"/>
    <w:rsid w:val="00DA65C4"/>
    <w:rsid w:val="00DE4447"/>
    <w:rsid w:val="00DE5DA2"/>
    <w:rsid w:val="00DE63C6"/>
    <w:rsid w:val="00DF0033"/>
    <w:rsid w:val="00E026BF"/>
    <w:rsid w:val="00E07B1B"/>
    <w:rsid w:val="00E11853"/>
    <w:rsid w:val="00E411B6"/>
    <w:rsid w:val="00E52A86"/>
    <w:rsid w:val="00E54B47"/>
    <w:rsid w:val="00E553BF"/>
    <w:rsid w:val="00E55D93"/>
    <w:rsid w:val="00E57F71"/>
    <w:rsid w:val="00E61294"/>
    <w:rsid w:val="00E70BCE"/>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150F9"/>
    <w:rsid w:val="00F22264"/>
    <w:rsid w:val="00F2564D"/>
    <w:rsid w:val="00F35B05"/>
    <w:rsid w:val="00F413D9"/>
    <w:rsid w:val="00F5135F"/>
    <w:rsid w:val="00F51F78"/>
    <w:rsid w:val="00F6007F"/>
    <w:rsid w:val="00F679CE"/>
    <w:rsid w:val="00F70E7A"/>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8DFF9C1A-7162-48F7-8ED4-6FAB17AF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D210E8"/>
    <w:pPr>
      <w:tabs>
        <w:tab w:val="right" w:leader="dot" w:pos="8779"/>
      </w:tabs>
      <w:ind w:right="142"/>
    </w:pPr>
    <w:rPr>
      <w:b/>
      <w:bCs/>
      <w:noProof/>
    </w:r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D210E8"/>
    <w:pPr>
      <w:tabs>
        <w:tab w:val="right" w:leader="dot" w:pos="8919"/>
      </w:tabs>
      <w:ind w:right="0"/>
    </w:pPr>
    <w:rPr>
      <w:b/>
      <w:bCs/>
      <w:noProof/>
    </w:r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table" w:styleId="Rutntstabell4dekorfrg1">
    <w:name w:val="Grid Table 4 Accent 1"/>
    <w:basedOn w:val="Normaltabell"/>
    <w:uiPriority w:val="49"/>
    <w:rsid w:val="00E57F71"/>
    <w:tblPr>
      <w:tblStyleRowBandSize w:val="1"/>
      <w:tblStyleColBandSize w:val="1"/>
      <w:tblBorders>
        <w:top w:val="single" w:sz="4" w:space="0" w:color="28B2FF" w:themeColor="accent1" w:themeTint="99"/>
        <w:left w:val="single" w:sz="4" w:space="0" w:color="28B2FF" w:themeColor="accent1" w:themeTint="99"/>
        <w:bottom w:val="single" w:sz="4" w:space="0" w:color="28B2FF" w:themeColor="accent1" w:themeTint="99"/>
        <w:right w:val="single" w:sz="4" w:space="0" w:color="28B2FF" w:themeColor="accent1" w:themeTint="99"/>
        <w:insideH w:val="single" w:sz="4" w:space="0" w:color="28B2FF" w:themeColor="accent1" w:themeTint="99"/>
        <w:insideV w:val="single" w:sz="4" w:space="0" w:color="28B2FF" w:themeColor="accent1" w:themeTint="99"/>
      </w:tblBorders>
    </w:tblPr>
    <w:tblStylePr w:type="firstRow">
      <w:rPr>
        <w:b/>
        <w:bCs/>
        <w:color w:val="FFFFFF" w:themeColor="background1"/>
      </w:rPr>
      <w:tblPr/>
      <w:tcPr>
        <w:tcBorders>
          <w:top w:val="single" w:sz="4" w:space="0" w:color="006298" w:themeColor="accent1"/>
          <w:left w:val="single" w:sz="4" w:space="0" w:color="006298" w:themeColor="accent1"/>
          <w:bottom w:val="single" w:sz="4" w:space="0" w:color="006298" w:themeColor="accent1"/>
          <w:right w:val="single" w:sz="4" w:space="0" w:color="006298" w:themeColor="accent1"/>
          <w:insideH w:val="nil"/>
          <w:insideV w:val="nil"/>
        </w:tcBorders>
        <w:shd w:val="clear" w:color="auto" w:fill="006298" w:themeFill="accent1"/>
      </w:tcPr>
    </w:tblStylePr>
    <w:tblStylePr w:type="lastRow">
      <w:rPr>
        <w:b/>
        <w:bCs/>
      </w:rPr>
      <w:tblPr/>
      <w:tcPr>
        <w:tcBorders>
          <w:top w:val="double" w:sz="4" w:space="0" w:color="006298" w:themeColor="accent1"/>
        </w:tcBorders>
      </w:tcPr>
    </w:tblStylePr>
    <w:tblStylePr w:type="firstCol">
      <w:rPr>
        <w:b/>
        <w:bCs/>
      </w:rPr>
    </w:tblStylePr>
    <w:tblStylePr w:type="lastCol">
      <w:rPr>
        <w:b/>
        <w:bCs/>
      </w:rPr>
    </w:tblStylePr>
    <w:tblStylePr w:type="band1Vert">
      <w:tblPr/>
      <w:tcPr>
        <w:shd w:val="clear" w:color="auto" w:fill="B7E5FF" w:themeFill="accent1" w:themeFillTint="33"/>
      </w:tcPr>
    </w:tblStylePr>
    <w:tblStylePr w:type="band1Horz">
      <w:tblPr/>
      <w:tcPr>
        <w:shd w:val="clear" w:color="auto" w:fill="B7E5FF" w:themeFill="accent1" w:themeFillTint="33"/>
      </w:tcPr>
    </w:tblStylePr>
  </w:style>
  <w:style w:type="paragraph" w:styleId="Underrubrik">
    <w:name w:val="Subtitle"/>
    <w:basedOn w:val="Normal"/>
    <w:next w:val="Normal"/>
    <w:link w:val="UnderrubrikChar"/>
    <w:qFormat/>
    <w:rsid w:val="0022296E"/>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2296E"/>
    <w:rPr>
      <w:rFonts w:asciiTheme="minorHAnsi" w:eastAsiaTheme="minorEastAsia" w:hAnsiTheme="minorHAnsi" w:cstheme="minorBidi"/>
      <w:color w:val="5A5A5A" w:themeColor="text1" w:themeTint="A5"/>
      <w:spacing w:val="15"/>
      <w:sz w:val="22"/>
      <w:szCs w:val="22"/>
    </w:rPr>
  </w:style>
  <w:style w:type="paragraph" w:styleId="Innehllsfrteckningsrubrik">
    <w:name w:val="TOC Heading"/>
    <w:basedOn w:val="Rubrik1"/>
    <w:next w:val="Normal"/>
    <w:uiPriority w:val="39"/>
    <w:unhideWhenUsed/>
    <w:qFormat/>
    <w:rsid w:val="00D210E8"/>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vardhandboken.se/vard-och-behandling/hjalpmedel/ororlighet-komplikationer/" TargetMode="Externa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doi.org/10.1513/AnnalsATS.201510-717OC" TargetMode="External" Id="rId12" /><Relationship Type="http://schemas.openxmlformats.org/officeDocument/2006/relationships/footer" Target="footer3.xml" Id="rId17" /><Relationship Type="http://schemas.openxmlformats.org/officeDocument/2006/relationships/numbering" Target="numbering.xml" Id="rId2" /><Relationship Type="http://schemas.openxmlformats.org/officeDocument/2006/relationships/header" Target="header2.xml" Id="rId16" /><Relationship Type="http://schemas.openxmlformats.org/officeDocument/2006/relationships/footnotes" Target="footnotes.xml" Id="rId6" /><Relationship Type="http://schemas.openxmlformats.org/officeDocument/2006/relationships/hyperlink" Target="https://doi.org/10.1371/journal.pone.0267255" TargetMode="External"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hyperlink" Target="https://doi.org/10.1186/s13613-022-00988-9"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https://www.uptodate.com/contents/post-intensive-care-syndrome-pics?search=mobilization%20icu&amp;source=search_result&amp;selectedTitle=2~150&amp;usage_type=default&amp;display_rank=2" TargetMode="Externa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2022</Words>
  <Characters>10719</Characters>
  <Application>Microsoft Office Word</Application>
  <DocSecurity>0</DocSecurity>
  <Lines>89</Lines>
  <Paragraphs>25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12716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Mobilisering på IVA och IMA</dc:title>
  <dc:subject/>
  <dc:creator>Carina Isbrand Fransson</dc:creator>
  <keywords/>
  <lastModifiedBy>Carina Isbrand Fransson</lastModifiedBy>
  <revision>2</revision>
  <dcterms:created xsi:type="dcterms:W3CDTF">2026-09-02T13:17:00.0000000Z</dcterms:created>
  <dcterms:modified xsi:type="dcterms:W3CDTF">2026-09-02T13:17:00.0000000Z</dcterms:modified>
</coreProperties>
</file>