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E497FE" w14:textId="77777777" w:rsidR="002E1462" w:rsidRDefault="002E1462" w:rsidP="00F35B05">
      <w:pPr>
        <w:pStyle w:val="Rubrik2"/>
        <w:sectPr w:rsidR="002E1462" w:rsidSect="002E146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1531B6" w14:textId="77777777" w:rsidR="002E1462" w:rsidRPr="002E1462" w:rsidRDefault="002E1462" w:rsidP="002E1462">
      <w:pPr>
        <w:spacing w:after="0" w:line="240" w:lineRule="auto"/>
        <w:ind w:left="0" w:right="0"/>
        <w:rPr>
          <w:szCs w:val="20"/>
        </w:rPr>
      </w:pPr>
    </w:p>
    <w:p w14:paraId="2220D522" w14:textId="77777777" w:rsidR="002E1462" w:rsidRPr="002E1462" w:rsidRDefault="002E1462" w:rsidP="002E1462">
      <w:pPr>
        <w:spacing w:after="0" w:line="240" w:lineRule="auto"/>
        <w:ind w:left="0" w:right="0"/>
        <w:rPr>
          <w:szCs w:val="20"/>
        </w:rPr>
      </w:pPr>
    </w:p>
    <w:p w14:paraId="609D2DCD" w14:textId="77777777" w:rsidR="002E1462" w:rsidRPr="002E1462" w:rsidRDefault="002E1462" w:rsidP="002E1462">
      <w:pPr>
        <w:tabs>
          <w:tab w:val="left" w:pos="4590"/>
        </w:tabs>
        <w:spacing w:after="0" w:line="240" w:lineRule="auto"/>
        <w:ind w:left="0" w:right="0"/>
        <w:rPr>
          <w:szCs w:val="20"/>
        </w:rPr>
      </w:pPr>
      <w:r w:rsidRPr="002E1462">
        <w:rPr>
          <w:szCs w:val="20"/>
        </w:rPr>
        <w:tab/>
      </w:r>
    </w:p>
    <w:p w14:paraId="08F2F103" w14:textId="3BB1ECD4" w:rsidR="002E1462" w:rsidRPr="002E1462" w:rsidRDefault="002E1462" w:rsidP="002E1462">
      <w:pPr>
        <w:spacing w:after="0" w:line="240" w:lineRule="auto"/>
        <w:ind w:left="0" w:right="0"/>
        <w:rPr>
          <w:szCs w:val="20"/>
        </w:rPr>
      </w:pPr>
      <w:r w:rsidRPr="002E1462">
        <w:rPr>
          <w:noProof/>
          <w:szCs w:val="20"/>
        </w:rPr>
        <mc:AlternateContent>
          <mc:Choice Requires="wps">
            <w:drawing>
              <wp:anchor distT="0" distB="0" distL="114300" distR="114300" simplePos="0" relativeHeight="251658240" behindDoc="0" locked="0" layoutInCell="1" allowOverlap="1" wp14:anchorId="1E07E6C7" wp14:editId="06490E30">
                <wp:simplePos x="0" y="0"/>
                <wp:positionH relativeFrom="column">
                  <wp:posOffset>6518275</wp:posOffset>
                </wp:positionH>
                <wp:positionV relativeFrom="paragraph">
                  <wp:posOffset>78740</wp:posOffset>
                </wp:positionV>
                <wp:extent cx="1244600" cy="222885"/>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1E55AC" w14:textId="77777777" w:rsidR="002E1462" w:rsidRPr="003D37FD" w:rsidRDefault="002E1462" w:rsidP="002E14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12931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E07E6C7" id="_x0000_t202" coordsize="21600,21600" o:spt="202" path="m,l,21600r21600,l21600,xe">
                <v:stroke joinstyle="miter"/>
                <v:path gradientshapeok="t" o:connecttype="rect"/>
              </v:shapetype>
              <v:shape id="Text Box 25"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A1E55AC" w14:textId="77777777" w:rsidR="002E1462" w:rsidRPr="003D37FD" w:rsidRDefault="002E1462" w:rsidP="002E14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12931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E1462" w:rsidRPr="002E1462" w14:paraId="11E0CE61" w14:textId="77777777" w:rsidTr="009B5763">
        <w:trPr>
          <w:cantSplit/>
          <w:trHeight w:val="570"/>
        </w:trPr>
        <w:tc>
          <w:tcPr>
            <w:tcW w:w="9039" w:type="dxa"/>
            <w:tcBorders>
              <w:bottom w:val="single" w:sz="8" w:space="0" w:color="auto"/>
            </w:tcBorders>
            <w:tcMar>
              <w:left w:w="0" w:type="dxa"/>
              <w:right w:w="0" w:type="dxa"/>
            </w:tcMar>
            <w:vAlign w:val="bottom"/>
          </w:tcPr>
          <w:p w14:paraId="6B14A3E7" w14:textId="77777777" w:rsidR="002E1462" w:rsidRPr="002E1462" w:rsidRDefault="002E1462" w:rsidP="00DD14FB">
            <w:pPr>
              <w:pStyle w:val="Rubrik1"/>
              <w:rPr>
                <w:noProof/>
                <w:sz w:val="32"/>
                <w:szCs w:val="20"/>
              </w:rPr>
            </w:pPr>
            <w:bookmarkStart w:id="1" w:name="_1314629194"/>
            <w:bookmarkStart w:id="2" w:name="Rubrik"/>
            <w:bookmarkEnd w:id="1"/>
            <w:bookmarkEnd w:id="2"/>
            <w:r w:rsidRPr="002E1462">
              <w:rPr>
                <w:noProof/>
              </w:rPr>
              <w:t>Huggormsbett - handläggningsrutiner</w:t>
            </w:r>
          </w:p>
        </w:tc>
      </w:tr>
    </w:tbl>
    <w:p w14:paraId="785A23A5" w14:textId="77777777" w:rsidR="002E1462" w:rsidRPr="002E1462" w:rsidRDefault="002E1462" w:rsidP="002E1462">
      <w:pPr>
        <w:tabs>
          <w:tab w:val="left" w:pos="4590"/>
        </w:tabs>
        <w:spacing w:after="0" w:line="240" w:lineRule="auto"/>
        <w:ind w:left="0" w:right="0"/>
        <w:rPr>
          <w:rFonts w:ascii="Arial" w:eastAsia="Calibri" w:hAnsi="Arial" w:cs="Arial"/>
          <w:b/>
          <w:bCs/>
          <w:lang w:eastAsia="en-US"/>
        </w:rPr>
      </w:pPr>
    </w:p>
    <w:p w14:paraId="019DCB52" w14:textId="40BBF41C" w:rsidR="00CC61B3" w:rsidRDefault="00CC61B3" w:rsidP="00DD14FB">
      <w:pPr>
        <w:tabs>
          <w:tab w:val="left" w:pos="4590"/>
        </w:tabs>
        <w:spacing w:after="0" w:line="240" w:lineRule="auto"/>
        <w:ind w:left="993" w:right="282"/>
        <w:rPr>
          <w:rStyle w:val="Rubrik2Char"/>
        </w:rPr>
      </w:pPr>
      <w:r>
        <w:rPr>
          <w:rStyle w:val="Rubrik2Char"/>
        </w:rPr>
        <w:t>Revidering i denna version</w:t>
      </w:r>
    </w:p>
    <w:p w14:paraId="1C1350D7" w14:textId="794CB7AD" w:rsidR="00CC61B3" w:rsidRDefault="00CC61B3" w:rsidP="00DD14FB">
      <w:pPr>
        <w:tabs>
          <w:tab w:val="left" w:pos="4590"/>
        </w:tabs>
        <w:spacing w:after="0" w:line="240" w:lineRule="auto"/>
        <w:ind w:left="993" w:right="282"/>
        <w:rPr>
          <w:rStyle w:val="Rubrik2Char"/>
          <w:rFonts w:ascii="Times New Roman" w:hAnsi="Times New Roman" w:cs="Times New Roman"/>
          <w:sz w:val="24"/>
          <w:szCs w:val="24"/>
        </w:rPr>
      </w:pPr>
      <w:r>
        <w:rPr>
          <w:rStyle w:val="Rubrik2Char"/>
          <w:rFonts w:ascii="Times New Roman" w:hAnsi="Times New Roman" w:cs="Times New Roman"/>
          <w:sz w:val="24"/>
          <w:szCs w:val="24"/>
        </w:rPr>
        <w:t>Uppdaterad i giltighetstid.</w:t>
      </w:r>
    </w:p>
    <w:p w14:paraId="266E96C0" w14:textId="77777777" w:rsidR="00CC61B3" w:rsidRPr="00CC61B3" w:rsidRDefault="00CC61B3" w:rsidP="00DD14FB">
      <w:pPr>
        <w:tabs>
          <w:tab w:val="left" w:pos="4590"/>
        </w:tabs>
        <w:spacing w:after="0" w:line="240" w:lineRule="auto"/>
        <w:ind w:left="993" w:right="282"/>
        <w:rPr>
          <w:rStyle w:val="Rubrik2Char"/>
          <w:rFonts w:ascii="Times New Roman" w:hAnsi="Times New Roman" w:cs="Times New Roman"/>
          <w:sz w:val="24"/>
          <w:szCs w:val="24"/>
        </w:rPr>
      </w:pPr>
    </w:p>
    <w:p w14:paraId="35166AED" w14:textId="3C14B62E" w:rsidR="002E1462" w:rsidRPr="002E1462" w:rsidRDefault="002E1462" w:rsidP="00DD14FB">
      <w:pPr>
        <w:tabs>
          <w:tab w:val="left" w:pos="4590"/>
        </w:tabs>
        <w:spacing w:after="0" w:line="240" w:lineRule="auto"/>
        <w:ind w:left="993" w:right="282"/>
        <w:rPr>
          <w:rFonts w:eastAsia="Calibri"/>
          <w:lang w:eastAsia="en-US"/>
        </w:rPr>
      </w:pPr>
      <w:r w:rsidRPr="00DD14FB">
        <w:rPr>
          <w:rStyle w:val="Rubrik2Char"/>
        </w:rPr>
        <w:t>Sammanfattning/syfte </w:t>
      </w:r>
      <w:r w:rsidRPr="00DD14FB">
        <w:rPr>
          <w:rStyle w:val="Rubrik2Char"/>
        </w:rPr>
        <w:br/>
      </w:r>
      <w:r w:rsidRPr="002E1462">
        <w:rPr>
          <w:rFonts w:eastAsia="Calibri"/>
          <w:lang w:eastAsia="en-US"/>
        </w:rPr>
        <w:t>Behandlingsråd till sjukvårdspersonal för patient som blivit biten av huggorm.  </w:t>
      </w:r>
    </w:p>
    <w:p w14:paraId="3810D4D9" w14:textId="77777777" w:rsidR="002E1462" w:rsidRPr="002E1462" w:rsidRDefault="002E1462" w:rsidP="00DD14FB">
      <w:pPr>
        <w:tabs>
          <w:tab w:val="left" w:pos="4590"/>
        </w:tabs>
        <w:spacing w:after="0" w:line="240" w:lineRule="auto"/>
        <w:ind w:left="993" w:right="282"/>
        <w:rPr>
          <w:rFonts w:eastAsia="Calibri"/>
          <w:lang w:eastAsia="en-US"/>
        </w:rPr>
      </w:pPr>
    </w:p>
    <w:p w14:paraId="78C25EFF" w14:textId="77777777" w:rsidR="002E1462" w:rsidRPr="002E1462" w:rsidRDefault="002E1462" w:rsidP="00DD14FB">
      <w:pPr>
        <w:spacing w:after="160" w:line="240" w:lineRule="auto"/>
        <w:ind w:left="993" w:right="282"/>
        <w:rPr>
          <w:rFonts w:eastAsia="Calibri"/>
          <w:lang w:eastAsia="en-US"/>
        </w:rPr>
      </w:pPr>
      <w:r w:rsidRPr="00DD14FB">
        <w:rPr>
          <w:rStyle w:val="Rubrik2Char"/>
        </w:rPr>
        <w:t>Vilka berörs </w:t>
      </w:r>
      <w:r w:rsidRPr="00DD14FB">
        <w:rPr>
          <w:rStyle w:val="Rubrik2Char"/>
        </w:rPr>
        <w:br/>
      </w:r>
      <w:r w:rsidRPr="002E1462">
        <w:rPr>
          <w:rFonts w:eastAsia="Calibri"/>
          <w:lang w:eastAsia="en-US"/>
        </w:rPr>
        <w:t>Läkare och sjuksköterskor på AnOpIVA. </w:t>
      </w:r>
    </w:p>
    <w:p w14:paraId="53C3587E" w14:textId="77777777" w:rsidR="002E1462" w:rsidRPr="002E1462" w:rsidRDefault="002E1462" w:rsidP="00DD14FB">
      <w:pPr>
        <w:spacing w:after="160" w:line="240" w:lineRule="auto"/>
        <w:ind w:left="993" w:right="282"/>
        <w:rPr>
          <w:rFonts w:eastAsia="Calibri"/>
          <w:lang w:eastAsia="en-US"/>
        </w:rPr>
      </w:pPr>
      <w:r w:rsidRPr="00DD14FB">
        <w:rPr>
          <w:rStyle w:val="Rubrik2Char"/>
        </w:rPr>
        <w:t>Bakgrund </w:t>
      </w:r>
      <w:r w:rsidRPr="00DD14FB">
        <w:rPr>
          <w:rStyle w:val="Rubrik2Char"/>
        </w:rPr>
        <w:br/>
      </w:r>
      <w:r w:rsidRPr="002E1462">
        <w:rPr>
          <w:rFonts w:eastAsia="Calibri"/>
          <w:lang w:eastAsia="en-US"/>
        </w:rPr>
        <w:t>I</w:t>
      </w:r>
      <w:r w:rsidRPr="002E1462">
        <w:rPr>
          <w:rFonts w:ascii="Calibri" w:eastAsia="Calibri" w:hAnsi="Calibri"/>
          <w:lang w:eastAsia="en-US"/>
        </w:rPr>
        <w:t xml:space="preserve"> </w:t>
      </w:r>
      <w:r w:rsidRPr="002E1462">
        <w:rPr>
          <w:rFonts w:eastAsia="Calibri"/>
          <w:lang w:eastAsia="en-US"/>
        </w:rPr>
        <w:t>Sverige finns en inhemsk giftig ormart huggormen (</w:t>
      </w:r>
      <w:proofErr w:type="spellStart"/>
      <w:r w:rsidRPr="002E1462">
        <w:rPr>
          <w:rFonts w:eastAsia="Calibri"/>
          <w:i/>
          <w:iCs/>
          <w:lang w:eastAsia="en-US"/>
        </w:rPr>
        <w:t>Vipera</w:t>
      </w:r>
      <w:proofErr w:type="spellEnd"/>
      <w:r w:rsidRPr="002E1462">
        <w:rPr>
          <w:rFonts w:eastAsia="Calibri"/>
          <w:i/>
          <w:iCs/>
          <w:lang w:eastAsia="en-US"/>
        </w:rPr>
        <w:t xml:space="preserve"> </w:t>
      </w:r>
      <w:proofErr w:type="spellStart"/>
      <w:r w:rsidRPr="002E1462">
        <w:rPr>
          <w:rFonts w:eastAsia="Calibri"/>
          <w:i/>
          <w:iCs/>
          <w:lang w:eastAsia="en-US"/>
        </w:rPr>
        <w:t>berus</w:t>
      </w:r>
      <w:proofErr w:type="spellEnd"/>
      <w:r w:rsidRPr="002E1462">
        <w:rPr>
          <w:rFonts w:eastAsia="Calibri"/>
          <w:lang w:eastAsia="en-US"/>
        </w:rPr>
        <w:t xml:space="preserve">). Giftet innehåller flera toxiner och är cytotoxiskt, </w:t>
      </w:r>
      <w:proofErr w:type="spellStart"/>
      <w:r w:rsidRPr="002E1462">
        <w:rPr>
          <w:rFonts w:eastAsia="Calibri"/>
          <w:lang w:eastAsia="en-US"/>
        </w:rPr>
        <w:t>hemolytiskt</w:t>
      </w:r>
      <w:proofErr w:type="spellEnd"/>
      <w:r w:rsidRPr="002E1462">
        <w:rPr>
          <w:rFonts w:eastAsia="Calibri"/>
          <w:lang w:eastAsia="en-US"/>
        </w:rPr>
        <w:t xml:space="preserve"> och </w:t>
      </w:r>
      <w:proofErr w:type="spellStart"/>
      <w:r w:rsidRPr="002E1462">
        <w:rPr>
          <w:rFonts w:eastAsia="Calibri"/>
          <w:lang w:eastAsia="en-US"/>
        </w:rPr>
        <w:t>proteolytiskt</w:t>
      </w:r>
      <w:proofErr w:type="spellEnd"/>
      <w:r w:rsidRPr="002E1462">
        <w:rPr>
          <w:rFonts w:eastAsia="Calibri"/>
          <w:lang w:eastAsia="en-US"/>
        </w:rPr>
        <w:t xml:space="preserve">. Under säsongen april-oktober sker ca 150–200 sjukhuskrävande fall av bett, i vårt upptagningsområde ca 15–20. Senaste dödsfallet i Sverige inträffade för mer än 20 år sedan. Riktlinjerna har senaste åren reviderats med en bredare indikation för antikroppsbehandling (serum) för att minska risken för komplikationer och förkorta vårdtiden för den enskilda individen. </w:t>
      </w:r>
    </w:p>
    <w:p w14:paraId="0826BD5B" w14:textId="77777777" w:rsidR="002E1462" w:rsidRPr="002E1462" w:rsidRDefault="002E1462" w:rsidP="00DD14FB">
      <w:pPr>
        <w:spacing w:after="160" w:line="240" w:lineRule="auto"/>
        <w:ind w:left="993" w:right="282"/>
        <w:rPr>
          <w:rFonts w:eastAsia="Calibri"/>
          <w:color w:val="FF0000"/>
          <w:lang w:eastAsia="en-US"/>
        </w:rPr>
      </w:pPr>
      <w:r w:rsidRPr="002E1462">
        <w:rPr>
          <w:rFonts w:eastAsia="Calibri"/>
          <w:b/>
          <w:color w:val="FF0000"/>
          <w:lang w:eastAsia="en-US"/>
        </w:rPr>
        <w:t>Ring</w:t>
      </w:r>
      <w:r w:rsidRPr="002E1462">
        <w:rPr>
          <w:rFonts w:eastAsia="Calibri"/>
          <w:color w:val="FF0000"/>
          <w:lang w:eastAsia="en-US"/>
        </w:rPr>
        <w:t xml:space="preserve"> </w:t>
      </w:r>
      <w:r w:rsidRPr="002E1462">
        <w:rPr>
          <w:rFonts w:eastAsia="Calibri"/>
          <w:b/>
          <w:color w:val="FF0000"/>
          <w:lang w:eastAsia="en-US"/>
        </w:rPr>
        <w:t>giftinformationscentralen (GIC)</w:t>
      </w:r>
      <w:r w:rsidRPr="002E1462">
        <w:rPr>
          <w:rFonts w:eastAsia="Calibri"/>
          <w:color w:val="FF0000"/>
          <w:lang w:eastAsia="en-US"/>
        </w:rPr>
        <w:t xml:space="preserve"> på telefon 010-456 67 19, 112 eller via växeln, vid tveksamhet eller rådfrågning. www.giftinformation.se/lakare/substanser/huggorm </w:t>
      </w:r>
    </w:p>
    <w:p w14:paraId="513B0EE5" w14:textId="77777777" w:rsidR="002E1462" w:rsidRPr="002E1462" w:rsidRDefault="002E1462" w:rsidP="00DD14FB">
      <w:pPr>
        <w:spacing w:after="160" w:line="240" w:lineRule="auto"/>
        <w:ind w:left="993" w:right="282"/>
        <w:rPr>
          <w:rFonts w:eastAsia="Calibri"/>
          <w:lang w:eastAsia="en-US"/>
        </w:rPr>
      </w:pPr>
      <w:r w:rsidRPr="00BD6136">
        <w:rPr>
          <w:rStyle w:val="Rubrik2Char"/>
        </w:rPr>
        <w:t>Riskgrupper </w:t>
      </w:r>
      <w:r w:rsidRPr="00BD6136">
        <w:rPr>
          <w:rStyle w:val="Rubrik2Char"/>
        </w:rPr>
        <w:br/>
      </w:r>
      <w:r w:rsidRPr="002E1462">
        <w:rPr>
          <w:rFonts w:eastAsia="Calibri"/>
          <w:lang w:eastAsia="en-US"/>
        </w:rPr>
        <w:t xml:space="preserve">Barn, högre dos toxin/kg kroppsvikt, oftare </w:t>
      </w:r>
      <w:proofErr w:type="spellStart"/>
      <w:r w:rsidRPr="002E1462">
        <w:rPr>
          <w:rFonts w:eastAsia="Calibri"/>
          <w:lang w:eastAsia="en-US"/>
        </w:rPr>
        <w:t>angioneurotiskt</w:t>
      </w:r>
      <w:proofErr w:type="spellEnd"/>
      <w:r w:rsidRPr="002E1462">
        <w:rPr>
          <w:rFonts w:eastAsia="Calibri"/>
          <w:lang w:eastAsia="en-US"/>
        </w:rPr>
        <w:t xml:space="preserve"> ödem och </w:t>
      </w:r>
      <w:proofErr w:type="spellStart"/>
      <w:r w:rsidRPr="002E1462">
        <w:rPr>
          <w:rFonts w:eastAsia="Calibri"/>
          <w:lang w:eastAsia="en-US"/>
        </w:rPr>
        <w:t>bronkospasm</w:t>
      </w:r>
      <w:proofErr w:type="spellEnd"/>
      <w:r w:rsidRPr="002E1462">
        <w:rPr>
          <w:rFonts w:eastAsia="Calibri"/>
          <w:lang w:eastAsia="en-US"/>
        </w:rPr>
        <w:t>. </w:t>
      </w:r>
    </w:p>
    <w:p w14:paraId="61B741EE"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Gravida patienter, toxinet passerar placenta och kan ge fosterdöd. </w:t>
      </w:r>
    </w:p>
    <w:p w14:paraId="4E692007" w14:textId="77777777" w:rsidR="002E1462" w:rsidRPr="002E1462" w:rsidRDefault="002E1462" w:rsidP="00BD6136">
      <w:pPr>
        <w:pStyle w:val="Rubrik2"/>
        <w:rPr>
          <w:lang w:eastAsia="en-US"/>
        </w:rPr>
      </w:pPr>
      <w:r w:rsidRPr="002E1462">
        <w:rPr>
          <w:lang w:eastAsia="en-US"/>
        </w:rPr>
        <w:lastRenderedPageBreak/>
        <w:t>Symptom</w:t>
      </w:r>
    </w:p>
    <w:p w14:paraId="31FE7AD8" w14:textId="77777777" w:rsidR="002E1462" w:rsidRPr="002E1462" w:rsidRDefault="002E1462" w:rsidP="00DD14FB">
      <w:pPr>
        <w:spacing w:after="160" w:line="240" w:lineRule="auto"/>
        <w:ind w:left="993" w:right="282"/>
        <w:rPr>
          <w:rFonts w:eastAsia="Calibri"/>
          <w:lang w:eastAsia="en-US"/>
        </w:rPr>
      </w:pPr>
      <w:r w:rsidRPr="002E1462">
        <w:rPr>
          <w:rFonts w:ascii="Calibri" w:eastAsia="Calibri" w:hAnsi="Calibri" w:cs="Calibri"/>
          <w:b/>
          <w:bCs/>
          <w:lang w:eastAsia="en-US"/>
        </w:rPr>
        <w:t>Lokala symptom</w:t>
      </w:r>
      <w:r w:rsidRPr="002E1462">
        <w:rPr>
          <w:rFonts w:eastAsia="Calibri"/>
          <w:lang w:eastAsia="en-US"/>
        </w:rPr>
        <w:t xml:space="preserve"> (ca 75% av symptomatiska patienter) </w:t>
      </w:r>
    </w:p>
    <w:p w14:paraId="0ABB8331" w14:textId="2132520E"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Ett bettmärke oftast på en extremitet två punktformiga stickmärken med 3–9 mm mellanrum. </w:t>
      </w:r>
      <w:r w:rsidR="00E64006">
        <w:rPr>
          <w:rFonts w:eastAsia="Calibri"/>
          <w:lang w:eastAsia="en-US"/>
        </w:rPr>
        <w:br/>
      </w:r>
      <w:r w:rsidR="00E64006">
        <w:rPr>
          <w:rFonts w:eastAsia="Calibri"/>
          <w:lang w:eastAsia="en-US"/>
        </w:rPr>
        <w:br/>
      </w:r>
      <w:r w:rsidRPr="002E1462">
        <w:rPr>
          <w:rFonts w:eastAsia="Calibri"/>
          <w:lang w:eastAsia="en-US"/>
        </w:rPr>
        <w:t xml:space="preserve">Giftet injiceras oftast subkutant och ger en nedbrytning av omkringliggande vävnad och huden blir ofta blålila med blodblåsor, denna </w:t>
      </w:r>
      <w:proofErr w:type="spellStart"/>
      <w:r w:rsidRPr="002E1462">
        <w:rPr>
          <w:rFonts w:eastAsia="Calibri"/>
          <w:lang w:eastAsia="en-US"/>
        </w:rPr>
        <w:t>progredierar</w:t>
      </w:r>
      <w:proofErr w:type="spellEnd"/>
      <w:r w:rsidRPr="002E1462">
        <w:rPr>
          <w:rFonts w:eastAsia="Calibri"/>
          <w:lang w:eastAsia="en-US"/>
        </w:rPr>
        <w:t xml:space="preserve"> i naturalförloppet i 48–72 timmar och kan kvarstå i ca 2 veckor. Andra lokala symptom är smärta och oro. Patienten kan få ett </w:t>
      </w:r>
      <w:proofErr w:type="spellStart"/>
      <w:r w:rsidRPr="002E1462">
        <w:rPr>
          <w:rFonts w:eastAsia="Calibri"/>
          <w:lang w:eastAsia="en-US"/>
        </w:rPr>
        <w:t>vasovagalt</w:t>
      </w:r>
      <w:proofErr w:type="spellEnd"/>
      <w:r w:rsidRPr="002E1462">
        <w:rPr>
          <w:rFonts w:eastAsia="Calibri"/>
          <w:lang w:eastAsia="en-US"/>
        </w:rPr>
        <w:t xml:space="preserve"> blodtrycksfall och även detta klassas som ett lokalt symptom, om det är snabbt övergående. </w:t>
      </w:r>
    </w:p>
    <w:p w14:paraId="56A4B6A8"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I 30% av alla fall har ingen deposition av gift skett (</w:t>
      </w:r>
      <w:proofErr w:type="spellStart"/>
      <w:r w:rsidRPr="002E1462">
        <w:rPr>
          <w:rFonts w:eastAsia="Calibri"/>
          <w:lang w:eastAsia="en-US"/>
        </w:rPr>
        <w:t>sk.</w:t>
      </w:r>
      <w:proofErr w:type="spellEnd"/>
      <w:r w:rsidRPr="002E1462">
        <w:rPr>
          <w:rFonts w:eastAsia="Calibri"/>
          <w:lang w:eastAsia="en-US"/>
        </w:rPr>
        <w:t xml:space="preserve"> torrbett), dessa patienter får inga symptom förutom 2 stickmärken. </w:t>
      </w:r>
    </w:p>
    <w:p w14:paraId="08002C4B" w14:textId="77777777" w:rsidR="002E1462" w:rsidRPr="002E1462" w:rsidRDefault="002E1462" w:rsidP="00DD14FB">
      <w:pPr>
        <w:spacing w:after="160" w:line="240" w:lineRule="auto"/>
        <w:ind w:left="993" w:right="282"/>
        <w:rPr>
          <w:rFonts w:eastAsia="Calibri"/>
          <w:lang w:eastAsia="en-US"/>
        </w:rPr>
      </w:pPr>
      <w:r w:rsidRPr="002E1462">
        <w:rPr>
          <w:rFonts w:ascii="Calibri" w:eastAsia="Calibri" w:hAnsi="Calibri" w:cs="Calibri"/>
          <w:b/>
          <w:bCs/>
          <w:lang w:eastAsia="en-US"/>
        </w:rPr>
        <w:t>Generella symptom</w:t>
      </w:r>
      <w:r w:rsidRPr="002E1462">
        <w:rPr>
          <w:rFonts w:eastAsia="Calibri"/>
          <w:lang w:eastAsia="en-US"/>
        </w:rPr>
        <w:t xml:space="preserve"> (ca 25% av symptomatiska patienter) </w:t>
      </w:r>
    </w:p>
    <w:p w14:paraId="09AFE3E2" w14:textId="77777777" w:rsidR="002E1462" w:rsidRPr="002E1462" w:rsidRDefault="002E1462" w:rsidP="00DD14FB">
      <w:pPr>
        <w:spacing w:after="160" w:line="240" w:lineRule="auto"/>
        <w:ind w:left="993" w:right="282"/>
        <w:rPr>
          <w:rFonts w:eastAsia="Calibri"/>
          <w:lang w:eastAsia="en-US"/>
        </w:rPr>
      </w:pPr>
      <w:proofErr w:type="spellStart"/>
      <w:r w:rsidRPr="002E1462">
        <w:rPr>
          <w:rFonts w:eastAsia="Calibri"/>
          <w:b/>
          <w:bCs/>
          <w:lang w:eastAsia="en-US"/>
        </w:rPr>
        <w:t>Gastrointestinala</w:t>
      </w:r>
      <w:proofErr w:type="spellEnd"/>
      <w:r w:rsidRPr="002E1462">
        <w:rPr>
          <w:rFonts w:eastAsia="Calibri"/>
          <w:b/>
          <w:bCs/>
          <w:lang w:eastAsia="en-US"/>
        </w:rPr>
        <w:t xml:space="preserve"> symptom (vanligt):</w:t>
      </w:r>
      <w:r w:rsidRPr="002E1462">
        <w:rPr>
          <w:rFonts w:eastAsia="Calibri"/>
          <w:lang w:eastAsia="en-US"/>
        </w:rPr>
        <w:t xml:space="preserve"> Ihållande buksmärta, diarré, kräkning. </w:t>
      </w:r>
    </w:p>
    <w:p w14:paraId="3BC61624" w14:textId="77777777" w:rsidR="002E1462" w:rsidRPr="002E1462" w:rsidRDefault="002E1462" w:rsidP="00DD14FB">
      <w:pPr>
        <w:spacing w:after="160" w:line="240" w:lineRule="auto"/>
        <w:ind w:left="993" w:right="282"/>
        <w:rPr>
          <w:rFonts w:eastAsia="Calibri"/>
          <w:lang w:eastAsia="en-US"/>
        </w:rPr>
      </w:pPr>
      <w:proofErr w:type="spellStart"/>
      <w:r w:rsidRPr="002E1462">
        <w:rPr>
          <w:rFonts w:eastAsia="Calibri"/>
          <w:b/>
          <w:bCs/>
          <w:lang w:eastAsia="en-US"/>
        </w:rPr>
        <w:t>Cirkulatoriska</w:t>
      </w:r>
      <w:proofErr w:type="spellEnd"/>
      <w:r w:rsidRPr="002E1462">
        <w:rPr>
          <w:rFonts w:eastAsia="Calibri"/>
          <w:b/>
          <w:bCs/>
          <w:lang w:eastAsia="en-US"/>
        </w:rPr>
        <w:t xml:space="preserve"> symptom:</w:t>
      </w:r>
      <w:r w:rsidRPr="002E1462">
        <w:rPr>
          <w:rFonts w:eastAsia="Calibri"/>
          <w:lang w:eastAsia="en-US"/>
        </w:rPr>
        <w:t xml:space="preserve"> Blodtrycksfall som inte svarar på initial vätskebehandling (</w:t>
      </w:r>
      <w:proofErr w:type="spellStart"/>
      <w:r w:rsidRPr="002E1462">
        <w:rPr>
          <w:rFonts w:eastAsia="Calibri"/>
          <w:lang w:eastAsia="en-US"/>
        </w:rPr>
        <w:t>cirkulatorisk</w:t>
      </w:r>
      <w:proofErr w:type="spellEnd"/>
      <w:r w:rsidRPr="002E1462">
        <w:rPr>
          <w:rFonts w:eastAsia="Calibri"/>
          <w:lang w:eastAsia="en-US"/>
        </w:rPr>
        <w:t xml:space="preserve"> chock), takykardier, EKG-förändringar: Arytmier (sällan maligna), ST-T-förändringar. </w:t>
      </w:r>
    </w:p>
    <w:p w14:paraId="394C3008" w14:textId="77777777" w:rsidR="002E1462" w:rsidRPr="002E1462" w:rsidRDefault="002E1462" w:rsidP="00DD14FB">
      <w:pPr>
        <w:spacing w:after="160" w:line="240" w:lineRule="auto"/>
        <w:ind w:left="993" w:right="282"/>
        <w:rPr>
          <w:rFonts w:eastAsia="Calibri"/>
          <w:lang w:eastAsia="en-US"/>
        </w:rPr>
      </w:pPr>
      <w:r w:rsidRPr="002E1462">
        <w:rPr>
          <w:rFonts w:eastAsia="Calibri"/>
          <w:b/>
          <w:bCs/>
          <w:lang w:eastAsia="en-US"/>
        </w:rPr>
        <w:t>Respiratoriska symptom:</w:t>
      </w:r>
      <w:r w:rsidRPr="002E1462">
        <w:rPr>
          <w:rFonts w:eastAsia="Calibri"/>
          <w:lang w:eastAsia="en-US"/>
        </w:rPr>
        <w:t xml:space="preserve"> </w:t>
      </w:r>
      <w:proofErr w:type="spellStart"/>
      <w:r w:rsidRPr="002E1462">
        <w:rPr>
          <w:rFonts w:eastAsia="Calibri"/>
          <w:lang w:eastAsia="en-US"/>
        </w:rPr>
        <w:t>Bronkospasm</w:t>
      </w:r>
      <w:proofErr w:type="spellEnd"/>
      <w:r w:rsidRPr="002E1462">
        <w:rPr>
          <w:rFonts w:eastAsia="Calibri"/>
          <w:lang w:eastAsia="en-US"/>
        </w:rPr>
        <w:t xml:space="preserve"> (vanligare hos barn och astmatiker), slemhinnesvullnad. I sällsynta fall lungödem ffa. hos barn 3–6 dygn efter en kraftig reaktion. </w:t>
      </w:r>
    </w:p>
    <w:p w14:paraId="3ADB6B4A" w14:textId="77777777" w:rsidR="002E1462" w:rsidRPr="002E1462" w:rsidRDefault="002E1462" w:rsidP="00DD14FB">
      <w:pPr>
        <w:spacing w:after="160" w:line="240" w:lineRule="auto"/>
        <w:ind w:left="993" w:right="282"/>
        <w:rPr>
          <w:rFonts w:eastAsia="Calibri"/>
          <w:lang w:eastAsia="en-US"/>
        </w:rPr>
      </w:pPr>
      <w:r w:rsidRPr="002E1462">
        <w:rPr>
          <w:rFonts w:eastAsia="Calibri"/>
          <w:b/>
          <w:bCs/>
          <w:lang w:eastAsia="en-US"/>
        </w:rPr>
        <w:t>Neurologiska symptom:</w:t>
      </w:r>
      <w:r w:rsidRPr="002E1462">
        <w:rPr>
          <w:rFonts w:eastAsia="Calibri"/>
          <w:lang w:eastAsia="en-US"/>
        </w:rPr>
        <w:t xml:space="preserve"> Medvetandesänkning, kramper (sällsynt). </w:t>
      </w:r>
    </w:p>
    <w:p w14:paraId="0EAFBB32" w14:textId="77777777" w:rsidR="002E1462" w:rsidRPr="002E1462" w:rsidRDefault="002E1462" w:rsidP="00DD14FB">
      <w:pPr>
        <w:spacing w:after="160" w:line="240" w:lineRule="auto"/>
        <w:ind w:left="993" w:right="282"/>
        <w:rPr>
          <w:rFonts w:eastAsia="Calibri"/>
          <w:lang w:eastAsia="en-US"/>
        </w:rPr>
      </w:pPr>
      <w:r w:rsidRPr="002E1462">
        <w:rPr>
          <w:rFonts w:eastAsia="Calibri"/>
          <w:b/>
          <w:bCs/>
          <w:lang w:eastAsia="en-US"/>
        </w:rPr>
        <w:t>Hematologiska symptom:</w:t>
      </w:r>
      <w:r w:rsidRPr="002E1462">
        <w:rPr>
          <w:rFonts w:eastAsia="Calibri"/>
          <w:lang w:eastAsia="en-US"/>
        </w:rPr>
        <w:t xml:space="preserve"> </w:t>
      </w:r>
      <w:proofErr w:type="spellStart"/>
      <w:r w:rsidRPr="002E1462">
        <w:rPr>
          <w:rFonts w:eastAsia="Calibri"/>
          <w:lang w:eastAsia="en-US"/>
        </w:rPr>
        <w:t>Koagulopati</w:t>
      </w:r>
      <w:proofErr w:type="spellEnd"/>
      <w:r w:rsidRPr="002E1462">
        <w:rPr>
          <w:rFonts w:eastAsia="Calibri"/>
          <w:lang w:eastAsia="en-US"/>
        </w:rPr>
        <w:t xml:space="preserve">, </w:t>
      </w:r>
      <w:proofErr w:type="spellStart"/>
      <w:r w:rsidRPr="002E1462">
        <w:rPr>
          <w:rFonts w:eastAsia="Calibri"/>
          <w:lang w:eastAsia="en-US"/>
        </w:rPr>
        <w:t>hemolys</w:t>
      </w:r>
      <w:proofErr w:type="spellEnd"/>
      <w:r w:rsidRPr="002E1462">
        <w:rPr>
          <w:rFonts w:eastAsia="Calibri"/>
          <w:lang w:eastAsia="en-US"/>
        </w:rPr>
        <w:t xml:space="preserve"> (högt LD, lågt </w:t>
      </w:r>
      <w:proofErr w:type="spellStart"/>
      <w:r w:rsidRPr="002E1462">
        <w:rPr>
          <w:rFonts w:eastAsia="Calibri"/>
          <w:lang w:eastAsia="en-US"/>
        </w:rPr>
        <w:t>haptoglobin</w:t>
      </w:r>
      <w:proofErr w:type="spellEnd"/>
      <w:r w:rsidRPr="002E1462">
        <w:rPr>
          <w:rFonts w:eastAsia="Calibri"/>
          <w:lang w:eastAsia="en-US"/>
        </w:rPr>
        <w:t xml:space="preserve">), </w:t>
      </w:r>
      <w:proofErr w:type="spellStart"/>
      <w:r w:rsidRPr="002E1462">
        <w:rPr>
          <w:rFonts w:eastAsia="Calibri"/>
          <w:lang w:eastAsia="en-US"/>
        </w:rPr>
        <w:t>leukocytos</w:t>
      </w:r>
      <w:proofErr w:type="spellEnd"/>
      <w:r w:rsidRPr="002E1462">
        <w:rPr>
          <w:rFonts w:eastAsia="Calibri"/>
          <w:lang w:eastAsia="en-US"/>
        </w:rPr>
        <w:t>&gt; 15 x 10</w:t>
      </w:r>
      <w:r w:rsidRPr="002E1462">
        <w:rPr>
          <w:rFonts w:eastAsia="Calibri"/>
          <w:vertAlign w:val="superscript"/>
          <w:lang w:eastAsia="en-US"/>
        </w:rPr>
        <w:t>9</w:t>
      </w:r>
      <w:r w:rsidRPr="002E1462">
        <w:rPr>
          <w:rFonts w:eastAsia="Calibri"/>
          <w:lang w:eastAsia="en-US"/>
        </w:rPr>
        <w:t>/L, DIC (</w:t>
      </w:r>
      <w:proofErr w:type="spellStart"/>
      <w:r w:rsidRPr="002E1462">
        <w:rPr>
          <w:rFonts w:eastAsia="Calibri"/>
          <w:lang w:eastAsia="en-US"/>
        </w:rPr>
        <w:t>trombocytopeni</w:t>
      </w:r>
      <w:proofErr w:type="spellEnd"/>
      <w:r w:rsidRPr="002E1462">
        <w:rPr>
          <w:rFonts w:eastAsia="Calibri"/>
          <w:lang w:eastAsia="en-US"/>
        </w:rPr>
        <w:t xml:space="preserve">, högt PK/INR eller högt APTT), anemi sekundär till ett extensivt </w:t>
      </w:r>
      <w:proofErr w:type="spellStart"/>
      <w:r w:rsidRPr="002E1462">
        <w:rPr>
          <w:rFonts w:eastAsia="Calibri"/>
          <w:lang w:eastAsia="en-US"/>
        </w:rPr>
        <w:t>hematom</w:t>
      </w:r>
      <w:proofErr w:type="spellEnd"/>
      <w:r w:rsidRPr="002E1462">
        <w:rPr>
          <w:rFonts w:eastAsia="Calibri"/>
          <w:lang w:eastAsia="en-US"/>
        </w:rPr>
        <w:t>; som ibland kan bli transfusionskrävande. </w:t>
      </w:r>
    </w:p>
    <w:p w14:paraId="06AD2151" w14:textId="77777777" w:rsidR="002E1462" w:rsidRPr="002E1462" w:rsidRDefault="002E1462" w:rsidP="00DD14FB">
      <w:pPr>
        <w:spacing w:after="160" w:line="240" w:lineRule="auto"/>
        <w:ind w:left="993" w:right="282"/>
        <w:rPr>
          <w:rFonts w:eastAsia="Calibri"/>
          <w:lang w:eastAsia="en-US"/>
        </w:rPr>
      </w:pPr>
      <w:r w:rsidRPr="002E1462">
        <w:rPr>
          <w:rFonts w:eastAsia="Calibri"/>
          <w:b/>
          <w:bCs/>
          <w:lang w:eastAsia="en-US"/>
        </w:rPr>
        <w:t>Njurpåverkan:</w:t>
      </w:r>
      <w:r w:rsidRPr="002E1462">
        <w:rPr>
          <w:rFonts w:eastAsia="Calibri"/>
          <w:lang w:eastAsia="en-US"/>
        </w:rPr>
        <w:t xml:space="preserve"> </w:t>
      </w:r>
      <w:proofErr w:type="spellStart"/>
      <w:r w:rsidRPr="002E1462">
        <w:rPr>
          <w:rFonts w:eastAsia="Calibri"/>
          <w:lang w:eastAsia="en-US"/>
        </w:rPr>
        <w:t>Proteinuri</w:t>
      </w:r>
      <w:proofErr w:type="spellEnd"/>
      <w:r w:rsidRPr="002E1462">
        <w:rPr>
          <w:rFonts w:eastAsia="Calibri"/>
          <w:lang w:eastAsia="en-US"/>
        </w:rPr>
        <w:t xml:space="preserve">, </w:t>
      </w:r>
      <w:proofErr w:type="spellStart"/>
      <w:r w:rsidRPr="002E1462">
        <w:rPr>
          <w:rFonts w:eastAsia="Calibri"/>
          <w:lang w:eastAsia="en-US"/>
        </w:rPr>
        <w:t>hematuri</w:t>
      </w:r>
      <w:proofErr w:type="spellEnd"/>
      <w:r w:rsidRPr="002E1462">
        <w:rPr>
          <w:rFonts w:eastAsia="Calibri"/>
          <w:lang w:eastAsia="en-US"/>
        </w:rPr>
        <w:t>, njursvikt sekundär till cirkulationssvikt. </w:t>
      </w:r>
    </w:p>
    <w:p w14:paraId="3AE3E416" w14:textId="77777777" w:rsidR="002E1462" w:rsidRPr="002E1462" w:rsidRDefault="002E1462" w:rsidP="00DD14FB">
      <w:pPr>
        <w:spacing w:after="160" w:line="240" w:lineRule="auto"/>
        <w:ind w:left="993" w:right="282"/>
        <w:rPr>
          <w:rFonts w:eastAsia="Calibri"/>
          <w:lang w:eastAsia="en-US"/>
        </w:rPr>
      </w:pPr>
      <w:r w:rsidRPr="002E1462">
        <w:rPr>
          <w:rFonts w:eastAsia="Calibri"/>
          <w:b/>
          <w:bCs/>
          <w:lang w:eastAsia="en-US"/>
        </w:rPr>
        <w:t>Övriga symptom:</w:t>
      </w:r>
      <w:r w:rsidRPr="002E1462">
        <w:rPr>
          <w:rFonts w:eastAsia="Calibri"/>
          <w:lang w:eastAsia="en-US"/>
        </w:rPr>
        <w:t xml:space="preserve"> Feber, </w:t>
      </w:r>
      <w:proofErr w:type="spellStart"/>
      <w:r w:rsidRPr="002E1462">
        <w:rPr>
          <w:rFonts w:eastAsia="Calibri"/>
          <w:lang w:eastAsia="en-US"/>
        </w:rPr>
        <w:t>rabdomyolys</w:t>
      </w:r>
      <w:proofErr w:type="spellEnd"/>
      <w:r w:rsidRPr="002E1462">
        <w:rPr>
          <w:rFonts w:eastAsia="Calibri"/>
          <w:lang w:eastAsia="en-US"/>
        </w:rPr>
        <w:t xml:space="preserve">, metabol </w:t>
      </w:r>
      <w:proofErr w:type="spellStart"/>
      <w:r w:rsidRPr="002E1462">
        <w:rPr>
          <w:rFonts w:eastAsia="Calibri"/>
          <w:lang w:eastAsia="en-US"/>
        </w:rPr>
        <w:t>acidos</w:t>
      </w:r>
      <w:proofErr w:type="spellEnd"/>
      <w:r w:rsidRPr="002E1462">
        <w:rPr>
          <w:rFonts w:eastAsia="Calibri"/>
          <w:lang w:eastAsia="en-US"/>
        </w:rPr>
        <w:t xml:space="preserve">, </w:t>
      </w:r>
      <w:proofErr w:type="spellStart"/>
      <w:r w:rsidRPr="002E1462">
        <w:rPr>
          <w:rFonts w:eastAsia="Calibri"/>
          <w:lang w:eastAsia="en-US"/>
        </w:rPr>
        <w:t>hyponatremi</w:t>
      </w:r>
      <w:proofErr w:type="spellEnd"/>
      <w:r w:rsidRPr="002E1462">
        <w:rPr>
          <w:rFonts w:eastAsia="Calibri"/>
          <w:lang w:eastAsia="en-US"/>
        </w:rPr>
        <w:t xml:space="preserve">, hyperglykemi, </w:t>
      </w:r>
      <w:proofErr w:type="spellStart"/>
      <w:r w:rsidRPr="002E1462">
        <w:rPr>
          <w:rFonts w:eastAsia="Calibri"/>
          <w:lang w:eastAsia="en-US"/>
        </w:rPr>
        <w:t>kompartmentsyndrom</w:t>
      </w:r>
      <w:proofErr w:type="spellEnd"/>
      <w:r w:rsidRPr="002E1462">
        <w:rPr>
          <w:rFonts w:eastAsia="Calibri"/>
          <w:lang w:eastAsia="en-US"/>
        </w:rPr>
        <w:t xml:space="preserve">, </w:t>
      </w:r>
      <w:proofErr w:type="spellStart"/>
      <w:r w:rsidRPr="002E1462">
        <w:rPr>
          <w:rFonts w:eastAsia="Calibri"/>
          <w:lang w:eastAsia="en-US"/>
        </w:rPr>
        <w:t>angioneurotiskt</w:t>
      </w:r>
      <w:proofErr w:type="spellEnd"/>
      <w:r w:rsidRPr="002E1462">
        <w:rPr>
          <w:rFonts w:eastAsia="Calibri"/>
          <w:lang w:eastAsia="en-US"/>
        </w:rPr>
        <w:t xml:space="preserve"> ödem. </w:t>
      </w:r>
    </w:p>
    <w:p w14:paraId="53B1FAA8" w14:textId="77777777" w:rsidR="002E1462" w:rsidRPr="002E1462" w:rsidRDefault="002E1462" w:rsidP="00DD14FB">
      <w:pPr>
        <w:spacing w:after="160" w:line="240" w:lineRule="auto"/>
        <w:ind w:left="993" w:right="282"/>
        <w:rPr>
          <w:rFonts w:eastAsia="Calibri"/>
          <w:lang w:eastAsia="en-US"/>
        </w:rPr>
      </w:pPr>
      <w:r w:rsidRPr="00BD6136">
        <w:rPr>
          <w:rStyle w:val="Rubrik3Char"/>
        </w:rPr>
        <w:t>Övervakning </w:t>
      </w:r>
      <w:r w:rsidRPr="00BD6136">
        <w:rPr>
          <w:rStyle w:val="Rubrik3Char"/>
        </w:rPr>
        <w:br/>
      </w:r>
      <w:r w:rsidRPr="002E1462">
        <w:rPr>
          <w:rFonts w:eastAsia="Calibri"/>
          <w:lang w:eastAsia="en-US"/>
        </w:rPr>
        <w:t xml:space="preserve">Prover: Blodstatus, koagulationsstatus, elektrolytstatus, leverstatus, </w:t>
      </w:r>
      <w:proofErr w:type="spellStart"/>
      <w:r w:rsidRPr="002E1462">
        <w:rPr>
          <w:rFonts w:eastAsia="Calibri"/>
          <w:lang w:eastAsia="en-US"/>
        </w:rPr>
        <w:t>haptoglobin</w:t>
      </w:r>
      <w:proofErr w:type="spellEnd"/>
      <w:r w:rsidRPr="002E1462">
        <w:rPr>
          <w:rFonts w:eastAsia="Calibri"/>
          <w:lang w:eastAsia="en-US"/>
        </w:rPr>
        <w:t xml:space="preserve">, LD och CK tas initialt på alla patienter. Vid allmänpåverkan eller </w:t>
      </w:r>
      <w:proofErr w:type="spellStart"/>
      <w:r w:rsidRPr="002E1462">
        <w:rPr>
          <w:rFonts w:eastAsia="Calibri"/>
          <w:lang w:eastAsia="en-US"/>
        </w:rPr>
        <w:t>progredierande</w:t>
      </w:r>
      <w:proofErr w:type="spellEnd"/>
      <w:r w:rsidRPr="002E1462">
        <w:rPr>
          <w:rFonts w:eastAsia="Calibri"/>
          <w:lang w:eastAsia="en-US"/>
        </w:rPr>
        <w:t xml:space="preserve"> lokal svullnad tas dessa prover upprepat, samt </w:t>
      </w:r>
      <w:proofErr w:type="spellStart"/>
      <w:r w:rsidRPr="002E1462">
        <w:rPr>
          <w:rFonts w:eastAsia="Calibri"/>
          <w:lang w:eastAsia="en-US"/>
        </w:rPr>
        <w:t>syrabasstatus</w:t>
      </w:r>
      <w:proofErr w:type="spellEnd"/>
      <w:r w:rsidRPr="002E1462">
        <w:rPr>
          <w:rFonts w:eastAsia="Calibri"/>
          <w:lang w:eastAsia="en-US"/>
        </w:rPr>
        <w:t xml:space="preserve">. Bettstället och omkringliggande rodnad/svullnad markeras ut och följs varannan timme. På IVA följs lokal symptomutbredning i kärlfönstret i </w:t>
      </w:r>
      <w:proofErr w:type="spellStart"/>
      <w:r w:rsidRPr="002E1462">
        <w:rPr>
          <w:rFonts w:eastAsia="Calibri"/>
          <w:lang w:eastAsia="en-US"/>
        </w:rPr>
        <w:t>Clinisoft</w:t>
      </w:r>
      <w:proofErr w:type="spellEnd"/>
      <w:r w:rsidRPr="002E1462">
        <w:rPr>
          <w:rFonts w:eastAsia="Calibri"/>
          <w:lang w:eastAsia="en-US"/>
        </w:rPr>
        <w:t>. EKG tas vid ankomst, vid allmänpåverkan krävs arytmiövervakning. </w:t>
      </w:r>
    </w:p>
    <w:p w14:paraId="6DE9D0A0" w14:textId="77777777" w:rsidR="002E1462" w:rsidRPr="002E1462" w:rsidRDefault="002E1462" w:rsidP="00BD6136">
      <w:pPr>
        <w:pStyle w:val="Rubrik3"/>
        <w:rPr>
          <w:lang w:eastAsia="en-US"/>
        </w:rPr>
      </w:pPr>
      <w:r w:rsidRPr="002E1462">
        <w:rPr>
          <w:lang w:eastAsia="en-US"/>
        </w:rPr>
        <w:t>Behandling</w:t>
      </w:r>
    </w:p>
    <w:p w14:paraId="3DF582E9" w14:textId="77777777" w:rsidR="002E1462" w:rsidRPr="002E1462" w:rsidRDefault="002E1462" w:rsidP="00DD14FB">
      <w:pPr>
        <w:spacing w:after="160" w:line="240" w:lineRule="auto"/>
        <w:ind w:left="993" w:right="282"/>
        <w:rPr>
          <w:rFonts w:ascii="Calibri" w:eastAsia="Calibri" w:hAnsi="Calibri" w:cs="Calibri"/>
          <w:lang w:eastAsia="en-US"/>
        </w:rPr>
      </w:pPr>
      <w:r w:rsidRPr="002E1462">
        <w:rPr>
          <w:rFonts w:ascii="Calibri" w:eastAsia="Calibri" w:hAnsi="Calibri" w:cs="Calibri"/>
          <w:b/>
          <w:bCs/>
          <w:lang w:eastAsia="en-US"/>
        </w:rPr>
        <w:t>Allmän behandling </w:t>
      </w:r>
    </w:p>
    <w:p w14:paraId="0EABF6FE"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Lugnande besked. </w:t>
      </w:r>
    </w:p>
    <w:p w14:paraId="762F39A6"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Fasta tills vidare. </w:t>
      </w:r>
    </w:p>
    <w:p w14:paraId="0CC38B2C"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lastRenderedPageBreak/>
        <w:t>Smärtlindring (ej NSAID). </w:t>
      </w:r>
    </w:p>
    <w:p w14:paraId="44BEBFD2"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Måttligt högläge av drabbad extremitet. </w:t>
      </w:r>
    </w:p>
    <w:p w14:paraId="64D1B4E7"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Intravenös vätska (Ringer-Acetat) vid blodtrycksfall. Vid ihållande cirkulationssvikt kan noradrenalininfusion behövas, ibland även </w:t>
      </w:r>
      <w:proofErr w:type="spellStart"/>
      <w:r w:rsidRPr="002E1462">
        <w:rPr>
          <w:rFonts w:eastAsia="Calibri"/>
          <w:lang w:eastAsia="en-US"/>
        </w:rPr>
        <w:t>inotrop</w:t>
      </w:r>
      <w:proofErr w:type="spellEnd"/>
      <w:r w:rsidRPr="002E1462">
        <w:rPr>
          <w:rFonts w:eastAsia="Calibri"/>
          <w:lang w:eastAsia="en-US"/>
        </w:rPr>
        <w:t xml:space="preserve"> behandling. </w:t>
      </w:r>
    </w:p>
    <w:p w14:paraId="5C15E50C"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Astmatiker bör ta sin </w:t>
      </w:r>
      <w:proofErr w:type="spellStart"/>
      <w:r w:rsidRPr="002E1462">
        <w:rPr>
          <w:rFonts w:eastAsia="Calibri"/>
          <w:lang w:eastAsia="en-US"/>
        </w:rPr>
        <w:t>bronkdilaterande</w:t>
      </w:r>
      <w:proofErr w:type="spellEnd"/>
      <w:r w:rsidRPr="002E1462">
        <w:rPr>
          <w:rFonts w:eastAsia="Calibri"/>
          <w:lang w:eastAsia="en-US"/>
        </w:rPr>
        <w:t xml:space="preserve"> inhalation eller </w:t>
      </w:r>
      <w:proofErr w:type="spellStart"/>
      <w:r w:rsidRPr="002E1462">
        <w:rPr>
          <w:rFonts w:eastAsia="Calibri"/>
          <w:lang w:eastAsia="en-US"/>
        </w:rPr>
        <w:t>Ventoline</w:t>
      </w:r>
      <w:proofErr w:type="spellEnd"/>
      <w:r w:rsidRPr="002E1462">
        <w:rPr>
          <w:rFonts w:eastAsia="Calibri"/>
          <w:lang w:eastAsia="en-US"/>
        </w:rPr>
        <w:t xml:space="preserve"> för </w:t>
      </w:r>
      <w:proofErr w:type="spellStart"/>
      <w:r w:rsidRPr="002E1462">
        <w:rPr>
          <w:rFonts w:eastAsia="Calibri"/>
          <w:lang w:eastAsia="en-US"/>
        </w:rPr>
        <w:t>nebulisator</w:t>
      </w:r>
      <w:proofErr w:type="spellEnd"/>
      <w:r w:rsidRPr="002E1462">
        <w:rPr>
          <w:rFonts w:eastAsia="Calibri"/>
          <w:lang w:eastAsia="en-US"/>
        </w:rPr>
        <w:t>, 5 mg/ml 1–2 ml. </w:t>
      </w:r>
    </w:p>
    <w:p w14:paraId="4F00E31D"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Adrenalin 1 mg/ml vid tecken på </w:t>
      </w:r>
      <w:proofErr w:type="spellStart"/>
      <w:r w:rsidRPr="002E1462">
        <w:rPr>
          <w:rFonts w:eastAsia="Calibri"/>
          <w:lang w:eastAsia="en-US"/>
        </w:rPr>
        <w:t>anafylaxi</w:t>
      </w:r>
      <w:proofErr w:type="spellEnd"/>
      <w:r w:rsidRPr="002E1462">
        <w:rPr>
          <w:rFonts w:eastAsia="Calibri"/>
          <w:lang w:eastAsia="en-US"/>
        </w:rPr>
        <w:t>, dos 0,3–0,5mg intramuskulärt till vuxna. Till barn 0,01 mg/kg intramuskulärt, max totalt 0,5 mg. </w:t>
      </w:r>
    </w:p>
    <w:p w14:paraId="70159CA2"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Kortisonbehandling påverkar inte toxineffekten och är bara indicerad vid allergiska reaktioner tex ansiktssvullnad, generell </w:t>
      </w:r>
      <w:proofErr w:type="spellStart"/>
      <w:r w:rsidRPr="002E1462">
        <w:rPr>
          <w:rFonts w:eastAsia="Calibri"/>
          <w:lang w:eastAsia="en-US"/>
        </w:rPr>
        <w:t>urtikaria</w:t>
      </w:r>
      <w:proofErr w:type="spellEnd"/>
      <w:r w:rsidRPr="002E1462">
        <w:rPr>
          <w:rFonts w:eastAsia="Calibri"/>
          <w:lang w:eastAsia="en-US"/>
        </w:rPr>
        <w:t xml:space="preserve"> eller </w:t>
      </w:r>
      <w:proofErr w:type="spellStart"/>
      <w:r w:rsidRPr="002E1462">
        <w:rPr>
          <w:rFonts w:eastAsia="Calibri"/>
          <w:lang w:eastAsia="en-US"/>
        </w:rPr>
        <w:t>anafylaxi</w:t>
      </w:r>
      <w:proofErr w:type="spellEnd"/>
      <w:r w:rsidRPr="002E1462">
        <w:rPr>
          <w:rFonts w:eastAsia="Calibri"/>
          <w:lang w:eastAsia="en-US"/>
        </w:rPr>
        <w:t>.</w:t>
      </w:r>
      <w:r w:rsidRPr="002E1462">
        <w:rPr>
          <w:rFonts w:ascii="Calibri" w:eastAsia="Calibri" w:hAnsi="Calibri"/>
          <w:lang w:eastAsia="en-US"/>
        </w:rPr>
        <w:t xml:space="preserve"> </w:t>
      </w:r>
      <w:r w:rsidRPr="002E1462">
        <w:rPr>
          <w:rFonts w:eastAsia="Calibri"/>
          <w:lang w:eastAsia="en-US"/>
        </w:rPr>
        <w:t xml:space="preserve">Detta är relativt sällsynt hos huggormsbitna personer. Vid allergisk reaktion ges 200 mg </w:t>
      </w:r>
      <w:proofErr w:type="spellStart"/>
      <w:r w:rsidRPr="002E1462">
        <w:rPr>
          <w:rFonts w:eastAsia="Calibri"/>
          <w:lang w:eastAsia="en-US"/>
        </w:rPr>
        <w:t>Solu-Cortef</w:t>
      </w:r>
      <w:proofErr w:type="spellEnd"/>
      <w:r w:rsidRPr="002E1462">
        <w:rPr>
          <w:rFonts w:eastAsia="Calibri"/>
          <w:lang w:eastAsia="en-US"/>
        </w:rPr>
        <w:t xml:space="preserve"> och </w:t>
      </w:r>
      <w:proofErr w:type="spellStart"/>
      <w:r w:rsidRPr="002E1462">
        <w:rPr>
          <w:rFonts w:eastAsia="Calibri"/>
          <w:lang w:eastAsia="en-US"/>
        </w:rPr>
        <w:t>desloratadin</w:t>
      </w:r>
      <w:proofErr w:type="spellEnd"/>
      <w:r w:rsidRPr="002E1462">
        <w:rPr>
          <w:rFonts w:eastAsia="Calibri"/>
          <w:lang w:eastAsia="en-US"/>
        </w:rPr>
        <w:t xml:space="preserve"> 10 mg till vuxna. Till barn under 20 kg ges 100 mg </w:t>
      </w:r>
      <w:proofErr w:type="spellStart"/>
      <w:r w:rsidRPr="002E1462">
        <w:rPr>
          <w:rFonts w:eastAsia="Calibri"/>
          <w:lang w:eastAsia="en-US"/>
        </w:rPr>
        <w:t>Solu-Cortef</w:t>
      </w:r>
      <w:proofErr w:type="spellEnd"/>
      <w:r w:rsidRPr="002E1462">
        <w:rPr>
          <w:rFonts w:eastAsia="Calibri"/>
          <w:lang w:eastAsia="en-US"/>
        </w:rPr>
        <w:t xml:space="preserve"> och 2,5 mg </w:t>
      </w:r>
      <w:proofErr w:type="spellStart"/>
      <w:r w:rsidRPr="002E1462">
        <w:rPr>
          <w:rFonts w:eastAsia="Calibri"/>
          <w:lang w:eastAsia="en-US"/>
        </w:rPr>
        <w:t>desloratadin</w:t>
      </w:r>
      <w:proofErr w:type="spellEnd"/>
      <w:r w:rsidRPr="002E1462">
        <w:rPr>
          <w:rFonts w:eastAsia="Calibri"/>
          <w:lang w:eastAsia="en-US"/>
        </w:rPr>
        <w:t xml:space="preserve">, och till barn över 20 kg ges 200 mg </w:t>
      </w:r>
      <w:proofErr w:type="spellStart"/>
      <w:r w:rsidRPr="002E1462">
        <w:rPr>
          <w:rFonts w:eastAsia="Calibri"/>
          <w:lang w:eastAsia="en-US"/>
        </w:rPr>
        <w:t>Solu-Cortef</w:t>
      </w:r>
      <w:proofErr w:type="spellEnd"/>
      <w:r w:rsidRPr="002E1462">
        <w:rPr>
          <w:rFonts w:eastAsia="Calibri"/>
          <w:lang w:eastAsia="en-US"/>
        </w:rPr>
        <w:t xml:space="preserve"> och 5 mg (10 mg &gt;40 kg) </w:t>
      </w:r>
      <w:proofErr w:type="spellStart"/>
      <w:r w:rsidRPr="002E1462">
        <w:rPr>
          <w:rFonts w:eastAsia="Calibri"/>
          <w:lang w:eastAsia="en-US"/>
        </w:rPr>
        <w:t>desloratadin</w:t>
      </w:r>
      <w:proofErr w:type="spellEnd"/>
      <w:r w:rsidRPr="002E1462">
        <w:rPr>
          <w:rFonts w:eastAsia="Calibri"/>
          <w:lang w:eastAsia="en-US"/>
        </w:rPr>
        <w:t xml:space="preserve">. Om patienten inte kan svälja kan antihistamin </w:t>
      </w:r>
      <w:proofErr w:type="spellStart"/>
      <w:r w:rsidRPr="002E1462">
        <w:rPr>
          <w:rFonts w:eastAsia="Calibri"/>
          <w:lang w:eastAsia="en-US"/>
        </w:rPr>
        <w:t>Tavegyl</w:t>
      </w:r>
      <w:proofErr w:type="spellEnd"/>
      <w:r w:rsidRPr="002E1462">
        <w:rPr>
          <w:rFonts w:eastAsia="Calibri"/>
          <w:lang w:eastAsia="en-US"/>
        </w:rPr>
        <w:t xml:space="preserve"> ges intravenöst. </w:t>
      </w:r>
    </w:p>
    <w:p w14:paraId="0826EF89"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Tetanusprofylax kan ges om grundskydd saknas, men risken för tetanus är minimal och inga dokumenterade fall finns beskrivna.  </w:t>
      </w:r>
    </w:p>
    <w:p w14:paraId="58C017D6"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Trombosprofylax ges vid </w:t>
      </w:r>
      <w:proofErr w:type="spellStart"/>
      <w:r w:rsidRPr="002E1462">
        <w:rPr>
          <w:rFonts w:eastAsia="Calibri"/>
          <w:lang w:eastAsia="en-US"/>
        </w:rPr>
        <w:t>immobilisering</w:t>
      </w:r>
      <w:proofErr w:type="spellEnd"/>
      <w:r w:rsidRPr="002E1462">
        <w:rPr>
          <w:rFonts w:eastAsia="Calibri"/>
          <w:lang w:eastAsia="en-US"/>
        </w:rPr>
        <w:t xml:space="preserve"> av patienten. </w:t>
      </w:r>
    </w:p>
    <w:p w14:paraId="5C5F4801"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Antibiotika skall endast ges vid tecken på infektion. Detta är sällsynt och endast 2,6% av patienterna utvecklar en infektion efter ormbett. </w:t>
      </w:r>
    </w:p>
    <w:p w14:paraId="4E5A3158" w14:textId="77777777" w:rsidR="002E1462" w:rsidRPr="002E1462" w:rsidRDefault="002E1462" w:rsidP="00DD14FB">
      <w:pPr>
        <w:spacing w:after="160" w:line="240" w:lineRule="auto"/>
        <w:ind w:left="993" w:right="282"/>
        <w:rPr>
          <w:rFonts w:eastAsia="Calibri"/>
          <w:lang w:eastAsia="en-US"/>
        </w:rPr>
      </w:pPr>
      <w:proofErr w:type="spellStart"/>
      <w:r w:rsidRPr="002E1462">
        <w:rPr>
          <w:rFonts w:eastAsia="Calibri"/>
          <w:lang w:eastAsia="en-US"/>
        </w:rPr>
        <w:t>Fasciotomi</w:t>
      </w:r>
      <w:proofErr w:type="spellEnd"/>
      <w:r w:rsidRPr="002E1462">
        <w:rPr>
          <w:rFonts w:eastAsia="Calibri"/>
          <w:lang w:eastAsia="en-US"/>
        </w:rPr>
        <w:t xml:space="preserve">. </w:t>
      </w:r>
      <w:proofErr w:type="spellStart"/>
      <w:r w:rsidRPr="002E1462">
        <w:rPr>
          <w:rFonts w:eastAsia="Calibri"/>
          <w:lang w:eastAsia="en-US"/>
        </w:rPr>
        <w:t>Kompartmentsyndrom</w:t>
      </w:r>
      <w:proofErr w:type="spellEnd"/>
      <w:r w:rsidRPr="002E1462">
        <w:rPr>
          <w:rFonts w:eastAsia="Calibri"/>
          <w:lang w:eastAsia="en-US"/>
        </w:rPr>
        <w:t xml:space="preserve"> är ovanligt men kan inträffa, ffa i övre extremitet. Serumbehandling är bästa förebyggande behandling, men </w:t>
      </w:r>
      <w:proofErr w:type="spellStart"/>
      <w:r w:rsidRPr="002E1462">
        <w:rPr>
          <w:rFonts w:eastAsia="Calibri"/>
          <w:lang w:eastAsia="en-US"/>
        </w:rPr>
        <w:t>fasciotomi</w:t>
      </w:r>
      <w:proofErr w:type="spellEnd"/>
      <w:r w:rsidRPr="002E1462">
        <w:rPr>
          <w:rFonts w:eastAsia="Calibri"/>
          <w:lang w:eastAsia="en-US"/>
        </w:rPr>
        <w:t xml:space="preserve"> kan bli aktuellt i extremfall. Detta bör om möjligt undvikas då toxinskadad vävnad har väldigt dålig läkningsförmåga. Diskutera med GIC! </w:t>
      </w:r>
    </w:p>
    <w:p w14:paraId="7523D4C8" w14:textId="77777777" w:rsidR="002E1462" w:rsidRPr="002E1462" w:rsidRDefault="002E1462" w:rsidP="00DD14FB">
      <w:pPr>
        <w:spacing w:after="160" w:line="240" w:lineRule="auto"/>
        <w:ind w:left="993" w:right="282"/>
        <w:rPr>
          <w:rFonts w:eastAsia="Calibri"/>
          <w:lang w:eastAsia="en-US"/>
        </w:rPr>
      </w:pPr>
      <w:r w:rsidRPr="00BD6136">
        <w:rPr>
          <w:rStyle w:val="Rubrik3Char"/>
        </w:rPr>
        <w:t>Serumbehandling (antikroppsbehandling) </w:t>
      </w:r>
      <w:r w:rsidRPr="00BD6136">
        <w:rPr>
          <w:rStyle w:val="Rubrik3Char"/>
        </w:rPr>
        <w:br/>
      </w:r>
      <w:r w:rsidRPr="002E1462">
        <w:rPr>
          <w:rFonts w:eastAsia="Calibri"/>
          <w:lang w:eastAsia="en-US"/>
        </w:rPr>
        <w:t xml:space="preserve">Serumbehandling skall omgående ges vid generella symptom, </w:t>
      </w:r>
      <w:proofErr w:type="spellStart"/>
      <w:r w:rsidRPr="002E1462">
        <w:rPr>
          <w:rFonts w:eastAsia="Calibri"/>
          <w:lang w:eastAsia="en-US"/>
        </w:rPr>
        <w:t>anafylaxi</w:t>
      </w:r>
      <w:proofErr w:type="spellEnd"/>
      <w:r w:rsidRPr="002E1462">
        <w:rPr>
          <w:rFonts w:eastAsia="Calibri"/>
          <w:lang w:eastAsia="en-US"/>
        </w:rPr>
        <w:t xml:space="preserve"> och/eller vid lokala symptom där svullnaden har brett ut sig mer än 10 cm från bettstället inom 12 timmar. Bäst effekt har serumet om det ges inom 4 timmar men kan ha effekt upp till 24 timmar efter bettet. För riskgrupperna ges serum även vid endast lokala symptom. Diskutera gärna med GIC. </w:t>
      </w:r>
    </w:p>
    <w:p w14:paraId="7AA6F85C" w14:textId="77777777" w:rsidR="002E1462" w:rsidRPr="002E1462" w:rsidRDefault="002E1462" w:rsidP="00DD14FB">
      <w:pPr>
        <w:spacing w:after="160" w:line="240" w:lineRule="auto"/>
        <w:ind w:left="993" w:right="282"/>
        <w:rPr>
          <w:rFonts w:eastAsia="Calibri"/>
          <w:lang w:eastAsia="en-US"/>
        </w:rPr>
      </w:pPr>
      <w:r w:rsidRPr="002E1462">
        <w:rPr>
          <w:rFonts w:eastAsia="Calibri"/>
          <w:u w:val="single"/>
          <w:lang w:eastAsia="en-US"/>
        </w:rPr>
        <w:t>Dosering/Beredning </w:t>
      </w:r>
    </w:p>
    <w:p w14:paraId="7292DD6D" w14:textId="77777777" w:rsidR="002E1462" w:rsidRPr="002E1462" w:rsidRDefault="002E1462" w:rsidP="00DD14FB">
      <w:pPr>
        <w:spacing w:after="160" w:line="240" w:lineRule="auto"/>
        <w:ind w:left="993" w:right="282"/>
        <w:rPr>
          <w:rFonts w:eastAsia="Calibri"/>
          <w:lang w:eastAsia="en-US"/>
        </w:rPr>
      </w:pPr>
      <w:proofErr w:type="spellStart"/>
      <w:r w:rsidRPr="002E1462">
        <w:rPr>
          <w:rFonts w:eastAsia="Calibri"/>
          <w:lang w:eastAsia="en-US"/>
        </w:rPr>
        <w:t>ViperaTAb</w:t>
      </w:r>
      <w:proofErr w:type="spellEnd"/>
      <w:r w:rsidRPr="002E1462">
        <w:rPr>
          <w:rFonts w:eastAsia="Calibri"/>
          <w:lang w:eastAsia="en-US"/>
        </w:rPr>
        <w:t xml:space="preserve"> 2 ampuller á 4 ml spädes i 100 ml </w:t>
      </w:r>
      <w:proofErr w:type="spellStart"/>
      <w:r w:rsidRPr="002E1462">
        <w:rPr>
          <w:rFonts w:eastAsia="Calibri"/>
          <w:lang w:eastAsia="en-US"/>
        </w:rPr>
        <w:t>NaCl</w:t>
      </w:r>
      <w:proofErr w:type="spellEnd"/>
      <w:r w:rsidRPr="002E1462">
        <w:rPr>
          <w:rFonts w:eastAsia="Calibri"/>
          <w:lang w:eastAsia="en-US"/>
        </w:rPr>
        <w:t xml:space="preserve"> 0,9% </w:t>
      </w:r>
    </w:p>
    <w:p w14:paraId="0745901E" w14:textId="77777777" w:rsidR="002E1462" w:rsidRPr="002E1462" w:rsidRDefault="002E1462" w:rsidP="00DD14FB">
      <w:pPr>
        <w:spacing w:after="160" w:line="240" w:lineRule="auto"/>
        <w:ind w:left="993" w:right="282"/>
        <w:rPr>
          <w:rFonts w:eastAsia="Calibri"/>
          <w:lang w:eastAsia="en-US"/>
        </w:rPr>
      </w:pPr>
      <w:proofErr w:type="spellStart"/>
      <w:r w:rsidRPr="002E1462">
        <w:rPr>
          <w:rFonts w:eastAsia="Calibri"/>
          <w:lang w:eastAsia="en-US"/>
        </w:rPr>
        <w:t>Viperfav</w:t>
      </w:r>
      <w:proofErr w:type="spellEnd"/>
      <w:r w:rsidRPr="002E1462">
        <w:rPr>
          <w:rFonts w:eastAsia="Calibri"/>
          <w:lang w:eastAsia="en-US"/>
        </w:rPr>
        <w:t xml:space="preserve"> 1 ampull á 4 ml spädes i 100 ml </w:t>
      </w:r>
      <w:proofErr w:type="spellStart"/>
      <w:r w:rsidRPr="002E1462">
        <w:rPr>
          <w:rFonts w:eastAsia="Calibri"/>
          <w:lang w:eastAsia="en-US"/>
        </w:rPr>
        <w:t>NaCl</w:t>
      </w:r>
      <w:proofErr w:type="spellEnd"/>
      <w:r w:rsidRPr="002E1462">
        <w:rPr>
          <w:rFonts w:eastAsia="Calibri"/>
          <w:lang w:eastAsia="en-US"/>
        </w:rPr>
        <w:t xml:space="preserve"> 0,9% </w:t>
      </w:r>
    </w:p>
    <w:p w14:paraId="12B68992"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Båda skall ges som infusion intravenöst på 30 minuter (ca 200ml/h). Vid tecken på allergisk reaktion avbryts infusionen och behandling som vid </w:t>
      </w:r>
      <w:proofErr w:type="spellStart"/>
      <w:r w:rsidRPr="002E1462">
        <w:rPr>
          <w:rFonts w:eastAsia="Calibri"/>
          <w:lang w:eastAsia="en-US"/>
        </w:rPr>
        <w:t>anafylaxi</w:t>
      </w:r>
      <w:proofErr w:type="spellEnd"/>
      <w:r w:rsidRPr="002E1462">
        <w:rPr>
          <w:rFonts w:eastAsia="Calibri"/>
          <w:lang w:eastAsia="en-US"/>
        </w:rPr>
        <w:t xml:space="preserve"> ges. Tidigare gavs </w:t>
      </w:r>
      <w:proofErr w:type="spellStart"/>
      <w:r w:rsidRPr="002E1462">
        <w:rPr>
          <w:rFonts w:eastAsia="Calibri"/>
          <w:lang w:eastAsia="en-US"/>
        </w:rPr>
        <w:t>Viperfav</w:t>
      </w:r>
      <w:proofErr w:type="spellEnd"/>
      <w:r w:rsidRPr="002E1462">
        <w:rPr>
          <w:rFonts w:eastAsia="Calibri"/>
          <w:lang w:eastAsia="en-US"/>
        </w:rPr>
        <w:t xml:space="preserve"> långsamt till en början för att kunna observera ev. allergiska reaktioner detta anses nu överflödigt. </w:t>
      </w:r>
    </w:p>
    <w:p w14:paraId="7FC86221" w14:textId="77777777" w:rsidR="002E1462" w:rsidRPr="002E1462" w:rsidRDefault="002E1462" w:rsidP="00DD14FB">
      <w:pPr>
        <w:spacing w:after="160" w:line="240" w:lineRule="auto"/>
        <w:ind w:left="993" w:right="282"/>
        <w:rPr>
          <w:rFonts w:eastAsia="Calibri"/>
          <w:lang w:eastAsia="en-US"/>
        </w:rPr>
      </w:pPr>
      <w:r w:rsidRPr="002E1462">
        <w:rPr>
          <w:rFonts w:eastAsia="Calibri"/>
          <w:lang w:eastAsia="en-US"/>
        </w:rPr>
        <w:t xml:space="preserve">Symptomen och utbredningen följs nogsamt och utvärderas varannan timme. 5–6 timmar efter avslutad infusion tas ställning till om ytterligare dos behöver tillföras, ffa vid tecken på recidiv eller </w:t>
      </w:r>
      <w:proofErr w:type="spellStart"/>
      <w:r w:rsidRPr="002E1462">
        <w:rPr>
          <w:rFonts w:eastAsia="Calibri"/>
          <w:lang w:eastAsia="en-US"/>
        </w:rPr>
        <w:t>progredierande</w:t>
      </w:r>
      <w:proofErr w:type="spellEnd"/>
      <w:r w:rsidRPr="002E1462">
        <w:rPr>
          <w:rFonts w:eastAsia="Calibri"/>
          <w:lang w:eastAsia="en-US"/>
        </w:rPr>
        <w:t xml:space="preserve"> utbredning. </w:t>
      </w:r>
    </w:p>
    <w:p w14:paraId="45697FC1" w14:textId="77777777" w:rsidR="002E1462" w:rsidRPr="002E1462" w:rsidRDefault="002E1462" w:rsidP="00DD14FB">
      <w:pPr>
        <w:spacing w:after="160" w:line="240" w:lineRule="auto"/>
        <w:ind w:left="993" w:right="282"/>
        <w:rPr>
          <w:rFonts w:eastAsia="Calibri"/>
          <w:b/>
          <w:bCs/>
          <w:lang w:eastAsia="en-US"/>
        </w:rPr>
      </w:pPr>
      <w:r w:rsidRPr="00BD6136">
        <w:rPr>
          <w:rStyle w:val="Rubrik3Char"/>
        </w:rPr>
        <w:lastRenderedPageBreak/>
        <w:t>Utskrivning </w:t>
      </w:r>
      <w:r w:rsidRPr="00BD6136">
        <w:rPr>
          <w:rStyle w:val="Rubrik3Char"/>
        </w:rPr>
        <w:br/>
      </w:r>
      <w:r w:rsidRPr="002E1462">
        <w:rPr>
          <w:rFonts w:eastAsia="Calibri"/>
          <w:lang w:eastAsia="en-US"/>
        </w:rPr>
        <w:t xml:space="preserve">Skriv ut patienten först när tillståndet är ordentligt stabiliserat, återkommande symtom är vanliga. Övervaka på sjukhus ett dygn efter givet serum. Patienter med endast lokala symptom skall övervakas på sjukhus 6 timmar för vuxna och 24 timmar för barn från tidpunkten för bettet. Om inga lokala eller generella symptom har uppträtt inom 2 timmar sedan tidpunkten för bettet, rör det sig troligen om ett torrbett. Man kan då överväga att skriva ut patienten tidigare.  </w:t>
      </w:r>
      <w:r w:rsidRPr="002E1462">
        <w:rPr>
          <w:rFonts w:eastAsia="Calibri"/>
          <w:b/>
          <w:bCs/>
          <w:lang w:eastAsia="en-US"/>
        </w:rPr>
        <w:t xml:space="preserve">  </w:t>
      </w:r>
    </w:p>
    <w:p w14:paraId="49F0A8CA" w14:textId="77777777" w:rsidR="002E1462" w:rsidRPr="002E1462" w:rsidRDefault="002E1462" w:rsidP="00DD14FB">
      <w:pPr>
        <w:spacing w:after="160" w:line="240" w:lineRule="auto"/>
        <w:ind w:left="993" w:right="282"/>
        <w:rPr>
          <w:rFonts w:eastAsia="Calibri"/>
          <w:lang w:eastAsia="en-US"/>
        </w:rPr>
      </w:pPr>
      <w:r w:rsidRPr="00BD6136">
        <w:rPr>
          <w:rStyle w:val="Rubrik3Char"/>
        </w:rPr>
        <w:t>Övrigt </w:t>
      </w:r>
      <w:r w:rsidRPr="00BD6136">
        <w:rPr>
          <w:rStyle w:val="Rubrik3Char"/>
        </w:rPr>
        <w:br/>
      </w:r>
      <w:proofErr w:type="spellStart"/>
      <w:r w:rsidRPr="002E1462">
        <w:rPr>
          <w:rFonts w:eastAsia="Calibri"/>
          <w:lang w:eastAsia="en-US"/>
        </w:rPr>
        <w:t>ViperaTAb</w:t>
      </w:r>
      <w:proofErr w:type="spellEnd"/>
      <w:r w:rsidRPr="002E1462">
        <w:rPr>
          <w:rFonts w:eastAsia="Calibri"/>
          <w:lang w:eastAsia="en-US"/>
        </w:rPr>
        <w:t xml:space="preserve"> innehåller </w:t>
      </w:r>
      <w:proofErr w:type="spellStart"/>
      <w:r w:rsidRPr="002E1462">
        <w:rPr>
          <w:rFonts w:eastAsia="Calibri"/>
          <w:lang w:eastAsia="en-US"/>
        </w:rPr>
        <w:t>Fab</w:t>
      </w:r>
      <w:proofErr w:type="spellEnd"/>
      <w:r w:rsidRPr="002E1462">
        <w:rPr>
          <w:rFonts w:eastAsia="Calibri"/>
          <w:lang w:eastAsia="en-US"/>
        </w:rPr>
        <w:t xml:space="preserve">-fragment från får medan </w:t>
      </w:r>
      <w:proofErr w:type="spellStart"/>
      <w:r w:rsidRPr="002E1462">
        <w:rPr>
          <w:rFonts w:eastAsia="Calibri"/>
          <w:lang w:eastAsia="en-US"/>
        </w:rPr>
        <w:t>Viperfav</w:t>
      </w:r>
      <w:proofErr w:type="spellEnd"/>
      <w:r w:rsidRPr="002E1462">
        <w:rPr>
          <w:rFonts w:eastAsia="Calibri"/>
          <w:lang w:eastAsia="en-US"/>
        </w:rPr>
        <w:t xml:space="preserve"> innehåller F(ab')2-fragment från häst. Inget av preparaten har någon specifik kontraindikation och dosering för respektive preparat är samma för vuxna och barn. </w:t>
      </w:r>
      <w:proofErr w:type="spellStart"/>
      <w:r w:rsidRPr="002E1462">
        <w:rPr>
          <w:rFonts w:eastAsia="Calibri"/>
          <w:lang w:eastAsia="en-US"/>
        </w:rPr>
        <w:t>Viperfav</w:t>
      </w:r>
      <w:proofErr w:type="spellEnd"/>
      <w:r w:rsidRPr="002E1462">
        <w:rPr>
          <w:rFonts w:eastAsia="Calibri"/>
          <w:lang w:eastAsia="en-US"/>
        </w:rPr>
        <w:t xml:space="preserve"> består av en större molekyl och får därför en längre halveringstid vilket gör att behandlingen sällan behöver upprepas, den stora molekylen kan dock ge upphov till en fördröjd överkänslighetsreaktion, </w:t>
      </w:r>
      <w:proofErr w:type="spellStart"/>
      <w:r w:rsidRPr="002E1462">
        <w:rPr>
          <w:rFonts w:eastAsia="Calibri"/>
          <w:lang w:eastAsia="en-US"/>
        </w:rPr>
        <w:t>sk.</w:t>
      </w:r>
      <w:proofErr w:type="spellEnd"/>
      <w:r w:rsidRPr="002E1462">
        <w:rPr>
          <w:rFonts w:eastAsia="Calibri"/>
          <w:lang w:eastAsia="en-US"/>
        </w:rPr>
        <w:t xml:space="preserve"> serumsjuka, vilket yttrar sig som muskel-ledvärk, feber och/eller hudutslag hos ca 1% av behandlade 1–2 veckor efter behandling.  </w:t>
      </w:r>
      <w:proofErr w:type="spellStart"/>
      <w:r w:rsidRPr="002E1462">
        <w:rPr>
          <w:rFonts w:eastAsia="Calibri"/>
          <w:lang w:eastAsia="en-US"/>
        </w:rPr>
        <w:t>ViperaTAb</w:t>
      </w:r>
      <w:proofErr w:type="spellEnd"/>
      <w:r w:rsidRPr="002E1462">
        <w:rPr>
          <w:rFonts w:eastAsia="Calibri"/>
          <w:lang w:eastAsia="en-US"/>
        </w:rPr>
        <w:t xml:space="preserve"> består av en mindre molekyl med kortare halveringstid, och hos ca 20% av patienterna behöver behandlingen upprepas en och ibland även två gånger efter den första dosen. </w:t>
      </w:r>
    </w:p>
    <w:p w14:paraId="308822A7" w14:textId="77777777" w:rsidR="002E1462" w:rsidRPr="002E1462" w:rsidRDefault="002E1462" w:rsidP="00DD14FB">
      <w:pPr>
        <w:keepNext/>
        <w:spacing w:before="240" w:after="60" w:line="240" w:lineRule="auto"/>
        <w:ind w:left="993" w:right="282"/>
        <w:outlineLvl w:val="2"/>
        <w:rPr>
          <w:b/>
          <w:bCs/>
        </w:rPr>
      </w:pPr>
      <w:r w:rsidRPr="002E1462">
        <w:rPr>
          <w:b/>
          <w:bCs/>
        </w:rPr>
        <w:t xml:space="preserve">Förenklat flödesschema för handläggning av huggormsbett på nästa sida. </w:t>
      </w:r>
    </w:p>
    <w:p w14:paraId="71A62F44" w14:textId="77777777" w:rsidR="002E1462" w:rsidRPr="002E1462" w:rsidRDefault="002E1462" w:rsidP="00DD14FB">
      <w:pPr>
        <w:spacing w:after="0" w:line="240" w:lineRule="auto"/>
        <w:ind w:left="993" w:right="282"/>
        <w:rPr>
          <w:szCs w:val="20"/>
        </w:rPr>
      </w:pPr>
    </w:p>
    <w:p w14:paraId="0F70324D" w14:textId="77777777" w:rsidR="002E1462" w:rsidRPr="002E1462" w:rsidRDefault="002E1462" w:rsidP="00DD14FB">
      <w:pPr>
        <w:spacing w:after="0" w:line="240" w:lineRule="auto"/>
        <w:ind w:left="993" w:right="282"/>
        <w:rPr>
          <w:szCs w:val="20"/>
        </w:rPr>
      </w:pPr>
    </w:p>
    <w:p w14:paraId="5E466B58" w14:textId="77777777" w:rsidR="002E1462" w:rsidRPr="002E1462" w:rsidRDefault="002E1462" w:rsidP="00DD14FB">
      <w:pPr>
        <w:spacing w:after="0" w:line="240" w:lineRule="auto"/>
        <w:ind w:left="993" w:right="282"/>
        <w:rPr>
          <w:szCs w:val="20"/>
        </w:rPr>
      </w:pPr>
    </w:p>
    <w:p w14:paraId="4E90F1B9" w14:textId="77777777" w:rsidR="002E1462" w:rsidRPr="002E1462" w:rsidRDefault="002E1462" w:rsidP="00DD14FB">
      <w:pPr>
        <w:spacing w:after="0" w:line="240" w:lineRule="auto"/>
        <w:ind w:left="993" w:right="282"/>
        <w:rPr>
          <w:szCs w:val="20"/>
        </w:rPr>
      </w:pPr>
    </w:p>
    <w:p w14:paraId="29962F7C" w14:textId="77777777" w:rsidR="002E1462" w:rsidRPr="002E1462" w:rsidRDefault="002E1462" w:rsidP="00DD14FB">
      <w:pPr>
        <w:spacing w:after="0" w:line="240" w:lineRule="auto"/>
        <w:ind w:left="993" w:right="282"/>
        <w:rPr>
          <w:szCs w:val="20"/>
        </w:rPr>
      </w:pPr>
    </w:p>
    <w:p w14:paraId="01A86365" w14:textId="77777777" w:rsidR="002E1462" w:rsidRPr="002E1462" w:rsidRDefault="002E1462" w:rsidP="00DD14FB">
      <w:pPr>
        <w:spacing w:after="0" w:line="240" w:lineRule="auto"/>
        <w:ind w:left="993" w:right="282"/>
        <w:rPr>
          <w:szCs w:val="20"/>
        </w:rPr>
      </w:pPr>
    </w:p>
    <w:p w14:paraId="33F9C7C6" w14:textId="77777777" w:rsidR="002E1462" w:rsidRPr="002E1462" w:rsidRDefault="002E1462" w:rsidP="00DD14FB">
      <w:pPr>
        <w:spacing w:after="0" w:line="240" w:lineRule="auto"/>
        <w:ind w:left="993" w:right="282"/>
        <w:rPr>
          <w:szCs w:val="20"/>
        </w:rPr>
      </w:pPr>
    </w:p>
    <w:p w14:paraId="1071C59C" w14:textId="77777777" w:rsidR="002E1462" w:rsidRPr="002E1462" w:rsidRDefault="002E1462" w:rsidP="00DD14FB">
      <w:pPr>
        <w:spacing w:after="0" w:line="240" w:lineRule="auto"/>
        <w:ind w:left="993" w:right="282"/>
        <w:rPr>
          <w:szCs w:val="20"/>
        </w:rPr>
      </w:pPr>
    </w:p>
    <w:p w14:paraId="77B6A602" w14:textId="77777777" w:rsidR="002E1462" w:rsidRPr="002E1462" w:rsidRDefault="002E1462" w:rsidP="00DD14FB">
      <w:pPr>
        <w:spacing w:after="0" w:line="240" w:lineRule="auto"/>
        <w:ind w:left="993" w:right="282"/>
        <w:rPr>
          <w:szCs w:val="20"/>
        </w:rPr>
      </w:pPr>
    </w:p>
    <w:p w14:paraId="350B82FE" w14:textId="77777777" w:rsidR="002E1462" w:rsidRPr="002E1462" w:rsidRDefault="002E1462" w:rsidP="00DD14FB">
      <w:pPr>
        <w:spacing w:after="0" w:line="240" w:lineRule="auto"/>
        <w:ind w:left="993" w:right="282"/>
        <w:rPr>
          <w:szCs w:val="20"/>
        </w:rPr>
      </w:pPr>
    </w:p>
    <w:p w14:paraId="15AD077E" w14:textId="77777777" w:rsidR="002E1462" w:rsidRPr="002E1462" w:rsidRDefault="002E1462" w:rsidP="00DD14FB">
      <w:pPr>
        <w:spacing w:after="0" w:line="240" w:lineRule="auto"/>
        <w:ind w:left="993" w:right="282"/>
        <w:rPr>
          <w:szCs w:val="20"/>
        </w:rPr>
      </w:pPr>
    </w:p>
    <w:p w14:paraId="2A052F9C" w14:textId="77777777" w:rsidR="002E1462" w:rsidRPr="002E1462" w:rsidRDefault="002E1462" w:rsidP="00DD14FB">
      <w:pPr>
        <w:spacing w:after="0" w:line="240" w:lineRule="auto"/>
        <w:ind w:left="993" w:right="282"/>
        <w:rPr>
          <w:szCs w:val="20"/>
        </w:rPr>
      </w:pPr>
    </w:p>
    <w:p w14:paraId="24004E69" w14:textId="77777777" w:rsidR="002E1462" w:rsidRPr="002E1462" w:rsidRDefault="002E1462" w:rsidP="00DD14FB">
      <w:pPr>
        <w:spacing w:after="0" w:line="240" w:lineRule="auto"/>
        <w:ind w:left="993" w:right="282"/>
        <w:rPr>
          <w:szCs w:val="20"/>
        </w:rPr>
      </w:pPr>
    </w:p>
    <w:p w14:paraId="3ACCEAB6" w14:textId="77777777" w:rsidR="002E1462" w:rsidRPr="002E1462" w:rsidRDefault="002E1462" w:rsidP="00DD14FB">
      <w:pPr>
        <w:spacing w:after="0" w:line="240" w:lineRule="auto"/>
        <w:ind w:left="993" w:right="282"/>
        <w:rPr>
          <w:szCs w:val="20"/>
        </w:rPr>
      </w:pPr>
    </w:p>
    <w:p w14:paraId="6255166A" w14:textId="77777777" w:rsidR="002E1462" w:rsidRPr="002E1462" w:rsidRDefault="002E1462" w:rsidP="00DD14FB">
      <w:pPr>
        <w:spacing w:after="0" w:line="240" w:lineRule="auto"/>
        <w:ind w:left="993" w:right="282"/>
        <w:rPr>
          <w:szCs w:val="20"/>
        </w:rPr>
      </w:pPr>
    </w:p>
    <w:p w14:paraId="7549D997" w14:textId="77777777" w:rsidR="002E1462" w:rsidRPr="002E1462" w:rsidRDefault="002E1462" w:rsidP="00DD14FB">
      <w:pPr>
        <w:spacing w:after="0" w:line="240" w:lineRule="auto"/>
        <w:ind w:left="993" w:right="282"/>
        <w:rPr>
          <w:szCs w:val="20"/>
        </w:rPr>
      </w:pPr>
    </w:p>
    <w:p w14:paraId="2D2D6414" w14:textId="77777777" w:rsidR="002E1462" w:rsidRPr="002E1462" w:rsidRDefault="002E1462" w:rsidP="00DD14FB">
      <w:pPr>
        <w:spacing w:after="0" w:line="240" w:lineRule="auto"/>
        <w:ind w:left="993" w:right="282"/>
        <w:rPr>
          <w:szCs w:val="20"/>
        </w:rPr>
      </w:pPr>
    </w:p>
    <w:p w14:paraId="41650E3C" w14:textId="77777777" w:rsidR="002E1462" w:rsidRPr="002E1462" w:rsidRDefault="002E1462" w:rsidP="00DD14FB">
      <w:pPr>
        <w:spacing w:after="0" w:line="240" w:lineRule="auto"/>
        <w:ind w:left="993" w:right="282"/>
        <w:rPr>
          <w:szCs w:val="20"/>
        </w:rPr>
      </w:pPr>
    </w:p>
    <w:p w14:paraId="5CDFEBC3" w14:textId="77777777" w:rsidR="002E1462" w:rsidRPr="002E1462" w:rsidRDefault="002E1462" w:rsidP="00DD14FB">
      <w:pPr>
        <w:spacing w:after="0" w:line="240" w:lineRule="auto"/>
        <w:ind w:left="993" w:right="282"/>
        <w:rPr>
          <w:szCs w:val="20"/>
        </w:rPr>
      </w:pPr>
    </w:p>
    <w:p w14:paraId="15647B1F" w14:textId="77777777" w:rsidR="002E1462" w:rsidRPr="002E1462" w:rsidRDefault="002E1462" w:rsidP="00DD14FB">
      <w:pPr>
        <w:spacing w:after="0" w:line="240" w:lineRule="auto"/>
        <w:ind w:left="993" w:right="282"/>
        <w:rPr>
          <w:szCs w:val="20"/>
        </w:rPr>
      </w:pPr>
    </w:p>
    <w:p w14:paraId="4AD42196" w14:textId="77777777" w:rsidR="002E1462" w:rsidRPr="002E1462" w:rsidRDefault="002E1462" w:rsidP="00DD14FB">
      <w:pPr>
        <w:spacing w:after="0" w:line="240" w:lineRule="auto"/>
        <w:ind w:left="993" w:right="282"/>
        <w:rPr>
          <w:szCs w:val="20"/>
        </w:rPr>
      </w:pPr>
    </w:p>
    <w:p w14:paraId="471962B7" w14:textId="77777777" w:rsidR="002E1462" w:rsidRPr="002E1462" w:rsidRDefault="002E1462" w:rsidP="00DD14FB">
      <w:pPr>
        <w:spacing w:after="0" w:line="240" w:lineRule="auto"/>
        <w:ind w:left="993" w:right="282"/>
        <w:rPr>
          <w:szCs w:val="20"/>
        </w:rPr>
      </w:pPr>
    </w:p>
    <w:p w14:paraId="33ECDD8C" w14:textId="77777777" w:rsidR="002E1462" w:rsidRPr="002E1462" w:rsidRDefault="002E1462" w:rsidP="00DD14FB">
      <w:pPr>
        <w:spacing w:after="0" w:line="240" w:lineRule="auto"/>
        <w:ind w:left="993" w:right="282"/>
        <w:rPr>
          <w:szCs w:val="20"/>
        </w:rPr>
      </w:pPr>
    </w:p>
    <w:p w14:paraId="20FC2040" w14:textId="77777777" w:rsidR="002E1462" w:rsidRPr="002E1462" w:rsidRDefault="002E1462" w:rsidP="00DD14FB">
      <w:pPr>
        <w:spacing w:after="0" w:line="240" w:lineRule="auto"/>
        <w:ind w:left="993" w:right="282"/>
        <w:rPr>
          <w:szCs w:val="20"/>
        </w:rPr>
      </w:pPr>
    </w:p>
    <w:p w14:paraId="036DE94E" w14:textId="77777777" w:rsidR="002E1462" w:rsidRPr="002E1462" w:rsidRDefault="002E1462" w:rsidP="00DD14FB">
      <w:pPr>
        <w:spacing w:after="0" w:line="240" w:lineRule="auto"/>
        <w:ind w:left="993" w:right="282"/>
        <w:rPr>
          <w:szCs w:val="20"/>
        </w:rPr>
      </w:pPr>
    </w:p>
    <w:p w14:paraId="2A9C15B3" w14:textId="77777777" w:rsidR="002E1462" w:rsidRPr="002E1462" w:rsidRDefault="002E1462" w:rsidP="00DD14FB">
      <w:pPr>
        <w:spacing w:after="0" w:line="240" w:lineRule="auto"/>
        <w:ind w:left="993" w:right="282"/>
        <w:rPr>
          <w:szCs w:val="20"/>
        </w:rPr>
      </w:pPr>
    </w:p>
    <w:p w14:paraId="40F94EFE" w14:textId="77777777" w:rsidR="002E1462" w:rsidRPr="002E1462" w:rsidRDefault="002E1462" w:rsidP="00DD14FB">
      <w:pPr>
        <w:spacing w:after="0" w:line="240" w:lineRule="auto"/>
        <w:ind w:left="993" w:right="282"/>
        <w:rPr>
          <w:szCs w:val="20"/>
        </w:rPr>
      </w:pPr>
    </w:p>
    <w:p w14:paraId="37582D62" w14:textId="77777777" w:rsidR="002E1462" w:rsidRPr="002E1462" w:rsidRDefault="002E1462" w:rsidP="00DD14FB">
      <w:pPr>
        <w:spacing w:after="0" w:line="240" w:lineRule="auto"/>
        <w:ind w:left="993" w:right="282"/>
        <w:rPr>
          <w:szCs w:val="20"/>
        </w:rPr>
      </w:pPr>
    </w:p>
    <w:p w14:paraId="2753E3FB" w14:textId="3A2C96E8" w:rsidR="002E1462" w:rsidRPr="002E1462" w:rsidRDefault="00C17874" w:rsidP="00742050">
      <w:pPr>
        <w:spacing w:after="0" w:line="240" w:lineRule="auto"/>
        <w:ind w:left="709" w:right="-143"/>
        <w:rPr>
          <w:szCs w:val="20"/>
        </w:rPr>
      </w:pPr>
      <w:r w:rsidRPr="00C17874">
        <w:rPr>
          <w:szCs w:val="20"/>
        </w:rPr>
        <w:lastRenderedPageBreak/>
        <w:drawing>
          <wp:inline distT="0" distB="0" distL="0" distR="0" wp14:anchorId="5BA6063D" wp14:editId="3594F7B2">
            <wp:extent cx="5977104" cy="7400925"/>
            <wp:effectExtent l="0" t="0" r="5080" b="0"/>
            <wp:docPr id="1988911545" name="Bildobjekt 1" descr="En bild som visar text, diagram,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911545" name="Bildobjekt 1" descr="En bild som visar text, diagram, skärmbild, Teckensnitt&#10;&#10;AI-genererat innehåll kan vara felaktigt."/>
                    <pic:cNvPicPr/>
                  </pic:nvPicPr>
                  <pic:blipFill>
                    <a:blip r:embed="rId17"/>
                    <a:stretch>
                      <a:fillRect/>
                    </a:stretch>
                  </pic:blipFill>
                  <pic:spPr>
                    <a:xfrm>
                      <a:off x="0" y="0"/>
                      <a:ext cx="5980970" cy="7405712"/>
                    </a:xfrm>
                    <a:prstGeom prst="rect">
                      <a:avLst/>
                    </a:prstGeom>
                  </pic:spPr>
                </pic:pic>
              </a:graphicData>
            </a:graphic>
          </wp:inline>
        </w:drawing>
      </w:r>
      <w:bookmarkEnd w:id="0"/>
    </w:p>
    <w:sectPr w:rsidR="002E1462" w:rsidRPr="002E1462" w:rsidSect="002E146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3DED44" w14:textId="77777777" w:rsidR="006038D0" w:rsidRDefault="006038D0">
      <w:r>
        <w:separator/>
      </w:r>
    </w:p>
  </w:endnote>
  <w:endnote w:type="continuationSeparator" w:id="0">
    <w:p w14:paraId="008374F8" w14:textId="77777777" w:rsidR="006038D0" w:rsidRDefault="006038D0">
      <w:r>
        <w:continuationSeparator/>
      </w:r>
    </w:p>
  </w:endnote>
  <w:endnote w:type="continuationNotice" w:id="1">
    <w:p w14:paraId="617DE001" w14:textId="77777777" w:rsidR="006038D0" w:rsidRDefault="006038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94698976" name="Bildobjekt 11946989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033735" w14:textId="77777777" w:rsidR="006038D0" w:rsidRDefault="006038D0"/>
  </w:footnote>
  <w:footnote w:type="continuationSeparator" w:id="0">
    <w:p w14:paraId="58B32EF3" w14:textId="77777777" w:rsidR="006038D0" w:rsidRDefault="006038D0">
      <w:r>
        <w:continuationSeparator/>
      </w:r>
    </w:p>
  </w:footnote>
  <w:footnote w:type="continuationNotice" w:id="1">
    <w:p w14:paraId="0C8BB8E0" w14:textId="77777777" w:rsidR="006038D0" w:rsidRDefault="006038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3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3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0109826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47458740">
    <w:abstractNumId w:val="17"/>
  </w:num>
  <w:num w:numId="2" w16cid:durableId="2009165084">
    <w:abstractNumId w:val="14"/>
  </w:num>
  <w:num w:numId="3" w16cid:durableId="352077385">
    <w:abstractNumId w:val="0"/>
  </w:num>
  <w:num w:numId="4" w16cid:durableId="1886986342">
    <w:abstractNumId w:val="6"/>
  </w:num>
  <w:num w:numId="5" w16cid:durableId="1333529139">
    <w:abstractNumId w:val="15"/>
  </w:num>
  <w:num w:numId="6" w16cid:durableId="140080250">
    <w:abstractNumId w:val="2"/>
  </w:num>
  <w:num w:numId="7" w16cid:durableId="1986808960">
    <w:abstractNumId w:val="11"/>
  </w:num>
  <w:num w:numId="8" w16cid:durableId="414713934">
    <w:abstractNumId w:val="8"/>
  </w:num>
  <w:num w:numId="9" w16cid:durableId="161627021">
    <w:abstractNumId w:val="1"/>
  </w:num>
  <w:num w:numId="10" w16cid:durableId="766655418">
    <w:abstractNumId w:val="1"/>
  </w:num>
  <w:num w:numId="11" w16cid:durableId="890967610">
    <w:abstractNumId w:val="3"/>
  </w:num>
  <w:num w:numId="12" w16cid:durableId="1527711874">
    <w:abstractNumId w:val="4"/>
  </w:num>
  <w:num w:numId="13" w16cid:durableId="2131389276">
    <w:abstractNumId w:val="13"/>
  </w:num>
  <w:num w:numId="14" w16cid:durableId="1127775995">
    <w:abstractNumId w:val="9"/>
  </w:num>
  <w:num w:numId="15" w16cid:durableId="1821581757">
    <w:abstractNumId w:val="7"/>
  </w:num>
  <w:num w:numId="16" w16cid:durableId="1445153919">
    <w:abstractNumId w:val="12"/>
  </w:num>
  <w:num w:numId="17" w16cid:durableId="2045933928">
    <w:abstractNumId w:val="5"/>
  </w:num>
  <w:num w:numId="18" w16cid:durableId="392779508">
    <w:abstractNumId w:val="10"/>
  </w:num>
  <w:num w:numId="19" w16cid:durableId="11718014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86C"/>
    <w:rsid w:val="00050500"/>
    <w:rsid w:val="0005392B"/>
    <w:rsid w:val="00055F5E"/>
    <w:rsid w:val="0005691C"/>
    <w:rsid w:val="00056ECB"/>
    <w:rsid w:val="00056ED5"/>
    <w:rsid w:val="000655CC"/>
    <w:rsid w:val="000659E6"/>
    <w:rsid w:val="000700AE"/>
    <w:rsid w:val="00077F60"/>
    <w:rsid w:val="000824C3"/>
    <w:rsid w:val="00084024"/>
    <w:rsid w:val="0009062C"/>
    <w:rsid w:val="00095368"/>
    <w:rsid w:val="000954C4"/>
    <w:rsid w:val="000A493E"/>
    <w:rsid w:val="000A4C35"/>
    <w:rsid w:val="000A611A"/>
    <w:rsid w:val="000B12D9"/>
    <w:rsid w:val="000B4536"/>
    <w:rsid w:val="000B7715"/>
    <w:rsid w:val="000C3046"/>
    <w:rsid w:val="000C31C0"/>
    <w:rsid w:val="000E463B"/>
    <w:rsid w:val="000E5A7E"/>
    <w:rsid w:val="000F43A3"/>
    <w:rsid w:val="000F736A"/>
    <w:rsid w:val="000F7681"/>
    <w:rsid w:val="00103031"/>
    <w:rsid w:val="001044FE"/>
    <w:rsid w:val="001139D4"/>
    <w:rsid w:val="00131B08"/>
    <w:rsid w:val="00132A59"/>
    <w:rsid w:val="00133337"/>
    <w:rsid w:val="00133A0F"/>
    <w:rsid w:val="0013580F"/>
    <w:rsid w:val="00137B6D"/>
    <w:rsid w:val="0014070B"/>
    <w:rsid w:val="001422C1"/>
    <w:rsid w:val="001522AE"/>
    <w:rsid w:val="00156B9D"/>
    <w:rsid w:val="00157D5B"/>
    <w:rsid w:val="00161FE6"/>
    <w:rsid w:val="001647EA"/>
    <w:rsid w:val="00164C3D"/>
    <w:rsid w:val="00166D3A"/>
    <w:rsid w:val="00181FDC"/>
    <w:rsid w:val="001860B9"/>
    <w:rsid w:val="00186F2B"/>
    <w:rsid w:val="001874D6"/>
    <w:rsid w:val="0019632A"/>
    <w:rsid w:val="001A2FDA"/>
    <w:rsid w:val="001A4E7C"/>
    <w:rsid w:val="001B41CE"/>
    <w:rsid w:val="001B6B85"/>
    <w:rsid w:val="001B762C"/>
    <w:rsid w:val="001C0A32"/>
    <w:rsid w:val="001C1B36"/>
    <w:rsid w:val="001C4D0A"/>
    <w:rsid w:val="001C5FEF"/>
    <w:rsid w:val="001E2CBC"/>
    <w:rsid w:val="0020020C"/>
    <w:rsid w:val="00211487"/>
    <w:rsid w:val="00211D91"/>
    <w:rsid w:val="00217DEC"/>
    <w:rsid w:val="00235B57"/>
    <w:rsid w:val="00250F24"/>
    <w:rsid w:val="002523C5"/>
    <w:rsid w:val="0025380B"/>
    <w:rsid w:val="002538AF"/>
    <w:rsid w:val="0025703A"/>
    <w:rsid w:val="00262F3D"/>
    <w:rsid w:val="00263281"/>
    <w:rsid w:val="002651D6"/>
    <w:rsid w:val="0026551F"/>
    <w:rsid w:val="0027772A"/>
    <w:rsid w:val="00280A85"/>
    <w:rsid w:val="00284119"/>
    <w:rsid w:val="00290B5C"/>
    <w:rsid w:val="00294791"/>
    <w:rsid w:val="002A6A9B"/>
    <w:rsid w:val="002B0B30"/>
    <w:rsid w:val="002B0C78"/>
    <w:rsid w:val="002C0C02"/>
    <w:rsid w:val="002C1277"/>
    <w:rsid w:val="002C60AD"/>
    <w:rsid w:val="002D0E0E"/>
    <w:rsid w:val="002D6023"/>
    <w:rsid w:val="002E1462"/>
    <w:rsid w:val="002E263F"/>
    <w:rsid w:val="002E6F81"/>
    <w:rsid w:val="002F08BA"/>
    <w:rsid w:val="002F11E7"/>
    <w:rsid w:val="002F29F3"/>
    <w:rsid w:val="002F2CFF"/>
    <w:rsid w:val="002F39E5"/>
    <w:rsid w:val="002F568B"/>
    <w:rsid w:val="002F7818"/>
    <w:rsid w:val="003066D0"/>
    <w:rsid w:val="00311401"/>
    <w:rsid w:val="00315E29"/>
    <w:rsid w:val="003203D7"/>
    <w:rsid w:val="00320F86"/>
    <w:rsid w:val="003214E9"/>
    <w:rsid w:val="00324171"/>
    <w:rsid w:val="0032680B"/>
    <w:rsid w:val="00326C24"/>
    <w:rsid w:val="00337F99"/>
    <w:rsid w:val="00342D85"/>
    <w:rsid w:val="0034307B"/>
    <w:rsid w:val="00345EB1"/>
    <w:rsid w:val="00350CC4"/>
    <w:rsid w:val="00355B54"/>
    <w:rsid w:val="00360E0D"/>
    <w:rsid w:val="0036357D"/>
    <w:rsid w:val="00363B23"/>
    <w:rsid w:val="0036594C"/>
    <w:rsid w:val="00367D19"/>
    <w:rsid w:val="00371BED"/>
    <w:rsid w:val="00384019"/>
    <w:rsid w:val="003854F1"/>
    <w:rsid w:val="0039118E"/>
    <w:rsid w:val="00392D3B"/>
    <w:rsid w:val="00395717"/>
    <w:rsid w:val="00397F54"/>
    <w:rsid w:val="003A0D43"/>
    <w:rsid w:val="003A6059"/>
    <w:rsid w:val="003B2A4B"/>
    <w:rsid w:val="003C1F7D"/>
    <w:rsid w:val="003D099E"/>
    <w:rsid w:val="003D21A2"/>
    <w:rsid w:val="003D29D2"/>
    <w:rsid w:val="003D7EDB"/>
    <w:rsid w:val="003E0705"/>
    <w:rsid w:val="003E2C65"/>
    <w:rsid w:val="003E2FF7"/>
    <w:rsid w:val="003F1013"/>
    <w:rsid w:val="003F1ACF"/>
    <w:rsid w:val="00404948"/>
    <w:rsid w:val="00406BEA"/>
    <w:rsid w:val="00413A60"/>
    <w:rsid w:val="004148AD"/>
    <w:rsid w:val="004230F7"/>
    <w:rsid w:val="0043167E"/>
    <w:rsid w:val="0043409A"/>
    <w:rsid w:val="00434B18"/>
    <w:rsid w:val="00443C1E"/>
    <w:rsid w:val="00446255"/>
    <w:rsid w:val="00447644"/>
    <w:rsid w:val="00451935"/>
    <w:rsid w:val="00453DA7"/>
    <w:rsid w:val="00460ED0"/>
    <w:rsid w:val="00465651"/>
    <w:rsid w:val="00470CE7"/>
    <w:rsid w:val="00470F4F"/>
    <w:rsid w:val="00472482"/>
    <w:rsid w:val="004760E2"/>
    <w:rsid w:val="00480DC7"/>
    <w:rsid w:val="0048156D"/>
    <w:rsid w:val="004876F6"/>
    <w:rsid w:val="0049236A"/>
    <w:rsid w:val="00492718"/>
    <w:rsid w:val="004A355D"/>
    <w:rsid w:val="004A4970"/>
    <w:rsid w:val="004B0EFC"/>
    <w:rsid w:val="004B2183"/>
    <w:rsid w:val="004B2A01"/>
    <w:rsid w:val="004C04DC"/>
    <w:rsid w:val="004C24E5"/>
    <w:rsid w:val="004C2559"/>
    <w:rsid w:val="004D7BA3"/>
    <w:rsid w:val="004F4518"/>
    <w:rsid w:val="004F4C62"/>
    <w:rsid w:val="00501433"/>
    <w:rsid w:val="00511CC4"/>
    <w:rsid w:val="005220DC"/>
    <w:rsid w:val="00531E60"/>
    <w:rsid w:val="00536A5A"/>
    <w:rsid w:val="00541D07"/>
    <w:rsid w:val="00544BAB"/>
    <w:rsid w:val="00545F31"/>
    <w:rsid w:val="005578FA"/>
    <w:rsid w:val="005633CD"/>
    <w:rsid w:val="00565129"/>
    <w:rsid w:val="00565A99"/>
    <w:rsid w:val="00565CD0"/>
    <w:rsid w:val="00567820"/>
    <w:rsid w:val="00570A8F"/>
    <w:rsid w:val="005770AD"/>
    <w:rsid w:val="00580B16"/>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3CF"/>
    <w:rsid w:val="005E0452"/>
    <w:rsid w:val="005E0995"/>
    <w:rsid w:val="005E1E24"/>
    <w:rsid w:val="006038D0"/>
    <w:rsid w:val="0060596B"/>
    <w:rsid w:val="00606D97"/>
    <w:rsid w:val="00611A58"/>
    <w:rsid w:val="00614E64"/>
    <w:rsid w:val="00615BCF"/>
    <w:rsid w:val="00617710"/>
    <w:rsid w:val="00617EE6"/>
    <w:rsid w:val="0062184C"/>
    <w:rsid w:val="00623724"/>
    <w:rsid w:val="006271F8"/>
    <w:rsid w:val="00627BEA"/>
    <w:rsid w:val="006319DB"/>
    <w:rsid w:val="0065595B"/>
    <w:rsid w:val="00660269"/>
    <w:rsid w:val="00665F89"/>
    <w:rsid w:val="00673C92"/>
    <w:rsid w:val="006753EC"/>
    <w:rsid w:val="006A188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949"/>
    <w:rsid w:val="00737215"/>
    <w:rsid w:val="00742050"/>
    <w:rsid w:val="00752BCA"/>
    <w:rsid w:val="007530C8"/>
    <w:rsid w:val="00754905"/>
    <w:rsid w:val="00760038"/>
    <w:rsid w:val="00762EE0"/>
    <w:rsid w:val="00765C41"/>
    <w:rsid w:val="007678D6"/>
    <w:rsid w:val="00771100"/>
    <w:rsid w:val="00774EC2"/>
    <w:rsid w:val="007759DD"/>
    <w:rsid w:val="007841EB"/>
    <w:rsid w:val="0078609F"/>
    <w:rsid w:val="0079057E"/>
    <w:rsid w:val="007917BA"/>
    <w:rsid w:val="007A5C6F"/>
    <w:rsid w:val="007D4241"/>
    <w:rsid w:val="007D4317"/>
    <w:rsid w:val="007D4EA3"/>
    <w:rsid w:val="007F1CFF"/>
    <w:rsid w:val="007F4223"/>
    <w:rsid w:val="007F5DD5"/>
    <w:rsid w:val="007F7CD4"/>
    <w:rsid w:val="00801144"/>
    <w:rsid w:val="00821A1B"/>
    <w:rsid w:val="00822970"/>
    <w:rsid w:val="008262E9"/>
    <w:rsid w:val="00827E69"/>
    <w:rsid w:val="00835C4D"/>
    <w:rsid w:val="00843F48"/>
    <w:rsid w:val="00847127"/>
    <w:rsid w:val="00851423"/>
    <w:rsid w:val="00857848"/>
    <w:rsid w:val="008654B6"/>
    <w:rsid w:val="0087139C"/>
    <w:rsid w:val="0087700F"/>
    <w:rsid w:val="00880E83"/>
    <w:rsid w:val="00892F28"/>
    <w:rsid w:val="00894546"/>
    <w:rsid w:val="008A0C5F"/>
    <w:rsid w:val="008A3DEA"/>
    <w:rsid w:val="008A4EB9"/>
    <w:rsid w:val="008A74C0"/>
    <w:rsid w:val="008B1694"/>
    <w:rsid w:val="008C4B27"/>
    <w:rsid w:val="008C6999"/>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A31"/>
    <w:rsid w:val="00960911"/>
    <w:rsid w:val="00971D93"/>
    <w:rsid w:val="009754D7"/>
    <w:rsid w:val="00986CD8"/>
    <w:rsid w:val="009B1F6B"/>
    <w:rsid w:val="009B5763"/>
    <w:rsid w:val="009C0D12"/>
    <w:rsid w:val="009C192E"/>
    <w:rsid w:val="009D4A40"/>
    <w:rsid w:val="009D5459"/>
    <w:rsid w:val="009D6819"/>
    <w:rsid w:val="009D6D1C"/>
    <w:rsid w:val="009E0CF9"/>
    <w:rsid w:val="009E531B"/>
    <w:rsid w:val="009E6C56"/>
    <w:rsid w:val="009E7DCF"/>
    <w:rsid w:val="009F4A56"/>
    <w:rsid w:val="009F4E65"/>
    <w:rsid w:val="00A006A5"/>
    <w:rsid w:val="00A045F3"/>
    <w:rsid w:val="00A05942"/>
    <w:rsid w:val="00A07BEC"/>
    <w:rsid w:val="00A1510E"/>
    <w:rsid w:val="00A23E64"/>
    <w:rsid w:val="00A264BE"/>
    <w:rsid w:val="00A272CA"/>
    <w:rsid w:val="00A33051"/>
    <w:rsid w:val="00A407AD"/>
    <w:rsid w:val="00A40923"/>
    <w:rsid w:val="00A41C05"/>
    <w:rsid w:val="00A42426"/>
    <w:rsid w:val="00A514B7"/>
    <w:rsid w:val="00A5438F"/>
    <w:rsid w:val="00A54A0B"/>
    <w:rsid w:val="00A65FD4"/>
    <w:rsid w:val="00A81198"/>
    <w:rsid w:val="00A81E48"/>
    <w:rsid w:val="00A82035"/>
    <w:rsid w:val="00A90D77"/>
    <w:rsid w:val="00A92E07"/>
    <w:rsid w:val="00A97234"/>
    <w:rsid w:val="00AA0B3A"/>
    <w:rsid w:val="00AA6EB4"/>
    <w:rsid w:val="00AA767D"/>
    <w:rsid w:val="00AB0CC9"/>
    <w:rsid w:val="00AB64BA"/>
    <w:rsid w:val="00AC3FF6"/>
    <w:rsid w:val="00AD73EC"/>
    <w:rsid w:val="00AE1B7A"/>
    <w:rsid w:val="00AE5BC7"/>
    <w:rsid w:val="00AF5AAF"/>
    <w:rsid w:val="00B046D8"/>
    <w:rsid w:val="00B124E9"/>
    <w:rsid w:val="00B13F4C"/>
    <w:rsid w:val="00B16219"/>
    <w:rsid w:val="00B16C59"/>
    <w:rsid w:val="00B22315"/>
    <w:rsid w:val="00B33FDD"/>
    <w:rsid w:val="00B359CC"/>
    <w:rsid w:val="00B36107"/>
    <w:rsid w:val="00B41789"/>
    <w:rsid w:val="00B46C03"/>
    <w:rsid w:val="00B57D3D"/>
    <w:rsid w:val="00B60C6C"/>
    <w:rsid w:val="00B619A9"/>
    <w:rsid w:val="00B65A9D"/>
    <w:rsid w:val="00B66D60"/>
    <w:rsid w:val="00B75EDE"/>
    <w:rsid w:val="00B77D88"/>
    <w:rsid w:val="00B77FAF"/>
    <w:rsid w:val="00B84336"/>
    <w:rsid w:val="00B851B9"/>
    <w:rsid w:val="00B86453"/>
    <w:rsid w:val="00B90054"/>
    <w:rsid w:val="00B92C14"/>
    <w:rsid w:val="00BA0066"/>
    <w:rsid w:val="00BB082C"/>
    <w:rsid w:val="00BB69DB"/>
    <w:rsid w:val="00BC322E"/>
    <w:rsid w:val="00BC44CD"/>
    <w:rsid w:val="00BC48A6"/>
    <w:rsid w:val="00BD01E8"/>
    <w:rsid w:val="00BD4626"/>
    <w:rsid w:val="00BD6136"/>
    <w:rsid w:val="00BD6BB5"/>
    <w:rsid w:val="00BE7978"/>
    <w:rsid w:val="00C07DDB"/>
    <w:rsid w:val="00C17874"/>
    <w:rsid w:val="00C354DA"/>
    <w:rsid w:val="00C4115D"/>
    <w:rsid w:val="00C43BDD"/>
    <w:rsid w:val="00C47778"/>
    <w:rsid w:val="00C5011E"/>
    <w:rsid w:val="00C50EE5"/>
    <w:rsid w:val="00C5240A"/>
    <w:rsid w:val="00C5398F"/>
    <w:rsid w:val="00C556F5"/>
    <w:rsid w:val="00C70E19"/>
    <w:rsid w:val="00C72574"/>
    <w:rsid w:val="00C7430C"/>
    <w:rsid w:val="00C751C6"/>
    <w:rsid w:val="00C85DA1"/>
    <w:rsid w:val="00C9071C"/>
    <w:rsid w:val="00C908FF"/>
    <w:rsid w:val="00C97BD3"/>
    <w:rsid w:val="00CA39EF"/>
    <w:rsid w:val="00CA521F"/>
    <w:rsid w:val="00CA6C2D"/>
    <w:rsid w:val="00CA7A10"/>
    <w:rsid w:val="00CB0493"/>
    <w:rsid w:val="00CB0F23"/>
    <w:rsid w:val="00CB17FF"/>
    <w:rsid w:val="00CB1ED7"/>
    <w:rsid w:val="00CC167C"/>
    <w:rsid w:val="00CC52D9"/>
    <w:rsid w:val="00CC59D6"/>
    <w:rsid w:val="00CC61B3"/>
    <w:rsid w:val="00CD1133"/>
    <w:rsid w:val="00CD58F6"/>
    <w:rsid w:val="00CD6647"/>
    <w:rsid w:val="00CE0F3C"/>
    <w:rsid w:val="00CE4B73"/>
    <w:rsid w:val="00CF70BB"/>
    <w:rsid w:val="00D074DB"/>
    <w:rsid w:val="00D139CF"/>
    <w:rsid w:val="00D247FD"/>
    <w:rsid w:val="00D37E7F"/>
    <w:rsid w:val="00D47AD7"/>
    <w:rsid w:val="00D47FE2"/>
    <w:rsid w:val="00D51529"/>
    <w:rsid w:val="00D85218"/>
    <w:rsid w:val="00D90B83"/>
    <w:rsid w:val="00D915B1"/>
    <w:rsid w:val="00DA299D"/>
    <w:rsid w:val="00DA65C4"/>
    <w:rsid w:val="00DA6671"/>
    <w:rsid w:val="00DD14FB"/>
    <w:rsid w:val="00DD2BE0"/>
    <w:rsid w:val="00DE35F4"/>
    <w:rsid w:val="00DE4447"/>
    <w:rsid w:val="00DE5DA2"/>
    <w:rsid w:val="00DF0033"/>
    <w:rsid w:val="00E00259"/>
    <w:rsid w:val="00E026BF"/>
    <w:rsid w:val="00E07B1B"/>
    <w:rsid w:val="00E11853"/>
    <w:rsid w:val="00E52A86"/>
    <w:rsid w:val="00E54B47"/>
    <w:rsid w:val="00E553BF"/>
    <w:rsid w:val="00E55D93"/>
    <w:rsid w:val="00E61294"/>
    <w:rsid w:val="00E61C47"/>
    <w:rsid w:val="00E64006"/>
    <w:rsid w:val="00E7237C"/>
    <w:rsid w:val="00E77C46"/>
    <w:rsid w:val="00E86CE8"/>
    <w:rsid w:val="00E876F6"/>
    <w:rsid w:val="00E90E82"/>
    <w:rsid w:val="00EA00CB"/>
    <w:rsid w:val="00EA1BAA"/>
    <w:rsid w:val="00EA3FCD"/>
    <w:rsid w:val="00EA42A0"/>
    <w:rsid w:val="00EB6714"/>
    <w:rsid w:val="00EC0A68"/>
    <w:rsid w:val="00EC5006"/>
    <w:rsid w:val="00ED49C3"/>
    <w:rsid w:val="00ED6CE8"/>
    <w:rsid w:val="00ED7AA6"/>
    <w:rsid w:val="00EE2A56"/>
    <w:rsid w:val="00EE3818"/>
    <w:rsid w:val="00F12D74"/>
    <w:rsid w:val="00F141E2"/>
    <w:rsid w:val="00F22264"/>
    <w:rsid w:val="00F2564D"/>
    <w:rsid w:val="00F35B05"/>
    <w:rsid w:val="00F413D9"/>
    <w:rsid w:val="00F5135F"/>
    <w:rsid w:val="00F51F78"/>
    <w:rsid w:val="00F55683"/>
    <w:rsid w:val="00F55D3C"/>
    <w:rsid w:val="00F757B9"/>
    <w:rsid w:val="00F86F47"/>
    <w:rsid w:val="00F90B64"/>
    <w:rsid w:val="00FB2F0F"/>
    <w:rsid w:val="00FB5086"/>
    <w:rsid w:val="00FB5411"/>
    <w:rsid w:val="00FB6392"/>
    <w:rsid w:val="00FC2973"/>
    <w:rsid w:val="00FC7724"/>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EB35BE1-D915-4C77-B1CF-1729DB786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1C1B36"/>
    <w:rPr>
      <w:sz w:val="16"/>
      <w:szCs w:val="16"/>
    </w:rPr>
  </w:style>
  <w:style w:type="paragraph" w:styleId="Kommentarer">
    <w:name w:val="annotation text"/>
    <w:basedOn w:val="Normal"/>
    <w:link w:val="KommentarerChar"/>
    <w:uiPriority w:val="99"/>
    <w:semiHidden/>
    <w:unhideWhenUsed/>
    <w:rsid w:val="001C1B36"/>
    <w:pPr>
      <w:spacing w:line="240" w:lineRule="auto"/>
    </w:pPr>
    <w:rPr>
      <w:sz w:val="20"/>
      <w:szCs w:val="20"/>
    </w:rPr>
  </w:style>
  <w:style w:type="character" w:customStyle="1" w:styleId="KommentarerChar">
    <w:name w:val="Kommentarer Char"/>
    <w:basedOn w:val="Standardstycketeckensnitt"/>
    <w:link w:val="Kommentarer"/>
    <w:uiPriority w:val="99"/>
    <w:semiHidden/>
    <w:rsid w:val="001C1B36"/>
  </w:style>
  <w:style w:type="paragraph" w:styleId="Kommentarsmne">
    <w:name w:val="annotation subject"/>
    <w:basedOn w:val="Kommentarer"/>
    <w:next w:val="Kommentarer"/>
    <w:link w:val="KommentarsmneChar"/>
    <w:uiPriority w:val="99"/>
    <w:semiHidden/>
    <w:unhideWhenUsed/>
    <w:rsid w:val="001C1B36"/>
    <w:rPr>
      <w:b/>
      <w:bCs/>
    </w:rPr>
  </w:style>
  <w:style w:type="character" w:customStyle="1" w:styleId="KommentarsmneChar">
    <w:name w:val="Kommentarsämne Char"/>
    <w:basedOn w:val="KommentarerChar"/>
    <w:link w:val="Kommentarsmne"/>
    <w:uiPriority w:val="99"/>
    <w:semiHidden/>
    <w:rsid w:val="001C1B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143</TotalTime>
  <Pages>5</Pages>
  <Words>1149</Words>
  <Characters>6095</Characters>
  <Application>Microsoft Office Word</Application>
  <DocSecurity>0</DocSecurity>
  <Lines>50</Lines>
  <Paragraphs>14</Paragraphs>
  <ScaleCrop>false</ScaleCrop>
  <HeadingPairs>
    <vt:vector size="2" baseType="variant">
      <vt:variant>
        <vt:lpstr>Rubrik</vt:lpstr>
      </vt:variant>
      <vt:variant>
        <vt:i4>1</vt:i4>
      </vt:variant>
    </vt:vector>
  </HeadingPairs>
  <TitlesOfParts>
    <vt:vector size="1" baseType="lpstr">
      <vt:lpstr>Huggormsbett - handläggningsrutiner</vt:lpstr>
    </vt:vector>
  </TitlesOfParts>
  <Manager/>
  <Company/>
  <LinksUpToDate>false</LinksUpToDate>
  <CharactersWithSpaces>7230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Huggormsbett - handläggningsrutiner</dc:title>
  <dc:subject/>
  <dc:creator>patrik.jens.johansson@vgregion.se</dc:creator>
  <keywords/>
  <lastModifiedBy>Carina Isbrand Fransson</lastModifiedBy>
  <revision>110</revision>
  <lastPrinted>2016-03-31T19:56:00.0000000Z</lastPrinted>
  <dcterms:created xsi:type="dcterms:W3CDTF">2022-05-23T16:36:00.0000000Z</dcterms:created>
  <dcterms:modified xsi:type="dcterms:W3CDTF">2025-08-18T07:42:00.0000000Z</dcterms:modified>
</coreProperties>
</file>