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8CC0B" w14:textId="2F307262" w:rsidR="00184167" w:rsidRDefault="004E5A0B" w:rsidP="009A32ED">
      <w:pPr>
        <w:pStyle w:val="Rubrik1"/>
      </w:pPr>
      <w:r w:rsidRPr="00790C77">
        <w:t>Tuberkulos –</w:t>
      </w:r>
      <w:r w:rsidR="00E02AC9">
        <w:t xml:space="preserve"> </w:t>
      </w:r>
      <w:r w:rsidRPr="00790C77">
        <w:t xml:space="preserve">screening för latent tuberkulos inför insättande av biologiska läkemedel, </w:t>
      </w:r>
      <w:proofErr w:type="spellStart"/>
      <w:proofErr w:type="gramStart"/>
      <w:r w:rsidRPr="00790C77">
        <w:t>DMARDs</w:t>
      </w:r>
      <w:proofErr w:type="spellEnd"/>
      <w:proofErr w:type="gramEnd"/>
      <w:r w:rsidRPr="00790C77">
        <w:t xml:space="preserve"> samt inför transplantation</w:t>
      </w:r>
      <w:r w:rsidR="00A264BE" w:rsidRPr="005A627D">
        <w:t xml:space="preserve"> </w:t>
      </w:r>
      <w:bookmarkStart w:id="0" w:name="_Toc321146591"/>
    </w:p>
    <w:p w14:paraId="77487FCF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35C22C8" w14:textId="7CE831B1" w:rsidR="009A32ED" w:rsidRDefault="003A1815" w:rsidP="009A32ED">
      <w:pPr>
        <w:ind w:right="-143"/>
      </w:pPr>
      <w:r>
        <w:t>Förändring</w:t>
      </w:r>
      <w:r w:rsidR="00F7388E">
        <w:t xml:space="preserve"> under stycke </w:t>
      </w:r>
      <w:r w:rsidR="00FA0039">
        <w:t>Läkemedelsbehandling.</w:t>
      </w:r>
    </w:p>
    <w:p w14:paraId="0C3C4AF3" w14:textId="5BEC211D" w:rsidR="009A32ED" w:rsidRDefault="004E5A0B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Bakgrund</w:t>
      </w:r>
      <w:bookmarkEnd w:id="3"/>
      <w:bookmarkEnd w:id="4"/>
    </w:p>
    <w:p w14:paraId="1E835C4C" w14:textId="12032765" w:rsidR="004E5A0B" w:rsidRPr="004E5A0B" w:rsidRDefault="004E5A0B" w:rsidP="003B6844">
      <w:r w:rsidRPr="00790C77">
        <w:t>Om en person med obehandlad latent tuberkulos (LTBI) får behandling med biologiska läkemedel ökar risken kraftigt att insjukna i aktiv tuberkulos (TB). Denna rutin är beslutsunderlag för läkare på infektionskliniken och remitterande enheter inom NU-sjukvården</w:t>
      </w:r>
      <w:r>
        <w:t>.</w:t>
      </w:r>
      <w:r w:rsidRPr="00790C77">
        <w:t xml:space="preserve"> Det finns även </w:t>
      </w:r>
      <w:hyperlink r:id="rId11" w:history="1">
        <w:r w:rsidRPr="00790C77">
          <w:rPr>
            <w:color w:val="0000FF"/>
            <w:u w:val="single"/>
          </w:rPr>
          <w:t>regionala medicinska riktlinjer (RMR) för handläggning av latent tuberkulos.</w:t>
        </w:r>
      </w:hyperlink>
      <w:r w:rsidRPr="00790C77">
        <w:t xml:space="preserve"> Dokumenten är samstämmiga men olika omfattande.</w:t>
      </w:r>
    </w:p>
    <w:p w14:paraId="5AF23A29" w14:textId="3DE66048" w:rsidR="00B405A1" w:rsidRDefault="003B6844" w:rsidP="00831C35">
      <w:pPr>
        <w:pStyle w:val="Rubrik2"/>
      </w:pPr>
      <w:bookmarkStart w:id="6" w:name="_Toc181866758"/>
      <w:r>
        <w:t>Sammanfattning/syfte</w:t>
      </w:r>
      <w:bookmarkEnd w:id="6"/>
    </w:p>
    <w:p w14:paraId="7EB7CCA9" w14:textId="2E249027" w:rsidR="00D1449F" w:rsidRPr="00D1449F" w:rsidRDefault="00D1449F" w:rsidP="00D1449F">
      <w:r w:rsidRPr="00790C77">
        <w:t>Aktiv TB är en kontraindikation mot insättning av biologiska läkemedel och liknande. Både aktiv TB och LTBI måste uteslutas innan behandlingen kan börja.</w:t>
      </w:r>
      <w:r>
        <w:t xml:space="preserve"> </w:t>
      </w:r>
      <w:r w:rsidRPr="00790C77">
        <w:t xml:space="preserve">På </w:t>
      </w:r>
      <w:r w:rsidRPr="00790C77">
        <w:rPr>
          <w:u w:val="single"/>
        </w:rPr>
        <w:t>alla</w:t>
      </w:r>
      <w:r w:rsidRPr="00790C77">
        <w:t xml:space="preserve"> patienter som ska insättas på </w:t>
      </w:r>
      <w:proofErr w:type="spellStart"/>
      <w:r w:rsidRPr="00790C77">
        <w:t>högdossteroider</w:t>
      </w:r>
      <w:proofErr w:type="spellEnd"/>
      <w:r w:rsidRPr="00790C77">
        <w:t xml:space="preserve"> (</w:t>
      </w:r>
      <w:proofErr w:type="spellStart"/>
      <w:r w:rsidR="00D40B9B" w:rsidRPr="00790C77">
        <w:t>Prednisolon</w:t>
      </w:r>
      <w:proofErr w:type="spellEnd"/>
      <w:r w:rsidR="00D40B9B" w:rsidRPr="00790C77">
        <w:t>&gt;</w:t>
      </w:r>
      <w:r w:rsidRPr="00790C77">
        <w:t xml:space="preserve"> 15 mg </w:t>
      </w:r>
      <w:proofErr w:type="gramStart"/>
      <w:r w:rsidRPr="00790C77">
        <w:t xml:space="preserve">i </w:t>
      </w:r>
      <w:r w:rsidRPr="00790C77">
        <w:rPr>
          <w:u w:val="single"/>
        </w:rPr>
        <w:t>&gt;</w:t>
      </w:r>
      <w:proofErr w:type="gramEnd"/>
      <w:r w:rsidRPr="00790C77">
        <w:t xml:space="preserve"> 1 mån</w:t>
      </w:r>
      <w:r w:rsidR="00E36EAB">
        <w:t>ad</w:t>
      </w:r>
      <w:r w:rsidRPr="00790C77">
        <w:t>) under längre tid, biologiska läkemedel, DMARD (</w:t>
      </w:r>
      <w:proofErr w:type="spellStart"/>
      <w:r w:rsidRPr="00790C77">
        <w:t>disease</w:t>
      </w:r>
      <w:proofErr w:type="spellEnd"/>
      <w:r w:rsidRPr="00790C77">
        <w:t xml:space="preserve"> </w:t>
      </w:r>
      <w:proofErr w:type="spellStart"/>
      <w:r w:rsidRPr="00790C77">
        <w:t>modifying</w:t>
      </w:r>
      <w:proofErr w:type="spellEnd"/>
      <w:r w:rsidRPr="00790C77">
        <w:t xml:space="preserve"> anti reumatic </w:t>
      </w:r>
      <w:proofErr w:type="spellStart"/>
      <w:r w:rsidRPr="00790C77">
        <w:t>drugs</w:t>
      </w:r>
      <w:proofErr w:type="spellEnd"/>
      <w:r w:rsidRPr="00790C77">
        <w:t>)</w:t>
      </w:r>
      <w:r w:rsidR="00E36EAB">
        <w:t xml:space="preserve"> </w:t>
      </w:r>
      <w:r w:rsidRPr="00790C77">
        <w:t>eller transplanteras, rekommenderas en värdering om tuberkulossmitta föreligger.</w:t>
      </w:r>
    </w:p>
    <w:bookmarkEnd w:id="5"/>
    <w:p w14:paraId="134B3457" w14:textId="301C82E4" w:rsidR="009A32ED" w:rsidRDefault="00DC5863" w:rsidP="00DC5863">
      <w:pPr>
        <w:pStyle w:val="Rubrik2"/>
        <w:ind w:right="-143"/>
      </w:pPr>
      <w:r>
        <w:lastRenderedPageBreak/>
        <w:t>Åtgärder</w:t>
      </w:r>
    </w:p>
    <w:p w14:paraId="34522B2F" w14:textId="77777777" w:rsidR="0037717C" w:rsidRPr="00790C77" w:rsidRDefault="0037717C" w:rsidP="00B93EBD">
      <w:r w:rsidRPr="00790C77">
        <w:t>Utredning för latent tuberkulos innehåller:</w:t>
      </w:r>
    </w:p>
    <w:p w14:paraId="4F4F826A" w14:textId="77777777" w:rsidR="0037717C" w:rsidRPr="00B93EBD" w:rsidRDefault="0037717C" w:rsidP="001D0B74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B93EBD">
        <w:rPr>
          <w:rFonts w:eastAsia="Calibri"/>
          <w:b/>
          <w:lang w:eastAsia="en-US"/>
        </w:rPr>
        <w:t>Anamnes</w:t>
      </w:r>
    </w:p>
    <w:p w14:paraId="384AFC44" w14:textId="77777777" w:rsidR="0037717C" w:rsidRDefault="0037717C" w:rsidP="001D0B74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B93EBD">
        <w:rPr>
          <w:rFonts w:eastAsia="Calibri"/>
          <w:b/>
          <w:lang w:eastAsia="en-US"/>
        </w:rPr>
        <w:t>Lungröntgen</w:t>
      </w:r>
    </w:p>
    <w:p w14:paraId="385C495C" w14:textId="3271F9AF" w:rsidR="00AB67B7" w:rsidRPr="0089562D" w:rsidRDefault="0089562D" w:rsidP="0089562D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1D0B74">
        <w:rPr>
          <w:rFonts w:eastAsia="Calibri"/>
          <w:b/>
          <w:lang w:eastAsia="en-US"/>
        </w:rPr>
        <w:t>IGRA-test</w:t>
      </w:r>
      <w:r w:rsidRPr="00B93EBD">
        <w:rPr>
          <w:rFonts w:eastAsia="Calibri"/>
          <w:b/>
          <w:lang w:eastAsia="en-US"/>
        </w:rPr>
        <w:t xml:space="preserve"> </w:t>
      </w:r>
      <w:r w:rsidRPr="00B93EBD">
        <w:rPr>
          <w:rFonts w:eastAsia="Calibri"/>
          <w:lang w:eastAsia="en-US"/>
        </w:rPr>
        <w:t>(</w:t>
      </w:r>
      <w:proofErr w:type="spellStart"/>
      <w:r w:rsidRPr="00B93EBD">
        <w:rPr>
          <w:rFonts w:eastAsia="Calibri"/>
          <w:lang w:eastAsia="en-US"/>
        </w:rPr>
        <w:t>Quantiferon</w:t>
      </w:r>
      <w:proofErr w:type="spellEnd"/>
      <w:r w:rsidRPr="00B93EBD">
        <w:rPr>
          <w:rFonts w:eastAsia="Calibri"/>
          <w:lang w:eastAsia="en-US"/>
        </w:rPr>
        <w:t xml:space="preserve">) - Om patienten redan är </w:t>
      </w:r>
      <w:proofErr w:type="spellStart"/>
      <w:r w:rsidRPr="00B93EBD">
        <w:rPr>
          <w:rFonts w:eastAsia="Calibri"/>
          <w:lang w:eastAsia="en-US"/>
        </w:rPr>
        <w:t>immunsupprimerad</w:t>
      </w:r>
      <w:proofErr w:type="spellEnd"/>
      <w:r w:rsidRPr="00B93EBD">
        <w:rPr>
          <w:rFonts w:eastAsia="Calibri"/>
          <w:lang w:eastAsia="en-US"/>
        </w:rPr>
        <w:t xml:space="preserve"> görs även PPD</w:t>
      </w:r>
      <w:r>
        <w:rPr>
          <w:rFonts w:eastAsia="Calibri"/>
          <w:lang w:eastAsia="en-US"/>
        </w:rPr>
        <w:t>.</w:t>
      </w:r>
      <w:r w:rsidR="00AB67B7" w:rsidRPr="0089562D">
        <w:rPr>
          <w:rFonts w:eastAsia="Calibri"/>
          <w:lang w:eastAsia="en-US"/>
        </w:rPr>
        <w:br/>
      </w:r>
    </w:p>
    <w:p w14:paraId="71B15B1D" w14:textId="1401B70C" w:rsidR="0037717C" w:rsidRPr="00AB67B7" w:rsidRDefault="0037717C" w:rsidP="00AB67B7">
      <w:pPr>
        <w:pStyle w:val="Liststycke"/>
        <w:numPr>
          <w:ilvl w:val="0"/>
          <w:numId w:val="26"/>
        </w:numPr>
        <w:rPr>
          <w:rFonts w:eastAsia="Calibri"/>
          <w:lang w:eastAsia="en-US"/>
        </w:rPr>
      </w:pPr>
      <w:r w:rsidRPr="00AB67B7">
        <w:rPr>
          <w:rFonts w:eastAsia="Calibri"/>
          <w:b/>
          <w:lang w:eastAsia="en-US"/>
        </w:rPr>
        <w:t>Anamnes (</w:t>
      </w:r>
      <w:r w:rsidRPr="00AB67B7">
        <w:rPr>
          <w:rFonts w:eastAsia="Calibri"/>
          <w:lang w:eastAsia="en-US"/>
        </w:rPr>
        <w:t>nedanstående punkter finns med i hälsodeklaration</w:t>
      </w:r>
      <w:r w:rsidRPr="00AB67B7">
        <w:rPr>
          <w:rFonts w:eastAsia="Calibri"/>
          <w:b/>
          <w:lang w:eastAsia="en-US"/>
        </w:rPr>
        <w:t>)</w:t>
      </w:r>
    </w:p>
    <w:p w14:paraId="3C01535C" w14:textId="7E872C69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lang w:eastAsia="en-US"/>
        </w:rPr>
      </w:pPr>
      <w:r w:rsidRPr="00B707CE">
        <w:rPr>
          <w:rFonts w:eastAsia="Calibri"/>
          <w:lang w:eastAsia="en-US"/>
        </w:rPr>
        <w:t>Känd TB-exponering</w:t>
      </w:r>
      <w:r w:rsidR="00BF2CCE">
        <w:rPr>
          <w:rFonts w:eastAsia="Calibri"/>
          <w:lang w:eastAsia="en-US"/>
        </w:rPr>
        <w:t>, det vill säga</w:t>
      </w:r>
      <w:r w:rsidRPr="00B707CE">
        <w:rPr>
          <w:rFonts w:eastAsia="Calibri"/>
          <w:lang w:eastAsia="en-US"/>
        </w:rPr>
        <w:t xml:space="preserve"> närkontakt med lungtuberkulos/kontakt med person med långvarig hosta, någon gång under livet. </w:t>
      </w:r>
    </w:p>
    <w:p w14:paraId="19E7B296" w14:textId="410607F5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lang w:eastAsia="en-US"/>
        </w:rPr>
      </w:pPr>
      <w:r w:rsidRPr="00B707CE">
        <w:rPr>
          <w:rFonts w:eastAsia="Calibri"/>
          <w:lang w:eastAsia="en-US"/>
        </w:rPr>
        <w:t>Hög TB-exponeringsrisk</w:t>
      </w:r>
      <w:r w:rsidR="00066D44">
        <w:rPr>
          <w:rFonts w:eastAsia="Calibri"/>
          <w:lang w:eastAsia="en-US"/>
        </w:rPr>
        <w:t>, det vill säga</w:t>
      </w:r>
      <w:r w:rsidRPr="00B707CE">
        <w:rPr>
          <w:rFonts w:eastAsia="Calibri"/>
          <w:lang w:eastAsia="en-US"/>
        </w:rPr>
        <w:t xml:space="preserve"> riskyrke (lung-/infektionssjukvård), fängelsevistelse, flyktingläger/exposition under flykt.</w:t>
      </w:r>
    </w:p>
    <w:p w14:paraId="68BAE6E0" w14:textId="30406C07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u w:val="single"/>
          <w:lang w:eastAsia="en-US"/>
        </w:rPr>
      </w:pPr>
      <w:r w:rsidRPr="00B707CE">
        <w:rPr>
          <w:rFonts w:eastAsia="Calibri"/>
          <w:lang w:eastAsia="en-US"/>
        </w:rPr>
        <w:t>Vistelse/ursprung i land med hög TB-incidens: &gt;25 fall/100 000/år (obs gäller även svenskar födda före 1960)</w:t>
      </w:r>
      <w:r w:rsidR="00E22121">
        <w:rPr>
          <w:rFonts w:eastAsia="Calibri"/>
          <w:lang w:eastAsia="en-US"/>
        </w:rPr>
        <w:t>, var god se</w:t>
      </w:r>
      <w:r w:rsidRPr="00B707CE">
        <w:rPr>
          <w:rFonts w:eastAsia="Calibri"/>
          <w:lang w:eastAsia="en-US"/>
        </w:rPr>
        <w:t xml:space="preserve"> </w:t>
      </w:r>
      <w:hyperlink r:id="rId12" w:history="1">
        <w:r w:rsidRPr="00B707CE">
          <w:rPr>
            <w:rFonts w:eastAsia="Calibri"/>
            <w:color w:val="0000FF"/>
            <w:u w:val="single"/>
            <w:lang w:eastAsia="en-US"/>
          </w:rPr>
          <w:t xml:space="preserve">Folkhälsomyndigheten: </w:t>
        </w:r>
        <w:proofErr w:type="spellStart"/>
        <w:r w:rsidRPr="00B707CE">
          <w:rPr>
            <w:rFonts w:eastAsia="Calibri"/>
            <w:color w:val="0000FF"/>
            <w:u w:val="single"/>
            <w:lang w:eastAsia="en-US"/>
          </w:rPr>
          <w:t>Riskländer</w:t>
        </w:r>
        <w:proofErr w:type="spellEnd"/>
        <w:r w:rsidRPr="00B707CE">
          <w:rPr>
            <w:rFonts w:eastAsia="Calibri"/>
            <w:color w:val="0000FF"/>
            <w:u w:val="single"/>
            <w:lang w:eastAsia="en-US"/>
          </w:rPr>
          <w:t xml:space="preserve"> för tuberkulos</w:t>
        </w:r>
      </w:hyperlink>
      <w:r w:rsidRPr="00B707CE">
        <w:rPr>
          <w:rFonts w:eastAsia="Calibri"/>
          <w:color w:val="0000FF"/>
          <w:u w:val="single"/>
          <w:lang w:eastAsia="en-US"/>
        </w:rPr>
        <w:t xml:space="preserve"> </w:t>
      </w:r>
    </w:p>
    <w:p w14:paraId="65381D07" w14:textId="1044A43D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Närkontakt med lokalbefolkning/boende under enkla förhållanden i land med hög TB</w:t>
      </w:r>
      <w:r w:rsidR="003D2D77">
        <w:rPr>
          <w:rFonts w:eastAsia="Calibri"/>
          <w:lang w:eastAsia="en-US"/>
        </w:rPr>
        <w:t>-</w:t>
      </w:r>
      <w:r w:rsidRPr="00B707CE">
        <w:rPr>
          <w:rFonts w:eastAsia="Calibri"/>
          <w:lang w:eastAsia="en-US"/>
        </w:rPr>
        <w:t>incidens</w:t>
      </w:r>
      <w:r w:rsidRPr="00B707CE">
        <w:rPr>
          <w:rFonts w:ascii="Calibri" w:eastAsia="Calibri" w:hAnsi="Calibri"/>
          <w:sz w:val="22"/>
          <w:szCs w:val="22"/>
          <w:lang w:eastAsia="en-US"/>
        </w:rPr>
        <w:t xml:space="preserve"> </w:t>
      </w:r>
      <w:r w:rsidRPr="00B707CE">
        <w:rPr>
          <w:rFonts w:eastAsia="Calibri"/>
          <w:lang w:eastAsia="en-US"/>
        </w:rPr>
        <w:t>(&gt;3 mån</w:t>
      </w:r>
      <w:r w:rsidR="00E22121">
        <w:rPr>
          <w:rFonts w:eastAsia="Calibri"/>
          <w:lang w:eastAsia="en-US"/>
        </w:rPr>
        <w:t>ader</w:t>
      </w:r>
      <w:r w:rsidRPr="00B707CE">
        <w:rPr>
          <w:rFonts w:eastAsia="Calibri"/>
          <w:lang w:eastAsia="en-US"/>
        </w:rPr>
        <w:t>)</w:t>
      </w:r>
    </w:p>
    <w:p w14:paraId="34BE86D6" w14:textId="77777777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Födelseland utanför Norden.</w:t>
      </w:r>
    </w:p>
    <w:p w14:paraId="0C478BCC" w14:textId="55F02916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Tidigare tuberkulossjukdom eller behandling (TB e</w:t>
      </w:r>
      <w:r w:rsidR="00B707CE">
        <w:rPr>
          <w:rFonts w:eastAsia="Calibri"/>
          <w:lang w:eastAsia="en-US"/>
        </w:rPr>
        <w:t>l</w:t>
      </w:r>
      <w:r w:rsidRPr="00B707CE">
        <w:rPr>
          <w:rFonts w:eastAsia="Calibri"/>
          <w:lang w:eastAsia="en-US"/>
        </w:rPr>
        <w:t>l</w:t>
      </w:r>
      <w:r w:rsidR="00B707CE">
        <w:rPr>
          <w:rFonts w:eastAsia="Calibri"/>
          <w:lang w:eastAsia="en-US"/>
        </w:rPr>
        <w:t>er</w:t>
      </w:r>
      <w:r w:rsidRPr="00B707CE">
        <w:rPr>
          <w:rFonts w:eastAsia="Calibri"/>
          <w:lang w:eastAsia="en-US"/>
        </w:rPr>
        <w:t xml:space="preserve"> LTBI)</w:t>
      </w:r>
    </w:p>
    <w:p w14:paraId="2FCAD299" w14:textId="782A4A3D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lang w:eastAsia="en-US"/>
        </w:rPr>
      </w:pPr>
      <w:r w:rsidRPr="00B707CE">
        <w:rPr>
          <w:rFonts w:eastAsia="Calibri"/>
          <w:lang w:eastAsia="en-US"/>
        </w:rPr>
        <w:t xml:space="preserve">Symtom på aktiv TB, som nattliga svettningar, hosta, lymfkörtelsvullnad, viktnedgång, feber. Observera att andel </w:t>
      </w:r>
      <w:proofErr w:type="spellStart"/>
      <w:r w:rsidRPr="00B707CE">
        <w:rPr>
          <w:rFonts w:eastAsia="Calibri"/>
          <w:lang w:eastAsia="en-US"/>
        </w:rPr>
        <w:t>exptrapulmonell</w:t>
      </w:r>
      <w:proofErr w:type="spellEnd"/>
      <w:r w:rsidRPr="00B707CE">
        <w:rPr>
          <w:rFonts w:eastAsia="Calibri"/>
          <w:lang w:eastAsia="en-US"/>
        </w:rPr>
        <w:t xml:space="preserve"> TB ökar vid </w:t>
      </w:r>
      <w:proofErr w:type="spellStart"/>
      <w:r w:rsidRPr="00B707CE">
        <w:rPr>
          <w:rFonts w:eastAsia="Calibri"/>
          <w:lang w:eastAsia="en-US"/>
        </w:rPr>
        <w:t>immunsuppression</w:t>
      </w:r>
      <w:proofErr w:type="spellEnd"/>
      <w:r w:rsidRPr="00B707CE">
        <w:rPr>
          <w:rFonts w:eastAsia="Calibri"/>
          <w:lang w:eastAsia="en-US"/>
        </w:rPr>
        <w:t xml:space="preserve">, </w:t>
      </w:r>
      <w:r w:rsidR="00E22121" w:rsidRPr="00B707CE">
        <w:rPr>
          <w:rFonts w:eastAsia="Calibri"/>
          <w:lang w:eastAsia="en-US"/>
        </w:rPr>
        <w:t>till exempel</w:t>
      </w:r>
      <w:r w:rsidRPr="00B707CE">
        <w:rPr>
          <w:rFonts w:eastAsia="Calibri"/>
          <w:lang w:eastAsia="en-US"/>
        </w:rPr>
        <w:t xml:space="preserve"> tarm, skelett/rygg, </w:t>
      </w:r>
      <w:proofErr w:type="spellStart"/>
      <w:r w:rsidRPr="00B707CE">
        <w:rPr>
          <w:rFonts w:eastAsia="Calibri"/>
          <w:lang w:eastAsia="en-US"/>
        </w:rPr>
        <w:t>urogenitalt</w:t>
      </w:r>
      <w:proofErr w:type="spellEnd"/>
      <w:r w:rsidRPr="00B707CE">
        <w:rPr>
          <w:rFonts w:eastAsia="Calibri"/>
          <w:lang w:eastAsia="en-US"/>
        </w:rPr>
        <w:t>, CNS</w:t>
      </w:r>
      <w:r w:rsidR="00066D44">
        <w:rPr>
          <w:rFonts w:eastAsia="Calibri"/>
          <w:lang w:eastAsia="en-US"/>
        </w:rPr>
        <w:t>.</w:t>
      </w:r>
    </w:p>
    <w:p w14:paraId="12FE07FC" w14:textId="049E695C" w:rsidR="0037717C" w:rsidRPr="00790C77" w:rsidRDefault="0037717C" w:rsidP="00CF4ACF">
      <w:pPr>
        <w:spacing w:after="200" w:line="276" w:lineRule="auto"/>
        <w:ind w:left="1287" w:right="0"/>
        <w:contextualSpacing/>
        <w:rPr>
          <w:rFonts w:eastAsia="Calibri"/>
          <w:lang w:eastAsia="en-US"/>
        </w:rPr>
      </w:pPr>
      <w:hyperlink r:id="rId13" w:history="1">
        <w:r w:rsidRPr="00F43279">
          <w:rPr>
            <w:rStyle w:val="Hyperlnk"/>
            <w:rFonts w:eastAsia="Calibri"/>
            <w:b/>
            <w:lang w:eastAsia="en-US"/>
          </w:rPr>
          <w:t>Hälsodeklaration</w:t>
        </w:r>
      </w:hyperlink>
      <w:r w:rsidRPr="00790C77">
        <w:rPr>
          <w:rFonts w:eastAsia="Calibri"/>
          <w:b/>
          <w:lang w:eastAsia="en-US"/>
        </w:rPr>
        <w:t xml:space="preserve"> </w:t>
      </w:r>
      <w:r w:rsidRPr="00790C77">
        <w:rPr>
          <w:rFonts w:eastAsia="Calibri"/>
          <w:lang w:eastAsia="en-US"/>
        </w:rPr>
        <w:t>på alla patienter rekommenderas</w:t>
      </w:r>
      <w:r w:rsidR="00CF4ACF">
        <w:rPr>
          <w:rFonts w:eastAsia="Calibri"/>
          <w:lang w:eastAsia="en-US"/>
        </w:rPr>
        <w:t>.</w:t>
      </w:r>
    </w:p>
    <w:p w14:paraId="2718D873" w14:textId="367FE2F1" w:rsidR="0037717C" w:rsidRPr="005A2844" w:rsidRDefault="0037717C" w:rsidP="005A2844">
      <w:pPr>
        <w:pStyle w:val="Liststycke"/>
        <w:numPr>
          <w:ilvl w:val="0"/>
          <w:numId w:val="26"/>
        </w:numPr>
        <w:rPr>
          <w:rFonts w:eastAsia="Calibri"/>
          <w:lang w:eastAsia="en-US"/>
        </w:rPr>
      </w:pPr>
      <w:r w:rsidRPr="005A2844">
        <w:rPr>
          <w:rFonts w:eastAsia="Calibri"/>
          <w:b/>
          <w:lang w:eastAsia="en-US"/>
        </w:rPr>
        <w:t>Lungröntgen</w:t>
      </w:r>
      <w:r w:rsidR="00501C66" w:rsidRPr="005A2844">
        <w:rPr>
          <w:rFonts w:eastAsia="Calibri"/>
          <w:b/>
          <w:lang w:eastAsia="en-US"/>
        </w:rPr>
        <w:br/>
      </w:r>
      <w:r w:rsidRPr="005A2844">
        <w:rPr>
          <w:rFonts w:eastAsia="Calibri"/>
          <w:lang w:eastAsia="en-US"/>
        </w:rPr>
        <w:t>Alla förändringar kan vara tuberkulos. Fynd som oftast ses är: primärkomplex, apikala förändringar eller andra ospecifika restinfiltrat. Röntgenbild ska inte vara äldre än 3 månader. Normal röntgen utesluter inte TB.</w:t>
      </w:r>
    </w:p>
    <w:p w14:paraId="7F347928" w14:textId="10B18ADA" w:rsidR="0037717C" w:rsidRPr="00790C77" w:rsidRDefault="0037717C" w:rsidP="00F61299">
      <w:pPr>
        <w:numPr>
          <w:ilvl w:val="0"/>
          <w:numId w:val="26"/>
        </w:numPr>
        <w:spacing w:after="200" w:line="240" w:lineRule="auto"/>
        <w:ind w:left="993" w:right="0"/>
        <w:contextualSpacing/>
        <w:rPr>
          <w:rFonts w:eastAsia="Calibri"/>
          <w:b/>
          <w:lang w:eastAsia="en-US"/>
        </w:rPr>
      </w:pPr>
      <w:r w:rsidRPr="00790C77">
        <w:rPr>
          <w:rFonts w:eastAsia="Calibri"/>
          <w:b/>
          <w:lang w:eastAsia="en-US"/>
        </w:rPr>
        <w:t>TB-tester, IGRA</w:t>
      </w:r>
      <w:r w:rsidR="004F1F11">
        <w:rPr>
          <w:rFonts w:eastAsia="Calibri"/>
          <w:b/>
          <w:lang w:eastAsia="en-US"/>
        </w:rPr>
        <w:t xml:space="preserve"> </w:t>
      </w:r>
      <w:r w:rsidRPr="00790C77">
        <w:rPr>
          <w:rFonts w:eastAsia="Calibri"/>
          <w:b/>
          <w:lang w:eastAsia="en-US"/>
        </w:rPr>
        <w:t>(</w:t>
      </w:r>
      <w:proofErr w:type="spellStart"/>
      <w:r w:rsidRPr="00790C77">
        <w:rPr>
          <w:rFonts w:eastAsia="Calibri"/>
          <w:b/>
          <w:lang w:eastAsia="en-US"/>
        </w:rPr>
        <w:t>Quantiferon</w:t>
      </w:r>
      <w:proofErr w:type="spellEnd"/>
      <w:r w:rsidRPr="00790C77">
        <w:rPr>
          <w:rFonts w:eastAsia="Calibri"/>
          <w:b/>
          <w:lang w:eastAsia="en-US"/>
        </w:rPr>
        <w:t xml:space="preserve">) och PPD </w:t>
      </w:r>
    </w:p>
    <w:p w14:paraId="287077DB" w14:textId="5A21D358" w:rsidR="0037717C" w:rsidRPr="001D0B74" w:rsidRDefault="0037717C" w:rsidP="00501C66">
      <w:pPr>
        <w:rPr>
          <w:rFonts w:eastAsia="Calibri"/>
          <w:b/>
          <w:lang w:eastAsia="en-US"/>
        </w:rPr>
      </w:pPr>
      <w:proofErr w:type="spellStart"/>
      <w:r w:rsidRPr="00790C77">
        <w:rPr>
          <w:rFonts w:eastAsia="Calibri"/>
          <w:lang w:eastAsia="en-US"/>
        </w:rPr>
        <w:lastRenderedPageBreak/>
        <w:t>Quantiferon</w:t>
      </w:r>
      <w:proofErr w:type="spellEnd"/>
      <w:r w:rsidRPr="00790C77">
        <w:rPr>
          <w:rFonts w:eastAsia="Calibri"/>
          <w:lang w:eastAsia="en-US"/>
        </w:rPr>
        <w:t xml:space="preserve"> tas på alla patienter och ordineras på hemmakliniken. I utvalda fall, hos patienter födda efter 1970, utan utfall i </w:t>
      </w:r>
      <w:r w:rsidR="00CD4668" w:rsidRPr="00790C77">
        <w:rPr>
          <w:rFonts w:eastAsia="Calibri"/>
          <w:lang w:eastAsia="en-US"/>
        </w:rPr>
        <w:t>TB</w:t>
      </w:r>
      <w:r w:rsidRPr="00790C77">
        <w:rPr>
          <w:rFonts w:eastAsia="Calibri"/>
          <w:lang w:eastAsia="en-US"/>
        </w:rPr>
        <w:t>-anamnesen (v</w:t>
      </w:r>
      <w:r w:rsidR="00CD4668">
        <w:rPr>
          <w:rFonts w:eastAsia="Calibri"/>
          <w:lang w:eastAsia="en-US"/>
        </w:rPr>
        <w:t>ar god</w:t>
      </w:r>
      <w:r w:rsidRPr="00790C77">
        <w:rPr>
          <w:rFonts w:eastAsia="Calibri"/>
          <w:lang w:eastAsia="en-US"/>
        </w:rPr>
        <w:t xml:space="preserve"> se 1. anamnes) och med normal lungröntgen, kan man avstå </w:t>
      </w:r>
      <w:proofErr w:type="spellStart"/>
      <w:r w:rsidRPr="00790C77">
        <w:rPr>
          <w:rFonts w:eastAsia="Calibri"/>
          <w:lang w:eastAsia="en-US"/>
        </w:rPr>
        <w:t>Quantiferontest</w:t>
      </w:r>
      <w:proofErr w:type="spellEnd"/>
      <w:r w:rsidRPr="00790C77">
        <w:rPr>
          <w:rFonts w:eastAsia="Calibri"/>
          <w:lang w:eastAsia="en-US"/>
        </w:rPr>
        <w:t>.</w:t>
      </w:r>
      <w:r w:rsidR="00CD4668">
        <w:rPr>
          <w:rFonts w:eastAsia="Calibri"/>
          <w:lang w:eastAsia="en-US"/>
        </w:rPr>
        <w:t xml:space="preserve"> </w:t>
      </w:r>
      <w:r w:rsidRPr="00790C77">
        <w:rPr>
          <w:rFonts w:eastAsia="Calibri"/>
          <w:lang w:eastAsia="en-US"/>
        </w:rPr>
        <w:t>Testet kan vara falskt negativt och utesluter inte latent eller aktiv TB. Testresultaten måste därför bedömas tillsammans med anamnes och röntgenfynd.</w:t>
      </w:r>
      <w:r w:rsidR="001D0B74">
        <w:rPr>
          <w:rFonts w:eastAsia="Calibri"/>
          <w:b/>
          <w:lang w:eastAsia="en-US"/>
        </w:rPr>
        <w:t xml:space="preserve"> </w:t>
      </w:r>
      <w:r w:rsidRPr="00790C77">
        <w:t>Om i</w:t>
      </w:r>
      <w:r w:rsidR="00A36703">
        <w:t>nte</w:t>
      </w:r>
      <w:r w:rsidRPr="00790C77">
        <w:t xml:space="preserve"> konklusivt eller gränsvärde - ta om! Om patienten haft TB eller behandlats för LTBI tas </w:t>
      </w:r>
      <w:r w:rsidR="00E926C6">
        <w:t>inte</w:t>
      </w:r>
      <w:r w:rsidRPr="00790C77">
        <w:t xml:space="preserve"> </w:t>
      </w:r>
      <w:proofErr w:type="spellStart"/>
      <w:r w:rsidRPr="00790C77">
        <w:t>Quantiferon</w:t>
      </w:r>
      <w:proofErr w:type="spellEnd"/>
      <w:r w:rsidRPr="00790C77">
        <w:t xml:space="preserve">. Detta kommer att vara positivt och ger ingen ytterligare information. </w:t>
      </w:r>
    </w:p>
    <w:p w14:paraId="66A60F18" w14:textId="436E6F90" w:rsidR="0037717C" w:rsidRPr="00790C77" w:rsidRDefault="0037717C" w:rsidP="00501C66">
      <w:r w:rsidRPr="00790C77">
        <w:t xml:space="preserve">Vid </w:t>
      </w:r>
      <w:proofErr w:type="spellStart"/>
      <w:r w:rsidRPr="00790C77">
        <w:t>immunsuppression</w:t>
      </w:r>
      <w:proofErr w:type="spellEnd"/>
      <w:r w:rsidRPr="00790C77">
        <w:t xml:space="preserve"> rekommenderas enligt nationella riktlinjer, både IGRA – </w:t>
      </w:r>
      <w:r>
        <w:t>(</w:t>
      </w:r>
      <w:proofErr w:type="spellStart"/>
      <w:r w:rsidRPr="00790C77">
        <w:t>Quantiferon</w:t>
      </w:r>
      <w:proofErr w:type="spellEnd"/>
      <w:r>
        <w:t>)</w:t>
      </w:r>
      <w:r w:rsidRPr="00790C77">
        <w:t xml:space="preserve"> och PPD då de täcker upp olika populationer av TB-smittade.</w:t>
      </w:r>
      <w:r w:rsidR="001D0B74">
        <w:t xml:space="preserve"> </w:t>
      </w:r>
      <w:r w:rsidRPr="00790C77">
        <w:t xml:space="preserve">PPD-gräns för immunokompetent &gt;10 mm, om </w:t>
      </w:r>
      <w:proofErr w:type="spellStart"/>
      <w:r w:rsidR="00E926C6" w:rsidRPr="00790C77">
        <w:t>immunsupprimerad</w:t>
      </w:r>
      <w:proofErr w:type="spellEnd"/>
      <w:r w:rsidR="00E926C6" w:rsidRPr="00790C77">
        <w:t>&gt;</w:t>
      </w:r>
      <w:r w:rsidRPr="00790C77">
        <w:t xml:space="preserve"> 6 mm.</w:t>
      </w:r>
      <w:r w:rsidR="001D0B74">
        <w:t xml:space="preserve"> </w:t>
      </w:r>
      <w:proofErr w:type="spellStart"/>
      <w:r w:rsidRPr="00790C77">
        <w:t>Quantiferon</w:t>
      </w:r>
      <w:proofErr w:type="spellEnd"/>
      <w:r w:rsidRPr="00790C77">
        <w:t xml:space="preserve"> tas före PPD-sättning men inte efter PPD då det kan bli falskt positivt.</w:t>
      </w:r>
    </w:p>
    <w:p w14:paraId="0B9E09C0" w14:textId="77777777" w:rsidR="0037717C" w:rsidRPr="00790C77" w:rsidRDefault="0037717C" w:rsidP="00501C66">
      <w:proofErr w:type="spellStart"/>
      <w:r w:rsidRPr="00790C77">
        <w:t>Quantiferon</w:t>
      </w:r>
      <w:proofErr w:type="spellEnd"/>
      <w:r w:rsidRPr="00790C77">
        <w:t xml:space="preserve"> tas senast på avläsningsdagen för PPD.</w:t>
      </w:r>
      <w:r>
        <w:t xml:space="preserve"> Om IGRA är (tydligt) positivt behövs inget PPD.</w:t>
      </w:r>
    </w:p>
    <w:p w14:paraId="48E8D228" w14:textId="77777777" w:rsidR="0037717C" w:rsidRPr="00790C77" w:rsidRDefault="0037717C" w:rsidP="0037717C">
      <w:pPr>
        <w:spacing w:after="0" w:line="240" w:lineRule="auto"/>
        <w:ind w:left="0" w:right="0"/>
      </w:pPr>
    </w:p>
    <w:p w14:paraId="066F98AC" w14:textId="79A63361" w:rsidR="0037717C" w:rsidRPr="00781D97" w:rsidRDefault="0037717C" w:rsidP="00781D97">
      <w:pPr>
        <w:rPr>
          <w:b/>
          <w:bCs/>
        </w:rPr>
      </w:pPr>
      <w:r w:rsidRPr="005A2844">
        <w:rPr>
          <w:b/>
          <w:bCs/>
        </w:rPr>
        <w:t>Remiss</w:t>
      </w:r>
      <w:r w:rsidR="00781D97">
        <w:rPr>
          <w:b/>
          <w:bCs/>
        </w:rPr>
        <w:br/>
      </w:r>
      <w:r w:rsidRPr="00790C77">
        <w:t xml:space="preserve">Vid positivt </w:t>
      </w:r>
      <w:proofErr w:type="spellStart"/>
      <w:r w:rsidRPr="00790C77">
        <w:t>Quantiferon</w:t>
      </w:r>
      <w:proofErr w:type="spellEnd"/>
      <w:r w:rsidRPr="00790C77">
        <w:t>/PPD, TB-misstankar i anamnes eller patologisk röntgen skickas remiss till läkare vid infektionskliniken för bedömning av latent/aktiv TB och ställningstagande till insättande av behandling,</w:t>
      </w:r>
      <w:r w:rsidRPr="00790C77">
        <w:rPr>
          <w:szCs w:val="20"/>
        </w:rPr>
        <w:t xml:space="preserve"> (1 månads behandling rekommenderas innan DMARD). På remissen anges anamnes, statusfynd, lungröntgen, IGRA–utslag, </w:t>
      </w:r>
      <w:r w:rsidRPr="00790C77">
        <w:t xml:space="preserve">BCG-vaccination, läkemedel, andra sjukdomar; </w:t>
      </w:r>
      <w:r w:rsidR="00AE510A" w:rsidRPr="00790C77">
        <w:t>framför allt</w:t>
      </w:r>
      <w:r w:rsidRPr="00790C77">
        <w:t xml:space="preserve"> njursvikt, diabetes, silikos, </w:t>
      </w:r>
      <w:proofErr w:type="spellStart"/>
      <w:r w:rsidRPr="00790C77">
        <w:t>gastrektomi</w:t>
      </w:r>
      <w:proofErr w:type="spellEnd"/>
      <w:r w:rsidRPr="00790C77">
        <w:t xml:space="preserve">, hepatit, missbruk? </w:t>
      </w:r>
    </w:p>
    <w:p w14:paraId="0240BA35" w14:textId="77777777" w:rsidR="0037717C" w:rsidRPr="00790C77" w:rsidRDefault="0037717C" w:rsidP="005A2844">
      <w:r w:rsidRPr="00790C77">
        <w:rPr>
          <w:szCs w:val="20"/>
        </w:rPr>
        <w:t xml:space="preserve">Om </w:t>
      </w:r>
      <w:proofErr w:type="spellStart"/>
      <w:r w:rsidRPr="00790C77">
        <w:rPr>
          <w:szCs w:val="20"/>
        </w:rPr>
        <w:t>immunsupprimerad</w:t>
      </w:r>
      <w:proofErr w:type="spellEnd"/>
      <w:r w:rsidRPr="00790C77">
        <w:rPr>
          <w:szCs w:val="20"/>
        </w:rPr>
        <w:t xml:space="preserve"> patient, då både </w:t>
      </w:r>
      <w:proofErr w:type="spellStart"/>
      <w:r w:rsidRPr="00790C77">
        <w:rPr>
          <w:szCs w:val="20"/>
        </w:rPr>
        <w:t>Quantiferon</w:t>
      </w:r>
      <w:proofErr w:type="spellEnd"/>
      <w:r w:rsidRPr="00790C77">
        <w:rPr>
          <w:szCs w:val="20"/>
        </w:rPr>
        <w:t xml:space="preserve"> och PPD rekommenderas, skickas remiss till sköterskebesök för PPD. </w:t>
      </w:r>
      <w:proofErr w:type="spellStart"/>
      <w:r w:rsidRPr="00790C77">
        <w:rPr>
          <w:szCs w:val="20"/>
        </w:rPr>
        <w:t>Quantiferon</w:t>
      </w:r>
      <w:proofErr w:type="spellEnd"/>
      <w:r w:rsidRPr="00790C77">
        <w:rPr>
          <w:szCs w:val="20"/>
        </w:rPr>
        <w:t xml:space="preserve"> ska då vara taget innan besöket! Hälsodeklaration fylls i av patient på infektionsmottagningen i samband med besök.</w:t>
      </w:r>
    </w:p>
    <w:p w14:paraId="166C210D" w14:textId="7A5033B7" w:rsidR="0037717C" w:rsidRPr="001D0B74" w:rsidRDefault="0037717C" w:rsidP="005A2844">
      <w:pPr>
        <w:rPr>
          <w:szCs w:val="20"/>
        </w:rPr>
      </w:pPr>
      <w:r w:rsidRPr="00790C77">
        <w:rPr>
          <w:szCs w:val="20"/>
        </w:rPr>
        <w:t xml:space="preserve">Svar skickas till </w:t>
      </w:r>
      <w:proofErr w:type="spellStart"/>
      <w:r w:rsidRPr="00790C77">
        <w:rPr>
          <w:szCs w:val="20"/>
        </w:rPr>
        <w:t>inremitterande</w:t>
      </w:r>
      <w:proofErr w:type="spellEnd"/>
      <w:r w:rsidRPr="00790C77">
        <w:rPr>
          <w:szCs w:val="20"/>
        </w:rPr>
        <w:t xml:space="preserve"> läkare för bedömning.</w:t>
      </w:r>
    </w:p>
    <w:p w14:paraId="78743A83" w14:textId="77777777" w:rsidR="00F80DCA" w:rsidRDefault="00F80DCA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4D3CA466" w14:textId="5A07CDEF" w:rsidR="0037717C" w:rsidRDefault="0037717C" w:rsidP="00B93EBD">
      <w:pPr>
        <w:pStyle w:val="Rubrik2"/>
      </w:pPr>
      <w:r w:rsidRPr="009F43F1">
        <w:lastRenderedPageBreak/>
        <w:t>Läkemedelsbehandling</w:t>
      </w:r>
    </w:p>
    <w:p w14:paraId="4D58BB9F" w14:textId="77777777" w:rsidR="0045529F" w:rsidRPr="0045529F" w:rsidRDefault="0045529F" w:rsidP="0045529F">
      <w:r w:rsidRPr="0045529F">
        <w:t>I första hand:</w:t>
      </w:r>
    </w:p>
    <w:p w14:paraId="6022AF08" w14:textId="2D23441A" w:rsidR="0045529F" w:rsidRPr="0045529F" w:rsidRDefault="0045529F" w:rsidP="0045529F">
      <w:r w:rsidRPr="0045529F">
        <w:t xml:space="preserve">Vid </w:t>
      </w:r>
      <w:proofErr w:type="spellStart"/>
      <w:r w:rsidRPr="0045529F">
        <w:t>immunsuppression</w:t>
      </w:r>
      <w:proofErr w:type="spellEnd"/>
      <w:r w:rsidRPr="0045529F">
        <w:t xml:space="preserve"> eller snabbt insättande av </w:t>
      </w:r>
      <w:proofErr w:type="spellStart"/>
      <w:r w:rsidRPr="0045529F">
        <w:t>immunsuppressiva</w:t>
      </w:r>
      <w:proofErr w:type="spellEnd"/>
      <w:r w:rsidRPr="0045529F">
        <w:t xml:space="preserve"> läkemedel</w:t>
      </w:r>
      <w:r w:rsidR="00902C7F">
        <w:t>.</w:t>
      </w:r>
      <w:r w:rsidRPr="0045529F">
        <w:t> </w:t>
      </w:r>
    </w:p>
    <w:p w14:paraId="2F2EF4E4" w14:textId="2134D29B" w:rsidR="0045529F" w:rsidRPr="0045529F" w:rsidRDefault="0045529F" w:rsidP="005E3D16">
      <w:r w:rsidRPr="0045529F">
        <w:t>1.  </w:t>
      </w:r>
      <w:proofErr w:type="spellStart"/>
      <w:r w:rsidRPr="0045529F">
        <w:t>Tibinide</w:t>
      </w:r>
      <w:proofErr w:type="spellEnd"/>
      <w:r w:rsidRPr="0045529F">
        <w:t xml:space="preserve"> 300 mg 1 x 1 tillsammans </w:t>
      </w:r>
      <w:r w:rsidR="006A271E" w:rsidRPr="0045529F">
        <w:t xml:space="preserve">med </w:t>
      </w:r>
      <w:proofErr w:type="spellStart"/>
      <w:r w:rsidR="006A271E" w:rsidRPr="0045529F">
        <w:t>Pyridoxin</w:t>
      </w:r>
      <w:proofErr w:type="spellEnd"/>
      <w:r w:rsidRPr="0045529F">
        <w:t xml:space="preserve"> (vitamin B6) för att förhindra biverkningar i form av </w:t>
      </w:r>
      <w:proofErr w:type="spellStart"/>
      <w:r w:rsidRPr="0045529F">
        <w:t>polyneuropati</w:t>
      </w:r>
      <w:proofErr w:type="spellEnd"/>
      <w:r w:rsidRPr="0045529F">
        <w:t>. </w:t>
      </w:r>
      <w:r w:rsidR="003A1815">
        <w:br/>
      </w:r>
      <w:r w:rsidRPr="0045529F">
        <w:t>1 månads behandling krävs innan immunmodulerande terapi. </w:t>
      </w:r>
    </w:p>
    <w:p w14:paraId="3775AC7D" w14:textId="77777777" w:rsidR="0045529F" w:rsidRPr="0045529F" w:rsidRDefault="0045529F" w:rsidP="0045529F">
      <w:r w:rsidRPr="0045529F">
        <w:t>Om tid finns innan patienten ska sättas in på immunnedsättande läkemedel kan behandling ske med antingen: </w:t>
      </w:r>
    </w:p>
    <w:p w14:paraId="38671333" w14:textId="0A67FE96" w:rsidR="0045529F" w:rsidRPr="0045529F" w:rsidRDefault="0045529F" w:rsidP="0045529F">
      <w:r w:rsidRPr="0045529F">
        <w:t xml:space="preserve">2. </w:t>
      </w:r>
      <w:proofErr w:type="spellStart"/>
      <w:r w:rsidRPr="0045529F">
        <w:t>Isoniazid</w:t>
      </w:r>
      <w:proofErr w:type="spellEnd"/>
      <w:r w:rsidRPr="0045529F">
        <w:t xml:space="preserve"> 300 mg x 1 + </w:t>
      </w:r>
      <w:proofErr w:type="spellStart"/>
      <w:r w:rsidRPr="0045529F">
        <w:t>Rifampicin</w:t>
      </w:r>
      <w:proofErr w:type="spellEnd"/>
      <w:r w:rsidRPr="0045529F">
        <w:t xml:space="preserve"> 600 mg x 1 i 3–4 månader (beroende på INH-resistens i </w:t>
      </w:r>
      <w:proofErr w:type="spellStart"/>
      <w:r w:rsidRPr="0045529F">
        <w:t>smittoland</w:t>
      </w:r>
      <w:proofErr w:type="spellEnd"/>
      <w:r w:rsidRPr="0045529F">
        <w:t xml:space="preserve">), med </w:t>
      </w:r>
      <w:proofErr w:type="spellStart"/>
      <w:r w:rsidRPr="0045529F">
        <w:t>Pyridoxin</w:t>
      </w:r>
      <w:proofErr w:type="spellEnd"/>
      <w:r w:rsidRPr="0045529F">
        <w:t xml:space="preserve"> 40</w:t>
      </w:r>
      <w:r w:rsidR="00902C7F">
        <w:t xml:space="preserve"> </w:t>
      </w:r>
      <w:r w:rsidRPr="0045529F">
        <w:t>mg 1</w:t>
      </w:r>
      <w:r w:rsidR="00902C7F">
        <w:t xml:space="preserve"> </w:t>
      </w:r>
      <w:r w:rsidRPr="0045529F">
        <w:t>x</w:t>
      </w:r>
      <w:r w:rsidR="00902C7F">
        <w:t xml:space="preserve"> </w:t>
      </w:r>
      <w:r w:rsidRPr="0045529F">
        <w:t>1.</w:t>
      </w:r>
    </w:p>
    <w:p w14:paraId="6558528F" w14:textId="77777777" w:rsidR="0045529F" w:rsidRPr="0045529F" w:rsidRDefault="0045529F" w:rsidP="0045529F">
      <w:r w:rsidRPr="0045529F">
        <w:t>eller</w:t>
      </w:r>
    </w:p>
    <w:p w14:paraId="18C0038B" w14:textId="028037B7" w:rsidR="0045529F" w:rsidRPr="0045529F" w:rsidRDefault="0045529F" w:rsidP="00970673">
      <w:r w:rsidRPr="0045529F">
        <w:t xml:space="preserve"> 3. </w:t>
      </w:r>
      <w:proofErr w:type="spellStart"/>
      <w:r w:rsidRPr="0045529F">
        <w:t>Rimactan</w:t>
      </w:r>
      <w:proofErr w:type="spellEnd"/>
      <w:r w:rsidRPr="0045529F">
        <w:t xml:space="preserve"> 600 mg 1 x 1 i 4 månader (1–2 timmar före frukost) i 4 månader.</w:t>
      </w:r>
      <w:r w:rsidR="00970673">
        <w:t xml:space="preserve"> </w:t>
      </w:r>
      <w:r w:rsidR="003A1815">
        <w:br/>
      </w:r>
      <w:proofErr w:type="spellStart"/>
      <w:r w:rsidRPr="0045529F">
        <w:t>Tibinide</w:t>
      </w:r>
      <w:proofErr w:type="spellEnd"/>
      <w:r w:rsidRPr="0045529F">
        <w:t xml:space="preserve"> och </w:t>
      </w:r>
      <w:proofErr w:type="spellStart"/>
      <w:r w:rsidRPr="0045529F">
        <w:t>Rimactan</w:t>
      </w:r>
      <w:proofErr w:type="spellEnd"/>
      <w:r w:rsidRPr="0045529F">
        <w:t xml:space="preserve"> tas alltid på fastande mage </w:t>
      </w:r>
      <w:r w:rsidR="006A271E" w:rsidRPr="0045529F">
        <w:t>1–2</w:t>
      </w:r>
      <w:r w:rsidRPr="0045529F">
        <w:t xml:space="preserve"> </w:t>
      </w:r>
      <w:r w:rsidR="006A271E">
        <w:t>timmar</w:t>
      </w:r>
      <w:r w:rsidRPr="0045529F">
        <w:t xml:space="preserve"> före frukost.</w:t>
      </w:r>
    </w:p>
    <w:p w14:paraId="467C944D" w14:textId="0F228F7C" w:rsidR="0037717C" w:rsidRPr="0037717C" w:rsidRDefault="0037717C" w:rsidP="001D0B74">
      <w:r w:rsidRPr="00790C77">
        <w:rPr>
          <w:rFonts w:eastAsia="Calibri"/>
          <w:lang w:eastAsia="en-US"/>
        </w:rPr>
        <w:t>Infektionskliniken sköter latentbehandlingen med kontroller och återbesök.</w:t>
      </w:r>
    </w:p>
    <w:sectPr w:rsidR="0037717C" w:rsidRPr="0037717C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A4111" w14:textId="77777777" w:rsidR="002B4446" w:rsidRDefault="002B4446">
      <w:r>
        <w:separator/>
      </w:r>
    </w:p>
  </w:endnote>
  <w:endnote w:type="continuationSeparator" w:id="0">
    <w:p w14:paraId="0086AE9E" w14:textId="77777777" w:rsidR="002B4446" w:rsidRDefault="002B4446">
      <w:r>
        <w:continuationSeparator/>
      </w:r>
    </w:p>
  </w:endnote>
  <w:endnote w:type="continuationNotice" w:id="1">
    <w:p w14:paraId="0783A4EE" w14:textId="77777777" w:rsidR="002B4446" w:rsidRDefault="002B44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57A9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D5DEC4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636FE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34A3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C68E563" wp14:editId="4F34D2DE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2476F" w14:textId="77777777" w:rsidR="002B4446" w:rsidRDefault="002B4446"/>
  </w:footnote>
  <w:footnote w:type="continuationSeparator" w:id="0">
    <w:p w14:paraId="0DDC9A48" w14:textId="77777777" w:rsidR="002B4446" w:rsidRDefault="002B4446">
      <w:r>
        <w:continuationSeparator/>
      </w:r>
    </w:p>
  </w:footnote>
  <w:footnote w:type="continuationNotice" w:id="1">
    <w:p w14:paraId="1589E6DF" w14:textId="77777777" w:rsidR="002B4446" w:rsidRDefault="002B44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488B5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B2E0607" wp14:editId="0FAA1BB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8A6890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2E0607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88A6890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FE460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0BF6789A" wp14:editId="097D711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2E49E9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F6789A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3E2E49E9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43EEE"/>
    <w:multiLevelType w:val="hybridMultilevel"/>
    <w:tmpl w:val="2532611A"/>
    <w:lvl w:ilvl="0" w:tplc="946C6F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49CA324" w:tentative="1">
      <w:start w:val="1"/>
      <w:numFmt w:val="lowerLetter"/>
      <w:lvlText w:val="%2."/>
      <w:lvlJc w:val="left"/>
      <w:pPr>
        <w:ind w:left="1080" w:hanging="360"/>
      </w:pPr>
    </w:lvl>
    <w:lvl w:ilvl="2" w:tplc="25F46E1C" w:tentative="1">
      <w:start w:val="1"/>
      <w:numFmt w:val="lowerRoman"/>
      <w:lvlText w:val="%3."/>
      <w:lvlJc w:val="right"/>
      <w:pPr>
        <w:ind w:left="1800" w:hanging="180"/>
      </w:pPr>
    </w:lvl>
    <w:lvl w:ilvl="3" w:tplc="87DA40C4" w:tentative="1">
      <w:start w:val="1"/>
      <w:numFmt w:val="decimal"/>
      <w:lvlText w:val="%4."/>
      <w:lvlJc w:val="left"/>
      <w:pPr>
        <w:ind w:left="2520" w:hanging="360"/>
      </w:pPr>
    </w:lvl>
    <w:lvl w:ilvl="4" w:tplc="0C34735A" w:tentative="1">
      <w:start w:val="1"/>
      <w:numFmt w:val="lowerLetter"/>
      <w:lvlText w:val="%5."/>
      <w:lvlJc w:val="left"/>
      <w:pPr>
        <w:ind w:left="3240" w:hanging="360"/>
      </w:pPr>
    </w:lvl>
    <w:lvl w:ilvl="5" w:tplc="C9A2D9A8" w:tentative="1">
      <w:start w:val="1"/>
      <w:numFmt w:val="lowerRoman"/>
      <w:lvlText w:val="%6."/>
      <w:lvlJc w:val="right"/>
      <w:pPr>
        <w:ind w:left="3960" w:hanging="180"/>
      </w:pPr>
    </w:lvl>
    <w:lvl w:ilvl="6" w:tplc="808857A0" w:tentative="1">
      <w:start w:val="1"/>
      <w:numFmt w:val="decimal"/>
      <w:lvlText w:val="%7."/>
      <w:lvlJc w:val="left"/>
      <w:pPr>
        <w:ind w:left="4680" w:hanging="360"/>
      </w:pPr>
    </w:lvl>
    <w:lvl w:ilvl="7" w:tplc="E7C62B2A" w:tentative="1">
      <w:start w:val="1"/>
      <w:numFmt w:val="lowerLetter"/>
      <w:lvlText w:val="%8."/>
      <w:lvlJc w:val="left"/>
      <w:pPr>
        <w:ind w:left="5400" w:hanging="360"/>
      </w:pPr>
    </w:lvl>
    <w:lvl w:ilvl="8" w:tplc="604A729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1108F7"/>
    <w:multiLevelType w:val="hybridMultilevel"/>
    <w:tmpl w:val="1F869D22"/>
    <w:lvl w:ilvl="0" w:tplc="9E0CA1B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6AE2DF56">
      <w:start w:val="1"/>
      <w:numFmt w:val="lowerLetter"/>
      <w:lvlText w:val="%2."/>
      <w:lvlJc w:val="left"/>
      <w:pPr>
        <w:ind w:left="1157" w:hanging="360"/>
      </w:pPr>
    </w:lvl>
    <w:lvl w:ilvl="2" w:tplc="89748C82" w:tentative="1">
      <w:start w:val="1"/>
      <w:numFmt w:val="lowerRoman"/>
      <w:lvlText w:val="%3."/>
      <w:lvlJc w:val="right"/>
      <w:pPr>
        <w:ind w:left="1877" w:hanging="180"/>
      </w:pPr>
    </w:lvl>
    <w:lvl w:ilvl="3" w:tplc="FA9AAC7E" w:tentative="1">
      <w:start w:val="1"/>
      <w:numFmt w:val="decimal"/>
      <w:lvlText w:val="%4."/>
      <w:lvlJc w:val="left"/>
      <w:pPr>
        <w:ind w:left="2597" w:hanging="360"/>
      </w:pPr>
    </w:lvl>
    <w:lvl w:ilvl="4" w:tplc="06543CAC" w:tentative="1">
      <w:start w:val="1"/>
      <w:numFmt w:val="lowerLetter"/>
      <w:lvlText w:val="%5."/>
      <w:lvlJc w:val="left"/>
      <w:pPr>
        <w:ind w:left="3317" w:hanging="360"/>
      </w:pPr>
    </w:lvl>
    <w:lvl w:ilvl="5" w:tplc="F26EFC6C" w:tentative="1">
      <w:start w:val="1"/>
      <w:numFmt w:val="lowerRoman"/>
      <w:lvlText w:val="%6."/>
      <w:lvlJc w:val="right"/>
      <w:pPr>
        <w:ind w:left="4037" w:hanging="180"/>
      </w:pPr>
    </w:lvl>
    <w:lvl w:ilvl="6" w:tplc="460A4C80" w:tentative="1">
      <w:start w:val="1"/>
      <w:numFmt w:val="decimal"/>
      <w:lvlText w:val="%7."/>
      <w:lvlJc w:val="left"/>
      <w:pPr>
        <w:ind w:left="4757" w:hanging="360"/>
      </w:pPr>
    </w:lvl>
    <w:lvl w:ilvl="7" w:tplc="5D085B6E" w:tentative="1">
      <w:start w:val="1"/>
      <w:numFmt w:val="lowerLetter"/>
      <w:lvlText w:val="%8."/>
      <w:lvlJc w:val="left"/>
      <w:pPr>
        <w:ind w:left="5477" w:hanging="360"/>
      </w:pPr>
    </w:lvl>
    <w:lvl w:ilvl="8" w:tplc="2534C8E6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6" w15:restartNumberingAfterBreak="0">
    <w:nsid w:val="13001C65"/>
    <w:multiLevelType w:val="hybridMultilevel"/>
    <w:tmpl w:val="00D8A63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910076"/>
    <w:multiLevelType w:val="hybridMultilevel"/>
    <w:tmpl w:val="9ED6E13A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22B7A38"/>
    <w:multiLevelType w:val="hybridMultilevel"/>
    <w:tmpl w:val="C26A105E"/>
    <w:lvl w:ilvl="0" w:tplc="73CA90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39E110B"/>
    <w:multiLevelType w:val="hybridMultilevel"/>
    <w:tmpl w:val="17AECAC6"/>
    <w:lvl w:ilvl="0" w:tplc="B0DEB61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5AFA99FA" w:tentative="1">
      <w:start w:val="1"/>
      <w:numFmt w:val="lowerLetter"/>
      <w:lvlText w:val="%2."/>
      <w:lvlJc w:val="left"/>
      <w:pPr>
        <w:ind w:left="1080" w:hanging="360"/>
      </w:pPr>
    </w:lvl>
    <w:lvl w:ilvl="2" w:tplc="74EE414E" w:tentative="1">
      <w:start w:val="1"/>
      <w:numFmt w:val="lowerRoman"/>
      <w:lvlText w:val="%3."/>
      <w:lvlJc w:val="right"/>
      <w:pPr>
        <w:ind w:left="1800" w:hanging="180"/>
      </w:pPr>
    </w:lvl>
    <w:lvl w:ilvl="3" w:tplc="A7B8C51C" w:tentative="1">
      <w:start w:val="1"/>
      <w:numFmt w:val="decimal"/>
      <w:lvlText w:val="%4."/>
      <w:lvlJc w:val="left"/>
      <w:pPr>
        <w:ind w:left="2520" w:hanging="360"/>
      </w:pPr>
    </w:lvl>
    <w:lvl w:ilvl="4" w:tplc="5A4C80A2" w:tentative="1">
      <w:start w:val="1"/>
      <w:numFmt w:val="lowerLetter"/>
      <w:lvlText w:val="%5."/>
      <w:lvlJc w:val="left"/>
      <w:pPr>
        <w:ind w:left="3240" w:hanging="360"/>
      </w:pPr>
    </w:lvl>
    <w:lvl w:ilvl="5" w:tplc="4C78E53A" w:tentative="1">
      <w:start w:val="1"/>
      <w:numFmt w:val="lowerRoman"/>
      <w:lvlText w:val="%6."/>
      <w:lvlJc w:val="right"/>
      <w:pPr>
        <w:ind w:left="3960" w:hanging="180"/>
      </w:pPr>
    </w:lvl>
    <w:lvl w:ilvl="6" w:tplc="83D0281C" w:tentative="1">
      <w:start w:val="1"/>
      <w:numFmt w:val="decimal"/>
      <w:lvlText w:val="%7."/>
      <w:lvlJc w:val="left"/>
      <w:pPr>
        <w:ind w:left="4680" w:hanging="360"/>
      </w:pPr>
    </w:lvl>
    <w:lvl w:ilvl="7" w:tplc="3F7843A0" w:tentative="1">
      <w:start w:val="1"/>
      <w:numFmt w:val="lowerLetter"/>
      <w:lvlText w:val="%8."/>
      <w:lvlJc w:val="left"/>
      <w:pPr>
        <w:ind w:left="5400" w:hanging="360"/>
      </w:pPr>
    </w:lvl>
    <w:lvl w:ilvl="8" w:tplc="AEEE6FF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01B335E"/>
    <w:multiLevelType w:val="hybridMultilevel"/>
    <w:tmpl w:val="2CAC2078"/>
    <w:lvl w:ilvl="0" w:tplc="9D5C7D2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CF504D7"/>
    <w:multiLevelType w:val="hybridMultilevel"/>
    <w:tmpl w:val="999ED4A6"/>
    <w:lvl w:ilvl="0" w:tplc="2BDE4C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CF487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51257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21049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C2823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D2EB92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E610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C9A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3461D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FAE09B2"/>
    <w:multiLevelType w:val="hybridMultilevel"/>
    <w:tmpl w:val="73A63C68"/>
    <w:lvl w:ilvl="0" w:tplc="F81E49C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2E4F2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267A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0EFD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460EB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F72BE2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C4666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B6899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9E9AD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9921896">
    <w:abstractNumId w:val="25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19"/>
  </w:num>
  <w:num w:numId="14" w16cid:durableId="36130748">
    <w:abstractNumId w:val="15"/>
  </w:num>
  <w:num w:numId="15" w16cid:durableId="560679449">
    <w:abstractNumId w:val="10"/>
  </w:num>
  <w:num w:numId="16" w16cid:durableId="1420566503">
    <w:abstractNumId w:val="18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23"/>
  </w:num>
  <w:num w:numId="20" w16cid:durableId="1350258145">
    <w:abstractNumId w:val="5"/>
  </w:num>
  <w:num w:numId="21" w16cid:durableId="1034309999">
    <w:abstractNumId w:val="2"/>
  </w:num>
  <w:num w:numId="22" w16cid:durableId="1563828003">
    <w:abstractNumId w:val="26"/>
  </w:num>
  <w:num w:numId="23" w16cid:durableId="1804342891">
    <w:abstractNumId w:val="13"/>
  </w:num>
  <w:num w:numId="24" w16cid:durableId="691952304">
    <w:abstractNumId w:val="24"/>
  </w:num>
  <w:num w:numId="25" w16cid:durableId="1813674356">
    <w:abstractNumId w:val="11"/>
  </w:num>
  <w:num w:numId="26" w16cid:durableId="625043995">
    <w:abstractNumId w:val="21"/>
  </w:num>
  <w:num w:numId="27" w16cid:durableId="625353596">
    <w:abstractNumId w:val="6"/>
  </w:num>
  <w:num w:numId="28" w16cid:durableId="62353650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D1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D44"/>
    <w:rsid w:val="000700AE"/>
    <w:rsid w:val="00084024"/>
    <w:rsid w:val="0008531E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B74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44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17C"/>
    <w:rsid w:val="00377992"/>
    <w:rsid w:val="00384019"/>
    <w:rsid w:val="003854F1"/>
    <w:rsid w:val="0039118E"/>
    <w:rsid w:val="00397F54"/>
    <w:rsid w:val="003A0D43"/>
    <w:rsid w:val="003A1815"/>
    <w:rsid w:val="003B2A4B"/>
    <w:rsid w:val="003B6844"/>
    <w:rsid w:val="003D099E"/>
    <w:rsid w:val="003D21A2"/>
    <w:rsid w:val="003D29D2"/>
    <w:rsid w:val="003D2D77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29F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C51"/>
    <w:rsid w:val="004D7BA3"/>
    <w:rsid w:val="004E5A0B"/>
    <w:rsid w:val="004F1F11"/>
    <w:rsid w:val="004F4518"/>
    <w:rsid w:val="004F4C62"/>
    <w:rsid w:val="00501433"/>
    <w:rsid w:val="00501C66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2844"/>
    <w:rsid w:val="005A54ED"/>
    <w:rsid w:val="005A5D5B"/>
    <w:rsid w:val="005A6081"/>
    <w:rsid w:val="005A627D"/>
    <w:rsid w:val="005B3253"/>
    <w:rsid w:val="005B54CE"/>
    <w:rsid w:val="005C0045"/>
    <w:rsid w:val="005C084E"/>
    <w:rsid w:val="005C4606"/>
    <w:rsid w:val="005D0B0C"/>
    <w:rsid w:val="005E02B3"/>
    <w:rsid w:val="005E1E24"/>
    <w:rsid w:val="005E3D1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1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1DC6"/>
    <w:rsid w:val="00754905"/>
    <w:rsid w:val="00760038"/>
    <w:rsid w:val="00762EE0"/>
    <w:rsid w:val="00765C41"/>
    <w:rsid w:val="00771100"/>
    <w:rsid w:val="00774944"/>
    <w:rsid w:val="007759DD"/>
    <w:rsid w:val="00781D97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774F"/>
    <w:rsid w:val="00821A1B"/>
    <w:rsid w:val="008262E9"/>
    <w:rsid w:val="00827E69"/>
    <w:rsid w:val="00831C35"/>
    <w:rsid w:val="00835C4D"/>
    <w:rsid w:val="00843F48"/>
    <w:rsid w:val="00845FF4"/>
    <w:rsid w:val="00851423"/>
    <w:rsid w:val="008569C6"/>
    <w:rsid w:val="00857848"/>
    <w:rsid w:val="008654B6"/>
    <w:rsid w:val="0087139C"/>
    <w:rsid w:val="00873419"/>
    <w:rsid w:val="00880E83"/>
    <w:rsid w:val="00892F28"/>
    <w:rsid w:val="0089562D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07CF"/>
    <w:rsid w:val="00902C7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0673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82D"/>
    <w:rsid w:val="009F4A56"/>
    <w:rsid w:val="009F4E65"/>
    <w:rsid w:val="00A006A5"/>
    <w:rsid w:val="00A05942"/>
    <w:rsid w:val="00A07BEC"/>
    <w:rsid w:val="00A264BE"/>
    <w:rsid w:val="00A272CA"/>
    <w:rsid w:val="00A33051"/>
    <w:rsid w:val="00A36703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1A"/>
    <w:rsid w:val="00AB67B7"/>
    <w:rsid w:val="00AC3FF6"/>
    <w:rsid w:val="00AD73EC"/>
    <w:rsid w:val="00AD7AD5"/>
    <w:rsid w:val="00AE510A"/>
    <w:rsid w:val="00AE5BC7"/>
    <w:rsid w:val="00AF5AAF"/>
    <w:rsid w:val="00AF7CA0"/>
    <w:rsid w:val="00B046D8"/>
    <w:rsid w:val="00B13F4C"/>
    <w:rsid w:val="00B14487"/>
    <w:rsid w:val="00B16219"/>
    <w:rsid w:val="00B16C59"/>
    <w:rsid w:val="00B17E2F"/>
    <w:rsid w:val="00B33FDD"/>
    <w:rsid w:val="00B359CC"/>
    <w:rsid w:val="00B36107"/>
    <w:rsid w:val="00B405A1"/>
    <w:rsid w:val="00B41571"/>
    <w:rsid w:val="00B41789"/>
    <w:rsid w:val="00B440B4"/>
    <w:rsid w:val="00B46C03"/>
    <w:rsid w:val="00B60C6C"/>
    <w:rsid w:val="00B619A9"/>
    <w:rsid w:val="00B65A9D"/>
    <w:rsid w:val="00B66D60"/>
    <w:rsid w:val="00B707CE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3EBD"/>
    <w:rsid w:val="00B96AFF"/>
    <w:rsid w:val="00B97D4E"/>
    <w:rsid w:val="00BA0066"/>
    <w:rsid w:val="00BA2C54"/>
    <w:rsid w:val="00BB69DB"/>
    <w:rsid w:val="00BC322E"/>
    <w:rsid w:val="00BC44CD"/>
    <w:rsid w:val="00BC48A6"/>
    <w:rsid w:val="00BC6590"/>
    <w:rsid w:val="00BE7978"/>
    <w:rsid w:val="00BF2CCE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3A5"/>
    <w:rsid w:val="00CC167C"/>
    <w:rsid w:val="00CC52D9"/>
    <w:rsid w:val="00CD4668"/>
    <w:rsid w:val="00CD6647"/>
    <w:rsid w:val="00CE4B73"/>
    <w:rsid w:val="00CF4ACF"/>
    <w:rsid w:val="00CF70BB"/>
    <w:rsid w:val="00D00BD7"/>
    <w:rsid w:val="00D074DB"/>
    <w:rsid w:val="00D139CF"/>
    <w:rsid w:val="00D1449F"/>
    <w:rsid w:val="00D15B74"/>
    <w:rsid w:val="00D20779"/>
    <w:rsid w:val="00D37E7F"/>
    <w:rsid w:val="00D40B9B"/>
    <w:rsid w:val="00D47AD7"/>
    <w:rsid w:val="00D51529"/>
    <w:rsid w:val="00D62468"/>
    <w:rsid w:val="00D67C88"/>
    <w:rsid w:val="00D85218"/>
    <w:rsid w:val="00D915B1"/>
    <w:rsid w:val="00DA299D"/>
    <w:rsid w:val="00DA65C4"/>
    <w:rsid w:val="00DB060A"/>
    <w:rsid w:val="00DC5863"/>
    <w:rsid w:val="00DE4447"/>
    <w:rsid w:val="00DE5DA2"/>
    <w:rsid w:val="00DE63C6"/>
    <w:rsid w:val="00DF0033"/>
    <w:rsid w:val="00E026BF"/>
    <w:rsid w:val="00E02AC9"/>
    <w:rsid w:val="00E07B1B"/>
    <w:rsid w:val="00E11853"/>
    <w:rsid w:val="00E22121"/>
    <w:rsid w:val="00E36EAB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6C6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279"/>
    <w:rsid w:val="00F5135F"/>
    <w:rsid w:val="00F51F78"/>
    <w:rsid w:val="00F5585F"/>
    <w:rsid w:val="00F61299"/>
    <w:rsid w:val="00F7388E"/>
    <w:rsid w:val="00F80DCA"/>
    <w:rsid w:val="00F86F47"/>
    <w:rsid w:val="00F90B64"/>
    <w:rsid w:val="00FA003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377AF7A"/>
    <w:rsid w:val="3B7F2F63"/>
    <w:rsid w:val="401B368E"/>
    <w:rsid w:val="49CD1BB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6428C9C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501C66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01C6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432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vgregion.sharepoint.com/:w:/s/sy-nu-infektionsmottagning/EZSRu2JjOz9Kg1dDHT-aoKcBWIY395MpCXhXd1qRL_3OoQ?e=YmwBag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www.folkhalsomyndigheten.se/globalassets/smittskydd-sjukdomar/vaccinationer/risklander-tb-enligt-who-rapport-2018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hittaidiariet.vgregion.se/DocumentHittaDiariet/DownloadDocument/3806757?filename=Regional%20medicinsk%20riktlinje%20-%20Tuberkulos%20-%20handl%C3%A4ggning%20latent%20tuberkulos,%20giltig%20till%202026-07-03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730</Words>
  <Characters>4669</Characters>
  <Application>Microsoft Office Word</Application>
  <DocSecurity>0</DocSecurity>
  <Lines>113</Lines>
  <Paragraphs>49</Paragraphs>
  <ScaleCrop>false</ScaleCrop>
  <Manager/>
  <Company/>
  <LinksUpToDate>false</LinksUpToDate>
  <CharactersWithSpaces>5350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 - screening för latent tuberkulos inför insättande av biologiska läkemedel, DMARDs samt inför transplantation</dc:title>
  <dc:subject/>
  <dc:creator/>
  <keywords/>
  <lastModifiedBy/>
  <revision>2</revision>
  <dcterms:created xsi:type="dcterms:W3CDTF">2025-02-24T12:40:00.0000000Z</dcterms:created>
  <dcterms:modified xsi:type="dcterms:W3CDTF">2026-02-06T10:34:00.0000000Z</dcterms:modified>
</coreProperties>
</file>