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C2F5F" w14:textId="77777777" w:rsidR="00A55616" w:rsidRDefault="00A55616" w:rsidP="009A32ED">
      <w:pPr>
        <w:pStyle w:val="Rubrik1"/>
      </w:pPr>
      <w:r>
        <w:t>Jästsvampinfektion, invasiv, hos vuxna.</w:t>
      </w:r>
    </w:p>
    <w:p w14:paraId="061914D4" w14:textId="7E5487D5" w:rsidR="00184167" w:rsidRDefault="00A55616" w:rsidP="009A32ED">
      <w:pPr>
        <w:pStyle w:val="Rubrik1"/>
      </w:pPr>
      <w:r>
        <w:t>Handläggning – stöd för infektionskonsult</w:t>
      </w:r>
      <w:bookmarkStart w:id="0" w:name="_Toc321146591"/>
    </w:p>
    <w:p w14:paraId="40C2C5AC" w14:textId="4AFF8B45" w:rsidR="006F1B1B" w:rsidRPr="00615BD9" w:rsidRDefault="00B405A1" w:rsidP="00615BD9">
      <w:pPr>
        <w:pStyle w:val="Rubrik2"/>
      </w:pPr>
      <w:bookmarkStart w:id="1" w:name="_Toc181866758"/>
      <w:bookmarkStart w:id="2" w:name="_Toc72840807"/>
      <w:bookmarkStart w:id="3" w:name="_Toc238216647"/>
      <w:bookmarkEnd w:id="0"/>
      <w:r>
        <w:t>Innehållsförteckning</w:t>
      </w:r>
      <w:bookmarkEnd w:id="1"/>
      <w:bookmarkEnd w:id="3"/>
      <w:r w:rsidR="00D67C88">
        <w:fldChar w:fldCharType="begin"/>
      </w:r>
      <w:r w:rsidR="00D67C88">
        <w:instrText xml:space="preserve"> TOC \o "2-2" \h \z \u \t "Rubrik;1" </w:instrText>
      </w:r>
      <w:r w:rsidR="00D67C88">
        <w:fldChar w:fldCharType="separate"/>
      </w:r>
      <w:hyperlink w:anchor="_Toc238216647" w:history="1"/>
    </w:p>
    <w:p w14:paraId="0B262D6E" w14:textId="231AC263" w:rsidR="006F1B1B" w:rsidRDefault="006F1B1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16648" w:history="1">
        <w:r w:rsidRPr="00FB72FC">
          <w:rPr>
            <w:rStyle w:val="Hyperlnk"/>
            <w:noProof/>
          </w:rPr>
          <w:t>Bakgrund och 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_Toc238216648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52A9958C" w14:textId="1AC1EB70" w:rsidR="006F1B1B" w:rsidRDefault="006F1B1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16649" w:history="1">
        <w:r w:rsidRPr="00FB72FC">
          <w:rPr>
            <w:rStyle w:val="Hyperlnk"/>
            <w:noProof/>
          </w:rPr>
          <w:t>Växt av jästsvamp i blododling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_Toc238216649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DB0BBA" w14:textId="5B725812" w:rsidR="006F1B1B" w:rsidRDefault="006F1B1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16650" w:history="1">
        <w:r w:rsidRPr="00FB72FC">
          <w:rPr>
            <w:rStyle w:val="Hyperlnk"/>
            <w:noProof/>
          </w:rPr>
          <w:t>Invasiv jästsvampinfektion med negativ blododling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_Toc238216650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45DBFAD" w14:textId="1DC6F4BB" w:rsidR="006F1B1B" w:rsidRDefault="006F1B1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16651" w:history="1">
        <w:r w:rsidRPr="00FB72FC">
          <w:rPr>
            <w:rStyle w:val="Hyperlnk"/>
            <w:noProof/>
          </w:rPr>
          <w:t>Empirisk behandling av misstänkt jästsvampinfektion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_Toc238216651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5B8F3945" w14:textId="5871805E" w:rsidR="006F1B1B" w:rsidRDefault="006F1B1B">
      <w:pPr>
        <w:pStyle w:val="Innehll2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38216652" w:history="1">
        <w:r w:rsidRPr="00FB72FC">
          <w:rPr>
            <w:rStyle w:val="Hyperlnk"/>
            <w:noProof/>
          </w:rPr>
          <w:t>Källförteckning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_Toc238216652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1FC6584C" w14:textId="2094FBB6" w:rsidR="0087500E" w:rsidRDefault="00D67C88" w:rsidP="009A32ED">
      <w:pPr>
        <w:ind w:right="-143"/>
      </w:pPr>
      <w:r>
        <w:fldChar w:fldCharType="end"/>
      </w:r>
    </w:p>
    <w:p w14:paraId="770E8A8B" w14:textId="77777777" w:rsidR="0087500E" w:rsidRDefault="0087500E">
      <w:pPr>
        <w:spacing w:after="0" w:line="240" w:lineRule="auto"/>
        <w:ind w:left="0" w:right="0"/>
      </w:pPr>
      <w:r>
        <w:br w:type="page"/>
      </w:r>
    </w:p>
    <w:p w14:paraId="70A480DB" w14:textId="6D69D245" w:rsidR="00CC6E24" w:rsidRDefault="009A32ED" w:rsidP="00E327DA">
      <w:pPr>
        <w:pStyle w:val="Rubrik2"/>
      </w:pPr>
      <w:bookmarkStart w:id="4" w:name="_Toc100327186"/>
      <w:bookmarkStart w:id="5" w:name="_Toc238216648"/>
      <w:bookmarkEnd w:id="2"/>
      <w:r w:rsidRPr="005F7E24">
        <w:lastRenderedPageBreak/>
        <w:t>Bakgrund och syfte</w:t>
      </w:r>
      <w:bookmarkEnd w:id="4"/>
      <w:bookmarkEnd w:id="5"/>
      <w:r w:rsidRPr="005F7E24">
        <w:t xml:space="preserve"> </w:t>
      </w:r>
    </w:p>
    <w:p w14:paraId="7E793B7A" w14:textId="77777777" w:rsidR="00CE4C36" w:rsidRDefault="001D7E5F" w:rsidP="00CE4C36">
      <w:pPr>
        <w:spacing w:line="276" w:lineRule="auto"/>
      </w:pPr>
      <w:r>
        <w:t xml:space="preserve">Fynd av jästsvamp i </w:t>
      </w:r>
      <w:r w:rsidRPr="00390FED">
        <w:t>blododling har så gott som alltid klinisk signifikans, även vid fynd i enstaka odlingsflaska</w:t>
      </w:r>
      <w:r>
        <w:t xml:space="preserve">. </w:t>
      </w:r>
      <w:r w:rsidR="00494D66">
        <w:t xml:space="preserve">Fungemi med jästsvamp är förenat med hög mortalitet. </w:t>
      </w:r>
      <w:r w:rsidR="00FF263C">
        <w:t>Vid fynd av jästsvamp i blodet finns ofta</w:t>
      </w:r>
      <w:r w:rsidR="008B7B94">
        <w:t xml:space="preserve"> men inte alltid</w:t>
      </w:r>
      <w:r w:rsidR="00FF263C">
        <w:t xml:space="preserve"> en djup infektion. Det förekommer också djupa infektioner utan samtidig fungemi. </w:t>
      </w:r>
      <w:r w:rsidR="00C73869">
        <w:t>Detta ger oss</w:t>
      </w:r>
      <w:r w:rsidR="00FF263C">
        <w:t xml:space="preserve"> tre kliniska </w:t>
      </w:r>
      <w:r w:rsidR="00C73869">
        <w:t>varianter av</w:t>
      </w:r>
      <w:r w:rsidR="00FF263C">
        <w:t xml:space="preserve"> det som kallas invasiv jästsvampinfektion.</w:t>
      </w:r>
    </w:p>
    <w:p w14:paraId="1B196887" w14:textId="77777777" w:rsidR="00CE4C36" w:rsidRDefault="00494D66" w:rsidP="00CE4C36">
      <w:pPr>
        <w:spacing w:line="276" w:lineRule="auto"/>
      </w:pPr>
      <w:r>
        <w:t>Tillståndet drabbar främst individer med immunitetsnedsättning och riskfaktorer. Tidigt insatt antifungal behandling och source control är av betydelse för förloppet.</w:t>
      </w:r>
      <w:r w:rsidR="00FF263C">
        <w:t xml:space="preserve"> Internationella studier visar att utfallet för de här patienterna blir bättre om infektionskonsult är delaktig i handläggningen.</w:t>
      </w:r>
    </w:p>
    <w:p w14:paraId="0726F76B" w14:textId="078BD93B" w:rsidR="00494D66" w:rsidRDefault="00494D66" w:rsidP="00CE4C36">
      <w:pPr>
        <w:spacing w:line="276" w:lineRule="auto"/>
      </w:pPr>
      <w:r>
        <w:t>NU-sjukvården har en rutin som innebär att infektionskonsulten kontaktas i alla fall där mikrobiologen påvisar jästsvamp i blododling.</w:t>
      </w:r>
    </w:p>
    <w:p w14:paraId="30CAC743" w14:textId="4D6CF3B0" w:rsidR="00FF263C" w:rsidRDefault="00FF263C" w:rsidP="00E327DA">
      <w:pPr>
        <w:spacing w:line="276" w:lineRule="auto"/>
      </w:pPr>
      <w:r>
        <w:t>Syftet med detta dokument är att ge infektionskonsulten stöd i bedömningen av patienter med invasiv jästsvampinfektion.</w:t>
      </w:r>
    </w:p>
    <w:p w14:paraId="37C3AF2B" w14:textId="62516627" w:rsidR="00D7478B" w:rsidRDefault="00FA1F0A" w:rsidP="00E327DA">
      <w:pPr>
        <w:spacing w:line="276" w:lineRule="auto"/>
      </w:pPr>
      <w:r>
        <w:t>Dokumentet innehåller även avsnitt om påvisad djup infektion utan fynd av svamp i blodet och om ställningstagande till empirisk behandling vid negativa odlingar</w:t>
      </w:r>
      <w:r w:rsidR="00D611F7">
        <w:t>.</w:t>
      </w:r>
    </w:p>
    <w:p w14:paraId="67C8DCA1" w14:textId="77777777" w:rsidR="00D7478B" w:rsidRDefault="00D7478B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br w:type="page"/>
      </w:r>
    </w:p>
    <w:p w14:paraId="157C72EB" w14:textId="77777777" w:rsidR="00FA1F0A" w:rsidRDefault="00FA1F0A" w:rsidP="009A32ED">
      <w:pPr>
        <w:ind w:right="-143"/>
        <w:rPr>
          <w:szCs w:val="20"/>
        </w:rPr>
      </w:pPr>
    </w:p>
    <w:p w14:paraId="35991454" w14:textId="5661B64B" w:rsidR="00661AF0" w:rsidRDefault="00F46026" w:rsidP="00C53DD6">
      <w:pPr>
        <w:pStyle w:val="Rubrik2"/>
      </w:pPr>
      <w:bookmarkStart w:id="6" w:name="_Toc238216649"/>
      <w:r>
        <w:t>V</w:t>
      </w:r>
      <w:r w:rsidR="00FA1F0A" w:rsidRPr="00F46026">
        <w:t>äxt av jästsvamp</w:t>
      </w:r>
      <w:r>
        <w:t xml:space="preserve"> i</w:t>
      </w:r>
      <w:r w:rsidRPr="00F46026">
        <w:t xml:space="preserve"> </w:t>
      </w:r>
      <w:r>
        <w:t>b</w:t>
      </w:r>
      <w:r w:rsidRPr="00F46026">
        <w:t>lododling</w:t>
      </w:r>
      <w:bookmarkEnd w:id="6"/>
    </w:p>
    <w:p w14:paraId="4E578E69" w14:textId="12DECAD0" w:rsidR="00DC39D6" w:rsidRDefault="00DC39D6" w:rsidP="00D069EF">
      <w:pPr>
        <w:spacing w:line="276" w:lineRule="auto"/>
      </w:pPr>
      <w:r>
        <w:t>Fynd av jästsvamp i blododling från perifert blod utgör indikation för behandling. Växt enbart i blod från CVK kan utgöra indikation för behandling vid feber och andra infektionstecken.</w:t>
      </w:r>
    </w:p>
    <w:p w14:paraId="50AD1BC2" w14:textId="7DECB04F" w:rsidR="00F5081C" w:rsidRPr="00F5081C" w:rsidRDefault="00DC39D6" w:rsidP="00F5081C">
      <w:pPr>
        <w:pStyle w:val="MellanrubrikVGR"/>
        <w:ind w:right="-143"/>
      </w:pPr>
      <w:r w:rsidRPr="00DC39D6">
        <w:t>Åtgärder</w:t>
      </w:r>
    </w:p>
    <w:p w14:paraId="5D13454C" w14:textId="77777777" w:rsidR="00D7478B" w:rsidRDefault="005667E2" w:rsidP="00D069EF">
      <w:pPr>
        <w:pStyle w:val="Liststycke"/>
        <w:numPr>
          <w:ilvl w:val="0"/>
          <w:numId w:val="21"/>
        </w:numPr>
        <w:spacing w:line="276" w:lineRule="auto"/>
        <w:ind w:left="993"/>
      </w:pPr>
      <w:r>
        <w:t>Blododling dagligen tills man fångat 3 negativa odlingar i rad</w:t>
      </w:r>
      <w:r w:rsidR="00F066B1">
        <w:t>.</w:t>
      </w:r>
    </w:p>
    <w:p w14:paraId="512C0437" w14:textId="65C54C76" w:rsidR="005667E2" w:rsidRDefault="005667E2" w:rsidP="00D069EF">
      <w:pPr>
        <w:pStyle w:val="Liststycke"/>
        <w:numPr>
          <w:ilvl w:val="0"/>
          <w:numId w:val="21"/>
        </w:numPr>
        <w:spacing w:line="276" w:lineRule="auto"/>
        <w:ind w:left="993"/>
      </w:pPr>
      <w:r>
        <w:t>Starta behandling med i v echinocandin</w:t>
      </w:r>
      <w:r w:rsidR="00B308A4">
        <w:t xml:space="preserve"> (Cancidas 70 mg x 1 första dygnet därefter 50 mg x 1 (70 mg x 1 om vikt &gt;80 kg))</w:t>
      </w:r>
    </w:p>
    <w:p w14:paraId="278BF210" w14:textId="40FAE418" w:rsidR="005667E2" w:rsidRDefault="005667E2" w:rsidP="00D069EF">
      <w:pPr>
        <w:pStyle w:val="Liststycke"/>
        <w:numPr>
          <w:ilvl w:val="0"/>
          <w:numId w:val="22"/>
        </w:numPr>
        <w:spacing w:line="276" w:lineRule="auto"/>
        <w:ind w:left="993"/>
      </w:pPr>
      <w:r>
        <w:t>Sök fokal infektion</w:t>
      </w:r>
      <w:r w:rsidR="00F066B1">
        <w:t>.</w:t>
      </w:r>
    </w:p>
    <w:p w14:paraId="736E1FBA" w14:textId="0FD1EA56" w:rsidR="005667E2" w:rsidRDefault="005667E2" w:rsidP="00D069EF">
      <w:pPr>
        <w:pStyle w:val="Liststycke"/>
        <w:numPr>
          <w:ilvl w:val="0"/>
          <w:numId w:val="22"/>
        </w:numPr>
        <w:spacing w:line="276" w:lineRule="auto"/>
        <w:ind w:left="993"/>
      </w:pPr>
      <w:r>
        <w:t xml:space="preserve">Dra ut eller byt </w:t>
      </w:r>
      <w:r w:rsidR="00D069EF">
        <w:t>CVK</w:t>
      </w:r>
      <w:r w:rsidR="00B308A4">
        <w:t>. Avlägsnande eller byte rekommenderas i princip alltid men hos</w:t>
      </w:r>
      <w:r w:rsidR="00CE541F">
        <w:t xml:space="preserve"> </w:t>
      </w:r>
      <w:r w:rsidR="00D069EF">
        <w:t>till exempel</w:t>
      </w:r>
      <w:r w:rsidR="00B308A4">
        <w:t xml:space="preserve"> hemodynamiskt instabil patient eller</w:t>
      </w:r>
      <w:r w:rsidR="00965B33">
        <w:t xml:space="preserve"> </w:t>
      </w:r>
      <w:r w:rsidR="00CE541F">
        <w:t xml:space="preserve">vid </w:t>
      </w:r>
      <w:r w:rsidR="00B308A4">
        <w:t>trombocytopeni med blödningsrisk kan man vänta in förbättring.</w:t>
      </w:r>
      <w:r w:rsidR="002D1256">
        <w:br/>
      </w:r>
    </w:p>
    <w:p w14:paraId="0347AB7E" w14:textId="3CFF88DC" w:rsidR="005667E2" w:rsidRDefault="005667E2" w:rsidP="00D069EF">
      <w:pPr>
        <w:pStyle w:val="Liststycke"/>
        <w:numPr>
          <w:ilvl w:val="0"/>
          <w:numId w:val="22"/>
        </w:numPr>
        <w:spacing w:line="276" w:lineRule="auto"/>
        <w:ind w:left="993"/>
      </w:pPr>
      <w:r>
        <w:t>Gå över till peroral azolbehandling</w:t>
      </w:r>
      <w:r w:rsidR="00B308A4">
        <w:t xml:space="preserve"> (Flukonazol 800 mg x 1 första dygnet, d</w:t>
      </w:r>
      <w:r w:rsidR="0021795B">
        <w:t>ä</w:t>
      </w:r>
      <w:r w:rsidR="00B308A4">
        <w:t>refter 400 mg x 1)</w:t>
      </w:r>
      <w:r>
        <w:t xml:space="preserve"> efter </w:t>
      </w:r>
      <w:r w:rsidR="00661AF0">
        <w:t xml:space="preserve">minst 5 dagar med echinocandin och </w:t>
      </w:r>
      <w:r>
        <w:t>svar på art</w:t>
      </w:r>
      <w:r w:rsidR="00661AF0">
        <w:t>-</w:t>
      </w:r>
      <w:r>
        <w:t xml:space="preserve"> och resistensbestämning, under förutsättning att:</w:t>
      </w:r>
      <w:r w:rsidR="005F7E24">
        <w:br/>
      </w:r>
      <w:r w:rsidRPr="005667E2">
        <w:t>- patienten är hemodynamiskt stabil</w:t>
      </w:r>
      <w:r w:rsidRPr="005667E2">
        <w:br/>
        <w:t xml:space="preserve">- </w:t>
      </w:r>
      <w:r w:rsidR="00661AF0" w:rsidRPr="005667E2">
        <w:t>blododling</w:t>
      </w:r>
      <w:r w:rsidR="00661AF0">
        <w:t>ar är</w:t>
      </w:r>
      <w:r w:rsidR="00661AF0" w:rsidRPr="005667E2">
        <w:t xml:space="preserve"> </w:t>
      </w:r>
      <w:r w:rsidRPr="005667E2">
        <w:t xml:space="preserve">negativa </w:t>
      </w:r>
      <w:r w:rsidRPr="005667E2">
        <w:br/>
        <w:t>- neutrofiler normal</w:t>
      </w:r>
      <w:r w:rsidR="00661AF0">
        <w:t>iserats</w:t>
      </w:r>
      <w:r w:rsidRPr="005667E2">
        <w:br/>
        <w:t xml:space="preserve">- man har source control </w:t>
      </w:r>
      <w:r w:rsidR="00780D2E" w:rsidRPr="005667E2">
        <w:t>inkl.</w:t>
      </w:r>
      <w:r w:rsidRPr="005667E2">
        <w:t xml:space="preserve"> dragning</w:t>
      </w:r>
      <w:r w:rsidR="00661AF0">
        <w:t>/byte</w:t>
      </w:r>
      <w:r w:rsidRPr="005667E2">
        <w:t xml:space="preserve"> av CVK</w:t>
      </w:r>
      <w:r w:rsidRPr="005667E2">
        <w:br/>
        <w:t>- fungerande gastrointestinalt upptag</w:t>
      </w:r>
      <w:r w:rsidRPr="005667E2">
        <w:br/>
        <w:t>- inga kontraindikationer mot azol</w:t>
      </w:r>
      <w:r w:rsidR="005F7E24">
        <w:br/>
        <w:t xml:space="preserve">(om annan art än candida albicans eller om resistens är </w:t>
      </w:r>
      <w:proofErr w:type="spellStart"/>
      <w:r w:rsidR="005F7E24">
        <w:t>voriconazole</w:t>
      </w:r>
      <w:proofErr w:type="spellEnd"/>
      <w:r w:rsidR="005F7E24">
        <w:t xml:space="preserve"> oftast alternativet)</w:t>
      </w:r>
      <w:r w:rsidR="002D1256">
        <w:t>.</w:t>
      </w:r>
      <w:r w:rsidR="002D1256">
        <w:br/>
      </w:r>
    </w:p>
    <w:p w14:paraId="30F0E2BC" w14:textId="6ABEABDE" w:rsidR="00D7478B" w:rsidRDefault="0021795B" w:rsidP="002D1256">
      <w:pPr>
        <w:pStyle w:val="Liststycke"/>
        <w:numPr>
          <w:ilvl w:val="0"/>
          <w:numId w:val="20"/>
        </w:numPr>
        <w:spacing w:line="276" w:lineRule="auto"/>
      </w:pPr>
      <w:r>
        <w:t xml:space="preserve">Behandlingen kan </w:t>
      </w:r>
      <w:r w:rsidR="00F066B1">
        <w:t xml:space="preserve">vid okomplicerat förlopp </w:t>
      </w:r>
      <w:r>
        <w:t>avslutas 14 dagar efter första negativa blododlingen (och sammanlagt 3 negativa odlingar i rad).</w:t>
      </w:r>
    </w:p>
    <w:p w14:paraId="30EF633B" w14:textId="3E14DC65" w:rsidR="00F066B1" w:rsidRDefault="00D7478B" w:rsidP="00D7478B">
      <w:pPr>
        <w:spacing w:after="0" w:line="240" w:lineRule="auto"/>
        <w:ind w:left="0" w:right="0"/>
      </w:pPr>
      <w:r>
        <w:br w:type="page"/>
      </w:r>
    </w:p>
    <w:p w14:paraId="6B49CD20" w14:textId="77777777" w:rsidR="00F066B1" w:rsidRDefault="00AB3E66" w:rsidP="00C1363E">
      <w:pPr>
        <w:pStyle w:val="Liststycke"/>
        <w:numPr>
          <w:ilvl w:val="0"/>
          <w:numId w:val="20"/>
        </w:numPr>
        <w:spacing w:line="276" w:lineRule="auto"/>
      </w:pPr>
      <w:bookmarkStart w:id="7" w:name="_Hlk227843752"/>
      <w:r>
        <w:lastRenderedPageBreak/>
        <w:t>Ögonundersökning</w:t>
      </w:r>
      <w:r w:rsidR="00F066B1">
        <w:t xml:space="preserve">. </w:t>
      </w:r>
      <w:r>
        <w:t xml:space="preserve">Förekomst av jästsvamp i </w:t>
      </w:r>
      <w:r w:rsidR="00724A11">
        <w:t>blodet innebär risk för spridning och utveckling av Chorioretinit och därifrån till Endoftalmit. Risken är störst vid neutropeni och persisterande fungemi. Ögonkonsultation rekommenderas i följande situationer</w:t>
      </w:r>
      <w:r w:rsidR="00F066B1">
        <w:t>:</w:t>
      </w:r>
    </w:p>
    <w:p w14:paraId="5853DD20" w14:textId="241093B0" w:rsidR="00647071" w:rsidRDefault="00F066B1" w:rsidP="00C1363E">
      <w:pPr>
        <w:pStyle w:val="Liststycke"/>
        <w:numPr>
          <w:ilvl w:val="0"/>
          <w:numId w:val="0"/>
        </w:numPr>
        <w:spacing w:line="276" w:lineRule="auto"/>
        <w:ind w:left="927"/>
      </w:pPr>
      <w:r>
        <w:t>- s</w:t>
      </w:r>
      <w:r w:rsidR="00724A11">
        <w:t>ymtom från ögonen (suddig syn, ”floaters”, ljuskänslighet, smärta)</w:t>
      </w:r>
      <w:r>
        <w:br/>
        <w:t>- p</w:t>
      </w:r>
      <w:r w:rsidR="00724A11">
        <w:t>atient som inte kan ange om det finns symtom</w:t>
      </w:r>
      <w:r w:rsidR="00A91E92">
        <w:t xml:space="preserve"> (</w:t>
      </w:r>
      <w:r w:rsidR="00CD3396">
        <w:t>till exempel</w:t>
      </w:r>
      <w:r w:rsidR="00A91E92">
        <w:t xml:space="preserve"> medvetslösa, sövda)</w:t>
      </w:r>
      <w:r>
        <w:br/>
        <w:t>- p</w:t>
      </w:r>
      <w:r w:rsidR="00724A11">
        <w:t>atienter med neutropeni</w:t>
      </w:r>
      <w:r>
        <w:br/>
        <w:t>- p</w:t>
      </w:r>
      <w:r w:rsidR="00724A11">
        <w:t xml:space="preserve">atienter med persisterande fungemi </w:t>
      </w:r>
      <w:r w:rsidR="0021795B">
        <w:t xml:space="preserve">(positiv odling </w:t>
      </w:r>
      <w:r w:rsidR="0021795B" w:rsidRPr="0021795B">
        <w:t>≥ 48 timmar efter behandlingsstart</w:t>
      </w:r>
      <w:r w:rsidR="0021795B">
        <w:t>)</w:t>
      </w:r>
      <w:r w:rsidR="00615BD9">
        <w:t>.</w:t>
      </w:r>
      <w:r w:rsidR="00615BD9">
        <w:br/>
      </w:r>
      <w:r w:rsidR="00F46026">
        <w:br/>
      </w:r>
      <w:r w:rsidR="00647071">
        <w:t>Vakna och adekvata individer utan ögonsymtom behöver inte undersökas.</w:t>
      </w:r>
    </w:p>
    <w:p w14:paraId="7313F3C2" w14:textId="264B6FC5" w:rsidR="00CD3396" w:rsidRDefault="00CD3396" w:rsidP="00C1363E">
      <w:pPr>
        <w:pStyle w:val="Liststycke"/>
        <w:numPr>
          <w:ilvl w:val="0"/>
          <w:numId w:val="0"/>
        </w:numPr>
        <w:spacing w:line="276" w:lineRule="auto"/>
        <w:ind w:left="927"/>
      </w:pPr>
      <w:r>
        <w:t xml:space="preserve">Patienter som inte kan ange symtom men har kliniska tecken på </w:t>
      </w:r>
      <w:proofErr w:type="spellStart"/>
      <w:r>
        <w:t>endoftalmit</w:t>
      </w:r>
      <w:proofErr w:type="spellEnd"/>
      <w:r>
        <w:t xml:space="preserve"> (</w:t>
      </w:r>
      <w:r>
        <w:t>till exempel</w:t>
      </w:r>
      <w:r>
        <w:t xml:space="preserve"> rodnad, </w:t>
      </w:r>
      <w:proofErr w:type="spellStart"/>
      <w:r>
        <w:t>hypopyon</w:t>
      </w:r>
      <w:proofErr w:type="spellEnd"/>
      <w:r>
        <w:t>, dålig insyn till ögonbotten) ska undersökas omgående.</w:t>
      </w:r>
    </w:p>
    <w:p w14:paraId="4A9EFDCC" w14:textId="5C52562F" w:rsidR="0021795B" w:rsidRDefault="00A91E92" w:rsidP="00C1363E">
      <w:pPr>
        <w:pStyle w:val="Liststycke"/>
        <w:numPr>
          <w:ilvl w:val="0"/>
          <w:numId w:val="0"/>
        </w:numPr>
        <w:spacing w:line="276" w:lineRule="auto"/>
        <w:ind w:left="927"/>
      </w:pPr>
      <w:r>
        <w:t>För p</w:t>
      </w:r>
      <w:r w:rsidR="00724A11">
        <w:t xml:space="preserve">atienter som inte kan ange symtom kan ögonundersökningen vänta </w:t>
      </w:r>
      <w:r>
        <w:t>till slutet av den planerade behandlingen.</w:t>
      </w:r>
      <w:r>
        <w:br/>
        <w:t xml:space="preserve">Patienter med neutropeni ska undersökas på nytt när </w:t>
      </w:r>
      <w:proofErr w:type="spellStart"/>
      <w:r>
        <w:t>neutropenin</w:t>
      </w:r>
      <w:proofErr w:type="spellEnd"/>
      <w:r>
        <w:t xml:space="preserve"> är över.</w:t>
      </w:r>
      <w:bookmarkEnd w:id="7"/>
      <w:r w:rsidR="006B6E03">
        <w:br/>
      </w:r>
    </w:p>
    <w:p w14:paraId="67D8DF09" w14:textId="18DD6B91" w:rsidR="00D7478B" w:rsidRDefault="0021795B" w:rsidP="00C1363E">
      <w:pPr>
        <w:pStyle w:val="Liststycke"/>
        <w:numPr>
          <w:ilvl w:val="0"/>
          <w:numId w:val="20"/>
        </w:numPr>
        <w:spacing w:line="276" w:lineRule="auto"/>
      </w:pPr>
      <w:r>
        <w:t>Ultraljudsundersökning av hjärtat</w:t>
      </w:r>
      <w:r w:rsidR="006E3FB0">
        <w:br/>
        <w:t>Endokardit vid jästsvampinfektion i blodet ska utredas med TEE vid</w:t>
      </w:r>
      <w:r w:rsidR="00F46026">
        <w:br/>
        <w:t xml:space="preserve">- </w:t>
      </w:r>
      <w:r w:rsidR="006E3FB0">
        <w:t>persisterande och recidiverande fungemi</w:t>
      </w:r>
      <w:r w:rsidR="00F46026">
        <w:br/>
        <w:t xml:space="preserve">- </w:t>
      </w:r>
      <w:r w:rsidR="006E3FB0">
        <w:t>tidigare endokardit eller hjärtklaffsoperation</w:t>
      </w:r>
      <w:r w:rsidR="00F46026">
        <w:br/>
        <w:t xml:space="preserve">- </w:t>
      </w:r>
      <w:r w:rsidR="006E3FB0" w:rsidRPr="006E3FB0">
        <w:t>CIED (cardiovascular implantable electronic device)</w:t>
      </w:r>
      <w:r w:rsidR="00F46026">
        <w:br/>
        <w:t xml:space="preserve">- </w:t>
      </w:r>
      <w:r w:rsidR="006E3FB0">
        <w:t>nytillkommet blåsljud</w:t>
      </w:r>
      <w:r w:rsidR="00F46026">
        <w:br/>
        <w:t xml:space="preserve">- </w:t>
      </w:r>
      <w:r w:rsidR="006E3FB0">
        <w:t>i</w:t>
      </w:r>
      <w:r w:rsidR="00CB6DE2">
        <w:t>ntra</w:t>
      </w:r>
      <w:r w:rsidR="006E3FB0">
        <w:t>v</w:t>
      </w:r>
      <w:r w:rsidR="00CB6DE2">
        <w:t>enös</w:t>
      </w:r>
      <w:r w:rsidR="006E3FB0">
        <w:t xml:space="preserve"> droganvändning</w:t>
      </w:r>
    </w:p>
    <w:p w14:paraId="60C4CAAD" w14:textId="45BBF87B" w:rsidR="006E3FB0" w:rsidRDefault="00D7478B" w:rsidP="00D7478B">
      <w:pPr>
        <w:spacing w:after="0" w:line="240" w:lineRule="auto"/>
        <w:ind w:left="0" w:right="0"/>
      </w:pPr>
      <w:r>
        <w:br w:type="page"/>
      </w:r>
    </w:p>
    <w:p w14:paraId="7C4AB9FE" w14:textId="76B313AD" w:rsidR="00F46026" w:rsidRPr="00ED64A0" w:rsidRDefault="00CC6E24" w:rsidP="00ED64A0">
      <w:pPr>
        <w:pStyle w:val="Rubrik2"/>
      </w:pPr>
      <w:bookmarkStart w:id="8" w:name="_Toc238216650"/>
      <w:r w:rsidRPr="00F46026">
        <w:lastRenderedPageBreak/>
        <w:t>Invasiv jästsvampinfektion med negativ blododling</w:t>
      </w:r>
      <w:bookmarkEnd w:id="8"/>
    </w:p>
    <w:p w14:paraId="4312CC2D" w14:textId="446F48DA" w:rsidR="00CC6E24" w:rsidRDefault="00CC6E24" w:rsidP="00464F85">
      <w:pPr>
        <w:spacing w:line="276" w:lineRule="auto"/>
      </w:pPr>
      <w:r>
        <w:t xml:space="preserve">Behandlingsindikation föreligger vid fynd av positiv odling från </w:t>
      </w:r>
      <w:r w:rsidR="00F46026">
        <w:br/>
        <w:t xml:space="preserve">- </w:t>
      </w:r>
      <w:r>
        <w:t>normalt steril vätska som likvor, led- eller pleuravätska eller ascites/peritonealdialysvätska vid peritonit</w:t>
      </w:r>
      <w:r w:rsidR="00F46026">
        <w:br/>
        <w:t xml:space="preserve">- </w:t>
      </w:r>
      <w:r>
        <w:t>prov taget vid punktion av icke dränerad abscess</w:t>
      </w:r>
      <w:r w:rsidR="00F46026">
        <w:br/>
        <w:t xml:space="preserve">- </w:t>
      </w:r>
      <w:r>
        <w:t xml:space="preserve">vävnadsbiopsi från </w:t>
      </w:r>
      <w:r w:rsidR="00DC39D6">
        <w:t xml:space="preserve">normalt </w:t>
      </w:r>
      <w:r>
        <w:t>steril lokal</w:t>
      </w:r>
    </w:p>
    <w:p w14:paraId="545F9B65" w14:textId="43F97DA6" w:rsidR="00DC39D6" w:rsidRPr="006E3FB0" w:rsidRDefault="00DC39D6" w:rsidP="00ED64A0">
      <w:pPr>
        <w:pStyle w:val="Rubrik3"/>
      </w:pPr>
      <w:r w:rsidRPr="006E3FB0">
        <w:t>Åtgärder</w:t>
      </w:r>
    </w:p>
    <w:p w14:paraId="6327C447" w14:textId="35BBFEAD" w:rsidR="00DC39D6" w:rsidRDefault="00DC39D6" w:rsidP="00EA4E8E">
      <w:pPr>
        <w:pStyle w:val="Liststycke"/>
        <w:numPr>
          <w:ilvl w:val="0"/>
          <w:numId w:val="20"/>
        </w:numPr>
        <w:spacing w:line="276" w:lineRule="auto"/>
      </w:pPr>
      <w:r>
        <w:t>Upprepa blododlingar</w:t>
      </w:r>
      <w:r w:rsidR="005F7E24">
        <w:t>, om positiv se ovan!</w:t>
      </w:r>
    </w:p>
    <w:p w14:paraId="4CC4EE04" w14:textId="0825F9A9" w:rsidR="00F46026" w:rsidRDefault="00DC39D6" w:rsidP="00EA4E8E">
      <w:pPr>
        <w:pStyle w:val="Liststycke"/>
        <w:numPr>
          <w:ilvl w:val="0"/>
          <w:numId w:val="20"/>
        </w:numPr>
        <w:spacing w:line="276" w:lineRule="auto"/>
      </w:pPr>
      <w:r>
        <w:t>Ombesörj att art och resistensbestämning utförs</w:t>
      </w:r>
    </w:p>
    <w:p w14:paraId="1AD37857" w14:textId="33E76E76" w:rsidR="00F46026" w:rsidRDefault="00DC39D6" w:rsidP="00EA4E8E">
      <w:pPr>
        <w:pStyle w:val="Liststycke"/>
        <w:numPr>
          <w:ilvl w:val="0"/>
          <w:numId w:val="20"/>
        </w:numPr>
        <w:spacing w:line="276" w:lineRule="auto"/>
      </w:pPr>
      <w:r>
        <w:t>Utför åtgärd för source control om det inte redan gjorts</w:t>
      </w:r>
    </w:p>
    <w:p w14:paraId="2009F1F4" w14:textId="508562D5" w:rsidR="00DC39D6" w:rsidRDefault="00DC39D6" w:rsidP="00EA4E8E">
      <w:pPr>
        <w:pStyle w:val="Liststycke"/>
        <w:numPr>
          <w:ilvl w:val="0"/>
          <w:numId w:val="20"/>
        </w:numPr>
        <w:spacing w:line="276" w:lineRule="auto"/>
      </w:pPr>
      <w:r>
        <w:t>Starta behandling med i v echinocandin (Cancidas 70 mg x 1 första dygnet därefter 50 mg x 1 (70 mg x 1 om vikt &gt;80 kg))</w:t>
      </w:r>
    </w:p>
    <w:p w14:paraId="7FF6AF72" w14:textId="282D6789" w:rsidR="00F46026" w:rsidRDefault="00F46026" w:rsidP="00EA4E8E">
      <w:pPr>
        <w:pStyle w:val="Liststycke"/>
        <w:numPr>
          <w:ilvl w:val="0"/>
          <w:numId w:val="20"/>
        </w:numPr>
        <w:spacing w:line="276" w:lineRule="auto"/>
      </w:pPr>
      <w:r>
        <w:t>Gå över till peroral azolbehandling (Flukonazol 800 mg x 1 första dygnet, därefter 400 mg x 1) efter svar på art- och resistensbestämning</w:t>
      </w:r>
      <w:r w:rsidR="005F7E24">
        <w:br/>
        <w:t>(om annan art än candida albicans eller om resistens är voriconazole oftast alternativet)</w:t>
      </w:r>
    </w:p>
    <w:p w14:paraId="2698F742" w14:textId="2681E856" w:rsidR="00965B33" w:rsidRDefault="00965B33" w:rsidP="00EA4E8E">
      <w:pPr>
        <w:pStyle w:val="Liststycke"/>
        <w:numPr>
          <w:ilvl w:val="0"/>
          <w:numId w:val="20"/>
        </w:numPr>
        <w:spacing w:line="276" w:lineRule="auto"/>
      </w:pPr>
      <w:r>
        <w:t>Behandlingstidens längd bestäms av förlopp, möjlighet till source control och avlägsnande av främmande material som katetrar och drän</w:t>
      </w:r>
      <w:r w:rsidR="005F7E24">
        <w:t>.</w:t>
      </w:r>
      <w:r w:rsidR="005F7E24">
        <w:br/>
        <w:t>Om man har source control och inga drän/katetrar kvar kan man avsluta efter 14 dagar.</w:t>
      </w:r>
    </w:p>
    <w:p w14:paraId="267A61C5" w14:textId="77777777" w:rsidR="00D7478B" w:rsidRDefault="00D7478B">
      <w:pPr>
        <w:spacing w:after="0" w:line="240" w:lineRule="auto"/>
        <w:ind w:left="0" w:right="0"/>
        <w:rPr>
          <w:rFonts w:ascii="Verdana" w:eastAsiaTheme="majorEastAsia" w:hAnsi="Verdana" w:cstheme="majorBidi"/>
          <w:bCs/>
          <w:color w:val="000000" w:themeColor="text1"/>
          <w:sz w:val="28"/>
        </w:rPr>
      </w:pPr>
      <w:r>
        <w:br w:type="page"/>
      </w:r>
    </w:p>
    <w:p w14:paraId="73950126" w14:textId="573850A3" w:rsidR="00DC39D6" w:rsidRDefault="00DC39D6" w:rsidP="00EA4E8E">
      <w:pPr>
        <w:pStyle w:val="Rubrik2"/>
      </w:pPr>
      <w:r>
        <w:lastRenderedPageBreak/>
        <w:br/>
      </w:r>
      <w:bookmarkStart w:id="9" w:name="_Toc238216651"/>
      <w:r w:rsidR="009B22E1" w:rsidRPr="008F3228">
        <w:t>Empirisk behandling av misstänkt jästsvampinfektion</w:t>
      </w:r>
      <w:bookmarkEnd w:id="9"/>
    </w:p>
    <w:p w14:paraId="6BB625DB" w14:textId="0ED223BB" w:rsidR="00780D2E" w:rsidRDefault="008F3228" w:rsidP="005034B2">
      <w:pPr>
        <w:pStyle w:val="Normalefterlista"/>
        <w:spacing w:line="276" w:lineRule="auto"/>
      </w:pPr>
      <w:r>
        <w:t xml:space="preserve">Hos en icke </w:t>
      </w:r>
      <w:proofErr w:type="spellStart"/>
      <w:r>
        <w:t>neutropen</w:t>
      </w:r>
      <w:proofErr w:type="spellEnd"/>
      <w:r>
        <w:t xml:space="preserve"> patient</w:t>
      </w:r>
      <w:r>
        <w:br/>
        <w:t>- med antibiotikarefraktär feber</w:t>
      </w:r>
      <w:r>
        <w:br/>
        <w:t>- som är koloniserad med jästsvamp</w:t>
      </w:r>
      <w:r>
        <w:br/>
        <w:t>- har multipla riskfaktorer och</w:t>
      </w:r>
      <w:r>
        <w:br/>
        <w:t>- septisk chock (oftast i form av pågående vasopressorbehandling)</w:t>
      </w:r>
      <w:r>
        <w:br/>
        <w:t>kan empirisk behandling övervägas</w:t>
      </w:r>
    </w:p>
    <w:p w14:paraId="5FFD04DE" w14:textId="7F1C1135" w:rsidR="00E20AB3" w:rsidRDefault="00F5081C" w:rsidP="005034B2">
      <w:pPr>
        <w:pStyle w:val="MellanrubrikVGR"/>
        <w:ind w:right="-143"/>
      </w:pPr>
      <w:r w:rsidRPr="006E3FB0">
        <w:t>Åtgärder</w:t>
      </w:r>
    </w:p>
    <w:p w14:paraId="64643AB7" w14:textId="70E9CAA8" w:rsidR="00184B24" w:rsidRDefault="008F3228" w:rsidP="00C53DD6">
      <w:pPr>
        <w:pStyle w:val="Liststycke"/>
        <w:numPr>
          <w:ilvl w:val="0"/>
          <w:numId w:val="26"/>
        </w:numPr>
        <w:spacing w:line="276" w:lineRule="auto"/>
        <w:ind w:left="993"/>
      </w:pPr>
      <w:r>
        <w:t>Utöver blododling och diagnostiska åtgärder för att påvisa fokal infektion ska det tas 2 prov för betaglukan</w:t>
      </w:r>
      <w:r w:rsidR="00CF168E">
        <w:t xml:space="preserve"> med 2 – 3 dagars mellanrum</w:t>
      </w:r>
      <w:r>
        <w:t>.</w:t>
      </w:r>
    </w:p>
    <w:p w14:paraId="28293864" w14:textId="541091B5" w:rsidR="008F1208" w:rsidRDefault="00184B24" w:rsidP="00C53DD6">
      <w:pPr>
        <w:pStyle w:val="Liststycke"/>
        <w:numPr>
          <w:ilvl w:val="0"/>
          <w:numId w:val="25"/>
        </w:numPr>
        <w:spacing w:line="276" w:lineRule="auto"/>
        <w:ind w:left="993"/>
      </w:pPr>
      <w:r>
        <w:t>Om patienten är koloniserad med non albicans eller det finns nedsatt känslighet för f</w:t>
      </w:r>
      <w:r w:rsidR="00780D2E">
        <w:t>l</w:t>
      </w:r>
      <w:r>
        <w:t>u</w:t>
      </w:r>
      <w:r w:rsidR="00780D2E">
        <w:t>k</w:t>
      </w:r>
      <w:r>
        <w:t>onazol väljs echinocandin. Flukonazol kan vara ett alternativ om patienten är koloniserad med flukonazolkänslig stam.</w:t>
      </w:r>
    </w:p>
    <w:p w14:paraId="05EAD190" w14:textId="1AB29E34" w:rsidR="008F1208" w:rsidRDefault="008F3228" w:rsidP="00C53DD6">
      <w:pPr>
        <w:pStyle w:val="Liststycke"/>
        <w:numPr>
          <w:ilvl w:val="0"/>
          <w:numId w:val="25"/>
        </w:numPr>
        <w:spacing w:line="276" w:lineRule="auto"/>
        <w:ind w:left="993"/>
      </w:pPr>
      <w:r>
        <w:t xml:space="preserve">Om </w:t>
      </w:r>
      <w:r w:rsidR="00184B24">
        <w:t>betaglukan är negativt kan behandlingen avslutas.</w:t>
      </w:r>
    </w:p>
    <w:p w14:paraId="6B0D7505" w14:textId="516BF560" w:rsidR="00CF168E" w:rsidRDefault="00184B24" w:rsidP="00C53DD6">
      <w:pPr>
        <w:pStyle w:val="Liststycke"/>
        <w:numPr>
          <w:ilvl w:val="0"/>
          <w:numId w:val="25"/>
        </w:numPr>
        <w:spacing w:line="276" w:lineRule="auto"/>
        <w:ind w:left="993"/>
      </w:pPr>
      <w:r>
        <w:t xml:space="preserve">Om betaglukan är positivt och patienten förbättras kan behandlingen avslutas efter </w:t>
      </w:r>
      <w:r w:rsidR="00CF168E">
        <w:t xml:space="preserve">max </w:t>
      </w:r>
      <w:r>
        <w:t>14 dagar.</w:t>
      </w:r>
    </w:p>
    <w:p w14:paraId="649727E3" w14:textId="79457E56" w:rsidR="00CC6E24" w:rsidRPr="00AB3E66" w:rsidRDefault="00184B24" w:rsidP="00C53DD6">
      <w:pPr>
        <w:pStyle w:val="Liststycke"/>
        <w:numPr>
          <w:ilvl w:val="0"/>
          <w:numId w:val="25"/>
        </w:numPr>
        <w:spacing w:line="276" w:lineRule="auto"/>
        <w:ind w:left="993"/>
      </w:pPr>
      <w:r>
        <w:t>Betaglukan kan inte användas för att följa förloppet eller beslut avseende behandlingens avslutande.</w:t>
      </w:r>
    </w:p>
    <w:p w14:paraId="188AE2C8" w14:textId="77777777" w:rsidR="009A32ED" w:rsidRPr="00CD3396" w:rsidRDefault="009A32ED" w:rsidP="00CD3396">
      <w:pPr>
        <w:pStyle w:val="Rubrik2"/>
      </w:pPr>
      <w:bookmarkStart w:id="10" w:name="_Toc100327195"/>
      <w:bookmarkStart w:id="11" w:name="_Toc238216652"/>
      <w:r w:rsidRPr="00CD3396">
        <w:t>Källförteckning</w:t>
      </w:r>
      <w:bookmarkEnd w:id="10"/>
      <w:bookmarkEnd w:id="11"/>
    </w:p>
    <w:p w14:paraId="7A8928C2" w14:textId="35E81EDB" w:rsidR="00CB0DEE" w:rsidRPr="00CD3396" w:rsidRDefault="00CB0DEE" w:rsidP="00C53DD6">
      <w:pPr>
        <w:pStyle w:val="Liststycke"/>
        <w:numPr>
          <w:ilvl w:val="0"/>
          <w:numId w:val="27"/>
        </w:numPr>
        <w:ind w:left="993" w:right="-143"/>
        <w:rPr>
          <w:lang w:val="en-US"/>
        </w:rPr>
      </w:pPr>
      <w:hyperlink r:id="rId7" w:history="1">
        <w:r w:rsidRPr="00CD3396">
          <w:rPr>
            <w:rStyle w:val="Hyperlnk"/>
            <w:lang w:val="en-US"/>
          </w:rPr>
          <w:t>Global guideline for the diagnosis and management of candidiasis: an initiative of the ECMM in cooperation with ISHAM and ASM – The Lancet Infectious Diseases</w:t>
        </w:r>
      </w:hyperlink>
    </w:p>
    <w:p w14:paraId="5DECCC53" w14:textId="4ECD21D3" w:rsidR="00CB0DEE" w:rsidRPr="00CD3396" w:rsidRDefault="00CB0DEE" w:rsidP="00C53DD6">
      <w:pPr>
        <w:pStyle w:val="Liststycke"/>
        <w:numPr>
          <w:ilvl w:val="0"/>
          <w:numId w:val="27"/>
        </w:numPr>
        <w:ind w:left="993" w:right="-143"/>
        <w:rPr>
          <w:lang w:val="en-US"/>
        </w:rPr>
      </w:pPr>
      <w:hyperlink r:id="rId8" w:history="1">
        <w:r w:rsidRPr="00CD3396">
          <w:rPr>
            <w:rStyle w:val="Hyperlnk"/>
            <w:lang w:val="en-US"/>
          </w:rPr>
          <w:t>Management of candidemia and invasive candidiasis in adults - UpToDate</w:t>
        </w:r>
      </w:hyperlink>
    </w:p>
    <w:p w14:paraId="4136EB40" w14:textId="70268E65" w:rsidR="00D95337" w:rsidRPr="00D95337" w:rsidRDefault="00D95337" w:rsidP="00C53DD6">
      <w:pPr>
        <w:pStyle w:val="Liststycke"/>
        <w:numPr>
          <w:ilvl w:val="0"/>
          <w:numId w:val="27"/>
        </w:numPr>
        <w:ind w:left="993" w:right="-143"/>
      </w:pPr>
      <w:hyperlink r:id="rId9" w:history="1">
        <w:r w:rsidRPr="00D95337">
          <w:rPr>
            <w:rStyle w:val="Hyperlnk"/>
          </w:rPr>
          <w:t>Svampinfektioner (invasiva), behandling - Internetmedicin</w:t>
        </w:r>
      </w:hyperlink>
    </w:p>
    <w:p w14:paraId="148602E9" w14:textId="77777777" w:rsidR="00D95337" w:rsidRPr="00CB0DEE" w:rsidRDefault="00D95337" w:rsidP="00CB0DEE">
      <w:pPr>
        <w:ind w:right="-143"/>
      </w:pPr>
    </w:p>
    <w:sectPr w:rsidR="00D95337" w:rsidRPr="00CB0DEE" w:rsidSect="00661AF0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1418" w:right="992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661AC" w14:textId="77777777" w:rsidR="001D2910" w:rsidRDefault="001D2910">
      <w:r>
        <w:separator/>
      </w:r>
    </w:p>
  </w:endnote>
  <w:endnote w:type="continuationSeparator" w:id="0">
    <w:p w14:paraId="2E138167" w14:textId="77777777" w:rsidR="001D2910" w:rsidRDefault="001D2910">
      <w:r>
        <w:continuationSeparator/>
      </w:r>
    </w:p>
  </w:endnote>
  <w:endnote w:type="continuationNotice" w:id="1">
    <w:p w14:paraId="75D830A7" w14:textId="77777777" w:rsidR="001D2910" w:rsidRDefault="001D291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66F4EBFA" w:rsidR="00C50EE5" w:rsidRPr="00831C35" w:rsidRDefault="001D291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EndPr/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201F9" w14:textId="77777777" w:rsidR="001D2910" w:rsidRDefault="001D2910"/>
  </w:footnote>
  <w:footnote w:type="continuationSeparator" w:id="0">
    <w:p w14:paraId="61D96193" w14:textId="77777777" w:rsidR="001D2910" w:rsidRDefault="001D2910">
      <w:r>
        <w:continuationSeparator/>
      </w:r>
    </w:p>
  </w:footnote>
  <w:footnote w:type="continuationNotice" w:id="1">
    <w:p w14:paraId="56ED1A1A" w14:textId="77777777" w:rsidR="001D2910" w:rsidRDefault="001D291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AC78E0"/>
    <w:multiLevelType w:val="hybridMultilevel"/>
    <w:tmpl w:val="F0D4A41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AAA173C"/>
    <w:multiLevelType w:val="hybridMultilevel"/>
    <w:tmpl w:val="BD7A9B0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8895916"/>
    <w:multiLevelType w:val="hybridMultilevel"/>
    <w:tmpl w:val="ECF875F2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FD42661"/>
    <w:multiLevelType w:val="hybridMultilevel"/>
    <w:tmpl w:val="2076A5EE"/>
    <w:lvl w:ilvl="0" w:tplc="041D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EC7447F"/>
    <w:multiLevelType w:val="hybridMultilevel"/>
    <w:tmpl w:val="F47CE8DC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F0C1904"/>
    <w:multiLevelType w:val="hybridMultilevel"/>
    <w:tmpl w:val="6CC095E4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6E8521A6"/>
    <w:multiLevelType w:val="hybridMultilevel"/>
    <w:tmpl w:val="21F400CA"/>
    <w:lvl w:ilvl="0" w:tplc="041D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4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24"/>
  </w:num>
  <w:num w:numId="2" w16cid:durableId="1367871050">
    <w:abstractNumId w:val="18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2"/>
  </w:num>
  <w:num w:numId="6" w16cid:durableId="444931515">
    <w:abstractNumId w:val="3"/>
  </w:num>
  <w:num w:numId="7" w16cid:durableId="739910959">
    <w:abstractNumId w:val="15"/>
  </w:num>
  <w:num w:numId="8" w16cid:durableId="391579451">
    <w:abstractNumId w:val="12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17"/>
  </w:num>
  <w:num w:numId="14" w16cid:durableId="36130748">
    <w:abstractNumId w:val="13"/>
  </w:num>
  <w:num w:numId="15" w16cid:durableId="560679449">
    <w:abstractNumId w:val="9"/>
  </w:num>
  <w:num w:numId="16" w16cid:durableId="1420566503">
    <w:abstractNumId w:val="16"/>
  </w:num>
  <w:num w:numId="17" w16cid:durableId="256527698">
    <w:abstractNumId w:val="6"/>
  </w:num>
  <w:num w:numId="18" w16cid:durableId="1090539201">
    <w:abstractNumId w:val="14"/>
  </w:num>
  <w:num w:numId="19" w16cid:durableId="1846439597">
    <w:abstractNumId w:val="23"/>
  </w:num>
  <w:num w:numId="20" w16cid:durableId="454980480">
    <w:abstractNumId w:val="11"/>
  </w:num>
  <w:num w:numId="21" w16cid:durableId="905527275">
    <w:abstractNumId w:val="19"/>
  </w:num>
  <w:num w:numId="22" w16cid:durableId="2069110529">
    <w:abstractNumId w:val="7"/>
  </w:num>
  <w:num w:numId="23" w16cid:durableId="2090032178">
    <w:abstractNumId w:val="17"/>
  </w:num>
  <w:num w:numId="24" w16cid:durableId="350374694">
    <w:abstractNumId w:val="10"/>
  </w:num>
  <w:num w:numId="25" w16cid:durableId="1383746066">
    <w:abstractNumId w:val="20"/>
  </w:num>
  <w:num w:numId="26" w16cid:durableId="2093815718">
    <w:abstractNumId w:val="2"/>
  </w:num>
  <w:num w:numId="27" w16cid:durableId="18692913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E1E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C3E2A"/>
    <w:rsid w:val="000E3616"/>
    <w:rsid w:val="000E463B"/>
    <w:rsid w:val="000E5A7E"/>
    <w:rsid w:val="000F43A3"/>
    <w:rsid w:val="000F7681"/>
    <w:rsid w:val="000F788F"/>
    <w:rsid w:val="000F7D0E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4B24"/>
    <w:rsid w:val="001860B9"/>
    <w:rsid w:val="00186F2B"/>
    <w:rsid w:val="001874D6"/>
    <w:rsid w:val="0019632A"/>
    <w:rsid w:val="001A4E7C"/>
    <w:rsid w:val="001B762C"/>
    <w:rsid w:val="001C4D0A"/>
    <w:rsid w:val="001C5FEF"/>
    <w:rsid w:val="001D2910"/>
    <w:rsid w:val="001D7E5F"/>
    <w:rsid w:val="001E3789"/>
    <w:rsid w:val="00211487"/>
    <w:rsid w:val="00211D91"/>
    <w:rsid w:val="00216043"/>
    <w:rsid w:val="0021795B"/>
    <w:rsid w:val="00217DEC"/>
    <w:rsid w:val="00235B57"/>
    <w:rsid w:val="00241837"/>
    <w:rsid w:val="00241CA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123F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1256"/>
    <w:rsid w:val="002D6023"/>
    <w:rsid w:val="002E263F"/>
    <w:rsid w:val="002E4648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C99"/>
    <w:rsid w:val="00345EB1"/>
    <w:rsid w:val="00350CC4"/>
    <w:rsid w:val="00360E0D"/>
    <w:rsid w:val="0036357D"/>
    <w:rsid w:val="0036594C"/>
    <w:rsid w:val="00367D19"/>
    <w:rsid w:val="00371BED"/>
    <w:rsid w:val="00377992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B25"/>
    <w:rsid w:val="003D6DF1"/>
    <w:rsid w:val="003E0705"/>
    <w:rsid w:val="003E2FF7"/>
    <w:rsid w:val="003F1013"/>
    <w:rsid w:val="003F1ACF"/>
    <w:rsid w:val="00404948"/>
    <w:rsid w:val="00406BEA"/>
    <w:rsid w:val="00406DA5"/>
    <w:rsid w:val="00413A60"/>
    <w:rsid w:val="004230F7"/>
    <w:rsid w:val="0043167E"/>
    <w:rsid w:val="0043409A"/>
    <w:rsid w:val="004347CD"/>
    <w:rsid w:val="00446255"/>
    <w:rsid w:val="00451935"/>
    <w:rsid w:val="00460ED0"/>
    <w:rsid w:val="00464F85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94D66"/>
    <w:rsid w:val="004A355D"/>
    <w:rsid w:val="004A4970"/>
    <w:rsid w:val="004B2183"/>
    <w:rsid w:val="004B2A01"/>
    <w:rsid w:val="004B59B2"/>
    <w:rsid w:val="004C3536"/>
    <w:rsid w:val="004D7BA3"/>
    <w:rsid w:val="004E1F0F"/>
    <w:rsid w:val="004F4518"/>
    <w:rsid w:val="004F4C62"/>
    <w:rsid w:val="00501433"/>
    <w:rsid w:val="005034B2"/>
    <w:rsid w:val="00511CC4"/>
    <w:rsid w:val="00511E12"/>
    <w:rsid w:val="00531E60"/>
    <w:rsid w:val="00541D07"/>
    <w:rsid w:val="00544BAB"/>
    <w:rsid w:val="00545F31"/>
    <w:rsid w:val="00551256"/>
    <w:rsid w:val="005578FA"/>
    <w:rsid w:val="00565129"/>
    <w:rsid w:val="00565CD0"/>
    <w:rsid w:val="005667E2"/>
    <w:rsid w:val="00567820"/>
    <w:rsid w:val="0057277B"/>
    <w:rsid w:val="005770AD"/>
    <w:rsid w:val="00580358"/>
    <w:rsid w:val="00581414"/>
    <w:rsid w:val="005815CE"/>
    <w:rsid w:val="00582490"/>
    <w:rsid w:val="00597E28"/>
    <w:rsid w:val="005A54ED"/>
    <w:rsid w:val="005A5D5B"/>
    <w:rsid w:val="005A6081"/>
    <w:rsid w:val="005A627D"/>
    <w:rsid w:val="005B3253"/>
    <w:rsid w:val="005C0045"/>
    <w:rsid w:val="005C084E"/>
    <w:rsid w:val="005C4606"/>
    <w:rsid w:val="005D0B0C"/>
    <w:rsid w:val="005E02B3"/>
    <w:rsid w:val="005E1E24"/>
    <w:rsid w:val="005F7E24"/>
    <w:rsid w:val="0060596B"/>
    <w:rsid w:val="00606D97"/>
    <w:rsid w:val="00614E64"/>
    <w:rsid w:val="00615BD9"/>
    <w:rsid w:val="00617710"/>
    <w:rsid w:val="00617EE6"/>
    <w:rsid w:val="0062184C"/>
    <w:rsid w:val="00623724"/>
    <w:rsid w:val="00627BEA"/>
    <w:rsid w:val="006319DB"/>
    <w:rsid w:val="00647071"/>
    <w:rsid w:val="00650E84"/>
    <w:rsid w:val="0065595B"/>
    <w:rsid w:val="00656DCD"/>
    <w:rsid w:val="00660269"/>
    <w:rsid w:val="00661AF0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6E03"/>
    <w:rsid w:val="006C5048"/>
    <w:rsid w:val="006C6A4B"/>
    <w:rsid w:val="006C779F"/>
    <w:rsid w:val="006D01F5"/>
    <w:rsid w:val="006D0CFB"/>
    <w:rsid w:val="006D30C0"/>
    <w:rsid w:val="006D6741"/>
    <w:rsid w:val="006D7535"/>
    <w:rsid w:val="006E3FB0"/>
    <w:rsid w:val="006E450B"/>
    <w:rsid w:val="006F0D7E"/>
    <w:rsid w:val="006F1B1B"/>
    <w:rsid w:val="00710B77"/>
    <w:rsid w:val="007155D5"/>
    <w:rsid w:val="0071640C"/>
    <w:rsid w:val="0072075B"/>
    <w:rsid w:val="007221C2"/>
    <w:rsid w:val="00724A11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0D2E"/>
    <w:rsid w:val="0078609F"/>
    <w:rsid w:val="007917BA"/>
    <w:rsid w:val="007A334E"/>
    <w:rsid w:val="007A5C6F"/>
    <w:rsid w:val="007A7B1D"/>
    <w:rsid w:val="007B6902"/>
    <w:rsid w:val="007D4241"/>
    <w:rsid w:val="007D4317"/>
    <w:rsid w:val="007D4EA3"/>
    <w:rsid w:val="007F1CFF"/>
    <w:rsid w:val="007F5DD5"/>
    <w:rsid w:val="008038EB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7500E"/>
    <w:rsid w:val="00880E83"/>
    <w:rsid w:val="00892F28"/>
    <w:rsid w:val="008A0C5F"/>
    <w:rsid w:val="008A3DEA"/>
    <w:rsid w:val="008A4EB9"/>
    <w:rsid w:val="008A74C0"/>
    <w:rsid w:val="008B1694"/>
    <w:rsid w:val="008B7B94"/>
    <w:rsid w:val="008C4B27"/>
    <w:rsid w:val="008C7F0C"/>
    <w:rsid w:val="008C7F2A"/>
    <w:rsid w:val="008D124E"/>
    <w:rsid w:val="008D4B13"/>
    <w:rsid w:val="008D6B0F"/>
    <w:rsid w:val="008E36F8"/>
    <w:rsid w:val="008E46B2"/>
    <w:rsid w:val="008E682C"/>
    <w:rsid w:val="008E78A1"/>
    <w:rsid w:val="008F1208"/>
    <w:rsid w:val="008F3228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1540"/>
    <w:rsid w:val="00942257"/>
    <w:rsid w:val="009471BF"/>
    <w:rsid w:val="00950E4E"/>
    <w:rsid w:val="009529BD"/>
    <w:rsid w:val="009533B4"/>
    <w:rsid w:val="00957D35"/>
    <w:rsid w:val="00965B33"/>
    <w:rsid w:val="00971D93"/>
    <w:rsid w:val="009915B0"/>
    <w:rsid w:val="009A07DC"/>
    <w:rsid w:val="009A32ED"/>
    <w:rsid w:val="009B1F6B"/>
    <w:rsid w:val="009B22E1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55616"/>
    <w:rsid w:val="00A65FD4"/>
    <w:rsid w:val="00A81198"/>
    <w:rsid w:val="00A81E48"/>
    <w:rsid w:val="00A82035"/>
    <w:rsid w:val="00A90D77"/>
    <w:rsid w:val="00A91E92"/>
    <w:rsid w:val="00A92E07"/>
    <w:rsid w:val="00AA0B3A"/>
    <w:rsid w:val="00AA6EB4"/>
    <w:rsid w:val="00AA767D"/>
    <w:rsid w:val="00AB0CC9"/>
    <w:rsid w:val="00AB3E66"/>
    <w:rsid w:val="00AC3FF6"/>
    <w:rsid w:val="00AD73EC"/>
    <w:rsid w:val="00AD7AD5"/>
    <w:rsid w:val="00AE5BC7"/>
    <w:rsid w:val="00AF5AAF"/>
    <w:rsid w:val="00AF68CE"/>
    <w:rsid w:val="00AF7CA0"/>
    <w:rsid w:val="00B046D8"/>
    <w:rsid w:val="00B13F4C"/>
    <w:rsid w:val="00B14487"/>
    <w:rsid w:val="00B16219"/>
    <w:rsid w:val="00B16C59"/>
    <w:rsid w:val="00B308A4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1507"/>
    <w:rsid w:val="00B92C14"/>
    <w:rsid w:val="00B96AFF"/>
    <w:rsid w:val="00B97D4E"/>
    <w:rsid w:val="00BA0066"/>
    <w:rsid w:val="00BB1AC6"/>
    <w:rsid w:val="00BB698F"/>
    <w:rsid w:val="00BB69DB"/>
    <w:rsid w:val="00BC322E"/>
    <w:rsid w:val="00BC44CD"/>
    <w:rsid w:val="00BC48A6"/>
    <w:rsid w:val="00BC6590"/>
    <w:rsid w:val="00BC6D80"/>
    <w:rsid w:val="00BE7978"/>
    <w:rsid w:val="00C01F0D"/>
    <w:rsid w:val="00C07DDB"/>
    <w:rsid w:val="00C1363E"/>
    <w:rsid w:val="00C4115D"/>
    <w:rsid w:val="00C43BDD"/>
    <w:rsid w:val="00C47778"/>
    <w:rsid w:val="00C5011E"/>
    <w:rsid w:val="00C50EE5"/>
    <w:rsid w:val="00C5240A"/>
    <w:rsid w:val="00C5398F"/>
    <w:rsid w:val="00C53DD6"/>
    <w:rsid w:val="00C556F5"/>
    <w:rsid w:val="00C70E19"/>
    <w:rsid w:val="00C72574"/>
    <w:rsid w:val="00C73869"/>
    <w:rsid w:val="00C7430C"/>
    <w:rsid w:val="00C85DA1"/>
    <w:rsid w:val="00C9071C"/>
    <w:rsid w:val="00C908FF"/>
    <w:rsid w:val="00C97BD3"/>
    <w:rsid w:val="00CA133B"/>
    <w:rsid w:val="00CA39EF"/>
    <w:rsid w:val="00CA521F"/>
    <w:rsid w:val="00CB0493"/>
    <w:rsid w:val="00CB0DEE"/>
    <w:rsid w:val="00CB17FF"/>
    <w:rsid w:val="00CB1ED7"/>
    <w:rsid w:val="00CB2CE8"/>
    <w:rsid w:val="00CB6DE2"/>
    <w:rsid w:val="00CC167C"/>
    <w:rsid w:val="00CC52D9"/>
    <w:rsid w:val="00CC6E24"/>
    <w:rsid w:val="00CD3396"/>
    <w:rsid w:val="00CD6647"/>
    <w:rsid w:val="00CE4B73"/>
    <w:rsid w:val="00CE4C36"/>
    <w:rsid w:val="00CE541F"/>
    <w:rsid w:val="00CF168E"/>
    <w:rsid w:val="00CF70BB"/>
    <w:rsid w:val="00D00BD7"/>
    <w:rsid w:val="00D069EF"/>
    <w:rsid w:val="00D074DB"/>
    <w:rsid w:val="00D139CF"/>
    <w:rsid w:val="00D20779"/>
    <w:rsid w:val="00D37E7F"/>
    <w:rsid w:val="00D47AD7"/>
    <w:rsid w:val="00D51529"/>
    <w:rsid w:val="00D611F7"/>
    <w:rsid w:val="00D62468"/>
    <w:rsid w:val="00D67C88"/>
    <w:rsid w:val="00D7478B"/>
    <w:rsid w:val="00D85218"/>
    <w:rsid w:val="00D915B1"/>
    <w:rsid w:val="00D91E18"/>
    <w:rsid w:val="00D95337"/>
    <w:rsid w:val="00DA299D"/>
    <w:rsid w:val="00DA65C4"/>
    <w:rsid w:val="00DC39D6"/>
    <w:rsid w:val="00DE43DE"/>
    <w:rsid w:val="00DE4447"/>
    <w:rsid w:val="00DE5DA2"/>
    <w:rsid w:val="00DE63C6"/>
    <w:rsid w:val="00DF0033"/>
    <w:rsid w:val="00E026BF"/>
    <w:rsid w:val="00E07B1B"/>
    <w:rsid w:val="00E11853"/>
    <w:rsid w:val="00E20AB3"/>
    <w:rsid w:val="00E327DA"/>
    <w:rsid w:val="00E411B6"/>
    <w:rsid w:val="00E41439"/>
    <w:rsid w:val="00E44672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4E8E"/>
    <w:rsid w:val="00EB109E"/>
    <w:rsid w:val="00EB6714"/>
    <w:rsid w:val="00EC0A68"/>
    <w:rsid w:val="00EC3C32"/>
    <w:rsid w:val="00EC5006"/>
    <w:rsid w:val="00ED49C3"/>
    <w:rsid w:val="00ED64A0"/>
    <w:rsid w:val="00ED6CE8"/>
    <w:rsid w:val="00ED7AA6"/>
    <w:rsid w:val="00EE2A56"/>
    <w:rsid w:val="00EE3818"/>
    <w:rsid w:val="00F066B1"/>
    <w:rsid w:val="00F22264"/>
    <w:rsid w:val="00F2564D"/>
    <w:rsid w:val="00F35B05"/>
    <w:rsid w:val="00F413D9"/>
    <w:rsid w:val="00F46026"/>
    <w:rsid w:val="00F5081C"/>
    <w:rsid w:val="00F5135F"/>
    <w:rsid w:val="00F51F78"/>
    <w:rsid w:val="00F74560"/>
    <w:rsid w:val="00F86F47"/>
    <w:rsid w:val="00F90B64"/>
    <w:rsid w:val="00FA1F0A"/>
    <w:rsid w:val="00FB2F0F"/>
    <w:rsid w:val="00FB5086"/>
    <w:rsid w:val="00FB5411"/>
    <w:rsid w:val="00FB6392"/>
    <w:rsid w:val="00FC4F36"/>
    <w:rsid w:val="00FD3C70"/>
    <w:rsid w:val="00FD6820"/>
    <w:rsid w:val="00FE12D8"/>
    <w:rsid w:val="00FF263C"/>
    <w:rsid w:val="00FF3D7A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paragraph" w:styleId="Underrubrik">
    <w:name w:val="Subtitle"/>
    <w:basedOn w:val="Normal"/>
    <w:next w:val="Normal"/>
    <w:link w:val="UnderrubrikChar"/>
    <w:qFormat/>
    <w:rsid w:val="00661AF0"/>
    <w:pPr>
      <w:numPr>
        <w:ilvl w:val="1"/>
      </w:numPr>
      <w:spacing w:after="160"/>
      <w:ind w:left="56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661AF0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CB0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uptodate.com/contents/management-of-candidemia-and-invasive-candidiasis-in-adults?search=invasive%20fungal%20infections&amp;source=search_result&amp;selectedTitle=5~150&amp;usage_type=default&amp;display_rank=5" TargetMode="External" Id="rId8" /><Relationship Type="http://schemas.openxmlformats.org/officeDocument/2006/relationships/header" Target="header2.xml" Id="rId13" /><Relationship Type="http://schemas.openxmlformats.org/officeDocument/2006/relationships/settings" Target="settings.xml" Id="rId3" /><Relationship Type="http://schemas.openxmlformats.org/officeDocument/2006/relationships/hyperlink" Target="https://www.thelancet.com/journals/laninf/article/PIIS1473-3099(24)00749-7/fulltext" TargetMode="External" Id="rId7" /><Relationship Type="http://schemas.openxmlformats.org/officeDocument/2006/relationships/footer" Target="footer2.xml" Id="rId12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hyperlink" Target="https://www.internetmedicin.se/infektionssjukdomar/svampinfektioner-invasiva-behandling" TargetMode="External" Id="rId9" /><Relationship Type="http://schemas.openxmlformats.org/officeDocument/2006/relationships/footer" Target="footer3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977</Words>
  <Characters>6010</Characters>
  <Application>Microsoft Office Word</Application>
  <DocSecurity>0</DocSecurity>
  <Lines>150</Lines>
  <Paragraphs>66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6921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Jästsvampinfektion invasiv hos vuxna - Handläggningsstöd för infektionskonsult</dc:title>
  <dc:subject/>
  <dc:creator/>
  <keywords/>
  <lastModifiedBy/>
  <revision>1</revision>
  <dcterms:created xsi:type="dcterms:W3CDTF">2026-08-21T12:38:00.0000000Z</dcterms:created>
  <dcterms:modified xsi:type="dcterms:W3CDTF">2026-08-21T12:58:00.0000000Z</dcterms:modified>
</coreProperties>
</file>