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B369FC" w14:textId="19B8FD7F" w:rsidR="00184167" w:rsidRDefault="00CF3AEC" w:rsidP="009A32ED">
      <w:pPr>
        <w:pStyle w:val="Rubrik1"/>
      </w:pPr>
      <w:r>
        <w:t>Återrapportering av blodkomponenter samt förvaring av använda blodkomponenter på avdelning 27</w:t>
      </w:r>
      <w:bookmarkStart w:id="0" w:name="_Toc321146591"/>
    </w:p>
    <w:p w14:paraId="2C03D713" w14:textId="77777777" w:rsidR="00CF3AEC" w:rsidRDefault="00CF3AEC" w:rsidP="009A32ED">
      <w:pPr>
        <w:pStyle w:val="Rubrik2"/>
        <w:ind w:right="-143"/>
      </w:pPr>
      <w:bookmarkStart w:id="1" w:name="_Toc100327184"/>
      <w:bookmarkStart w:id="2" w:name="_Toc181866756"/>
      <w:bookmarkEnd w:id="0"/>
      <w:r>
        <w:t>Bakgrund</w:t>
      </w:r>
    </w:p>
    <w:bookmarkEnd w:id="1"/>
    <w:bookmarkEnd w:id="2"/>
    <w:p w14:paraId="0227A1FB" w14:textId="77777777" w:rsidR="00CF3AEC" w:rsidRPr="00CF3AEC" w:rsidRDefault="00CF3AEC" w:rsidP="00CF3AEC">
      <w:pPr>
        <w:ind w:right="-143"/>
      </w:pPr>
      <w:r w:rsidRPr="00CF3AEC">
        <w:t xml:space="preserve">I EU-direktiv 2002/98/EC, kommissionsdirektiv och SOSFS 2009:29 finns krav på att en vårdgivare ska ha rutiner för rapportering av transfusion eller annan slutlig användning av en utlämnad blodenhet till blodcentralen. Enligt SOSFS 2009:28 ska en blodcentral ha rutiner för att motta en rapport om slutlig användning av en blodenhet. </w:t>
      </w:r>
    </w:p>
    <w:p w14:paraId="3D54EAF7" w14:textId="52C09B53" w:rsidR="009A32ED" w:rsidRDefault="00CF3AEC" w:rsidP="009A32ED">
      <w:pPr>
        <w:pStyle w:val="Rubrik2"/>
        <w:ind w:right="-143"/>
      </w:pPr>
      <w:bookmarkStart w:id="3" w:name="_Toc100327185"/>
      <w:bookmarkStart w:id="4" w:name="_Toc181866757"/>
      <w:bookmarkStart w:id="5" w:name="_Toc72840807"/>
      <w:r>
        <w:t>Återrapportering</w:t>
      </w:r>
      <w:bookmarkEnd w:id="3"/>
      <w:bookmarkEnd w:id="4"/>
    </w:p>
    <w:p w14:paraId="7A487AD3" w14:textId="33F26635" w:rsidR="00CF3AEC" w:rsidRPr="00CF3AEC" w:rsidRDefault="00CF3AEC" w:rsidP="00CF3AEC">
      <w:pPr>
        <w:ind w:right="-143"/>
      </w:pPr>
      <w:r w:rsidRPr="00CF3AEC">
        <w:t>Återrapportering av blodkomponenter ska ske i nära anslutning till den slutgiltiga användningen. (Vårdhandboken, SOSFS 2009:12, transfusionsmedicin) Även om pat</w:t>
      </w:r>
      <w:r>
        <w:t>ienten</w:t>
      </w:r>
      <w:r w:rsidRPr="00CF3AEC">
        <w:t xml:space="preserve"> bara fått några droppar blod så räknas detta som ”slutanvändning” (Vårdhandboken, transfusionsmedicin) och ska då rapporteras in till Transfusionsmedicin.</w:t>
      </w:r>
    </w:p>
    <w:p w14:paraId="499CF4D3" w14:textId="7B680C33" w:rsidR="00CF3AEC" w:rsidRPr="00CF3AEC" w:rsidRDefault="00CF3AEC" w:rsidP="00CF3AEC">
      <w:pPr>
        <w:ind w:right="-143"/>
      </w:pPr>
      <w:r w:rsidRPr="00CF3AEC">
        <w:t>Det är den personen som administrerar blodkomponenten, som ska</w:t>
      </w:r>
      <w:r>
        <w:t xml:space="preserve"> </w:t>
      </w:r>
      <w:r w:rsidRPr="00CF3AEC">
        <w:t>återrapportera till transfusionsmedicin.</w:t>
      </w:r>
    </w:p>
    <w:p w14:paraId="2A231A24" w14:textId="77777777" w:rsidR="00CF3AEC" w:rsidRDefault="00CF3AEC" w:rsidP="009A32ED">
      <w:pPr>
        <w:pStyle w:val="Rubrik2"/>
        <w:ind w:right="-143"/>
      </w:pPr>
      <w:bookmarkStart w:id="6" w:name="_Toc100327187"/>
      <w:bookmarkStart w:id="7" w:name="_Toc181866760"/>
      <w:bookmarkEnd w:id="5"/>
      <w:r>
        <w:t>Förvaring</w:t>
      </w:r>
    </w:p>
    <w:bookmarkEnd w:id="6"/>
    <w:bookmarkEnd w:id="7"/>
    <w:p w14:paraId="090386CA" w14:textId="77777777" w:rsidR="00CF3AEC" w:rsidRPr="00CF3AEC" w:rsidRDefault="00CF3AEC" w:rsidP="00CF3AEC">
      <w:pPr>
        <w:ind w:right="-143"/>
      </w:pPr>
      <w:r w:rsidRPr="00CF3AEC">
        <w:t>Enligt vårdhandboken så bör den tomma påsen och aggregat sparas i 4 timmar, dock så räcker det med 2 timmar enligt transfusionsmedicin. Vi följer transfusionsmedicins rekommendation.</w:t>
      </w:r>
    </w:p>
    <w:p w14:paraId="67569792" w14:textId="77777777" w:rsidR="00CF3AEC" w:rsidRPr="00CF3AEC" w:rsidRDefault="00CF3AEC" w:rsidP="00CF3AEC">
      <w:pPr>
        <w:ind w:right="-143"/>
      </w:pPr>
      <w:r w:rsidRPr="00CF3AEC">
        <w:lastRenderedPageBreak/>
        <w:t xml:space="preserve"> Den tomma påsen samt aggregatet bör innehålla ett par ml blod, som vid en eventuell transfusionsreaktion, används för kontroll.</w:t>
      </w:r>
    </w:p>
    <w:p w14:paraId="44D692F0" w14:textId="75CE0F5B" w:rsidR="009A32ED" w:rsidRPr="00065A6B" w:rsidRDefault="00CF3AEC" w:rsidP="009A32ED">
      <w:pPr>
        <w:pStyle w:val="Rubrik2"/>
        <w:ind w:right="-143"/>
        <w:rPr>
          <w:color w:val="auto"/>
        </w:rPr>
      </w:pPr>
      <w:bookmarkStart w:id="8" w:name="_Toc100327192"/>
      <w:bookmarkStart w:id="9" w:name="_Toc181866761"/>
      <w:r>
        <w:rPr>
          <w:color w:val="auto"/>
        </w:rPr>
        <w:t>Reaktion</w:t>
      </w:r>
      <w:bookmarkEnd w:id="8"/>
      <w:bookmarkEnd w:id="9"/>
    </w:p>
    <w:p w14:paraId="69A862A2" w14:textId="77777777" w:rsidR="00CF3AEC" w:rsidRPr="00CF3AEC" w:rsidRDefault="00CF3AEC" w:rsidP="00CF3AEC">
      <w:pPr>
        <w:pStyle w:val="MellanrubrikVGR"/>
      </w:pPr>
      <w:r w:rsidRPr="00CF3AEC">
        <w:t>Vid reaktion:</w:t>
      </w:r>
    </w:p>
    <w:p w14:paraId="7BDCD656" w14:textId="77777777" w:rsidR="00CF3AEC" w:rsidRPr="00CF3AEC" w:rsidRDefault="00CF3AEC" w:rsidP="00CF3AEC">
      <w:pPr>
        <w:pStyle w:val="Liststycke"/>
        <w:numPr>
          <w:ilvl w:val="0"/>
          <w:numId w:val="21"/>
        </w:numPr>
        <w:ind w:right="-143"/>
      </w:pPr>
      <w:r w:rsidRPr="00CF3AEC">
        <w:t>Avbryt transfusionen</w:t>
      </w:r>
    </w:p>
    <w:p w14:paraId="62179A40" w14:textId="77777777" w:rsidR="00CF3AEC" w:rsidRPr="00CF3AEC" w:rsidRDefault="00CF3AEC" w:rsidP="00CF3AEC">
      <w:pPr>
        <w:pStyle w:val="Liststycke"/>
        <w:numPr>
          <w:ilvl w:val="0"/>
          <w:numId w:val="21"/>
        </w:numPr>
        <w:ind w:right="-143"/>
      </w:pPr>
      <w:r w:rsidRPr="00CF3AEC">
        <w:t>Kontrollera patientens allmäntillstånd, andning och cirkulation.</w:t>
      </w:r>
    </w:p>
    <w:p w14:paraId="203CA3C0" w14:textId="347B1522" w:rsidR="00CF3AEC" w:rsidRPr="00CF3AEC" w:rsidRDefault="00CF3AEC" w:rsidP="00CF3AEC">
      <w:pPr>
        <w:pStyle w:val="Liststycke"/>
        <w:numPr>
          <w:ilvl w:val="0"/>
          <w:numId w:val="21"/>
        </w:numPr>
        <w:ind w:right="-143"/>
      </w:pPr>
      <w:r w:rsidRPr="00CF3AEC">
        <w:t>Kontakta läkare.</w:t>
      </w:r>
    </w:p>
    <w:p w14:paraId="5162C940" w14:textId="77777777" w:rsidR="00CF3AEC" w:rsidRPr="00CF3AEC" w:rsidRDefault="00CF3AEC" w:rsidP="00CF3AEC">
      <w:pPr>
        <w:pStyle w:val="MellanrubrikVGR"/>
      </w:pPr>
      <w:r w:rsidRPr="00CF3AEC">
        <w:t>För vidare handläggning:</w:t>
      </w:r>
    </w:p>
    <w:p w14:paraId="55CF878C" w14:textId="61DB1ADB" w:rsidR="00CF3AEC" w:rsidRPr="00CF3AEC" w:rsidRDefault="00CF3AEC" w:rsidP="00CF3AEC">
      <w:pPr>
        <w:ind w:right="-143"/>
      </w:pPr>
      <w:hyperlink r:id="rId7" w:history="1">
        <w:r w:rsidRPr="00CF3AEC">
          <w:rPr>
            <w:rStyle w:val="Hyperlnk"/>
          </w:rPr>
          <w:t>Akuta åtgärder vid transfusionsreaktion - Vårdhandboken</w:t>
        </w:r>
      </w:hyperlink>
    </w:p>
    <w:p w14:paraId="49C8296A" w14:textId="3DC3C067" w:rsidR="00CF3AEC" w:rsidRPr="00CF3AEC" w:rsidRDefault="00CF3AEC" w:rsidP="00CF3AEC">
      <w:pPr>
        <w:ind w:right="-143"/>
      </w:pPr>
      <w:hyperlink r:id="rId8" w:history="1">
        <w:r w:rsidRPr="00CF3AEC">
          <w:rPr>
            <w:rStyle w:val="Hyperlnk"/>
          </w:rPr>
          <w:t>Transfusionsreaktioner - NU-sjukvården</w:t>
        </w:r>
      </w:hyperlink>
    </w:p>
    <w:p w14:paraId="51650F7F" w14:textId="77777777" w:rsidR="00CF3AEC" w:rsidRDefault="00CF3AEC" w:rsidP="00CF3AEC">
      <w:pPr>
        <w:pStyle w:val="MellanrubrikVGR"/>
      </w:pPr>
      <w:r w:rsidRPr="00CF3AEC">
        <w:t xml:space="preserve">Rapport transfusionsreaktioner: </w:t>
      </w:r>
    </w:p>
    <w:p w14:paraId="00E6814C" w14:textId="5AC7CB01" w:rsidR="00CF3AEC" w:rsidRPr="00CF3AEC" w:rsidRDefault="00CF3AEC" w:rsidP="00CF3AEC">
      <w:pPr>
        <w:ind w:left="0" w:right="-143" w:firstLine="567"/>
      </w:pPr>
      <w:hyperlink r:id="rId9" w:history="1">
        <w:r w:rsidRPr="00CF3AEC">
          <w:rPr>
            <w:rStyle w:val="Hyperlnk"/>
          </w:rPr>
          <w:t>Rapport Transfusionskomplikation</w:t>
        </w:r>
      </w:hyperlink>
    </w:p>
    <w:sectPr w:rsidR="00CF3AEC" w:rsidRPr="00CF3AEC" w:rsidSect="00B96AFF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C68353" w14:textId="77777777" w:rsidR="00CF3AEC" w:rsidRDefault="00CF3AEC">
      <w:r>
        <w:separator/>
      </w:r>
    </w:p>
  </w:endnote>
  <w:endnote w:type="continuationSeparator" w:id="0">
    <w:p w14:paraId="364807E5" w14:textId="77777777" w:rsidR="00CF3AEC" w:rsidRDefault="00CF3AEC">
      <w:r>
        <w:continuationSeparator/>
      </w:r>
    </w:p>
  </w:endnote>
  <w:endnote w:type="continuationNotice" w:id="1">
    <w:p w14:paraId="7FE3A73B" w14:textId="77777777" w:rsidR="00CF3AEC" w:rsidRDefault="00CF3AE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AE5BAC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43FF99AB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74F1A3" w14:textId="77777777" w:rsidR="00C50EE5" w:rsidRPr="00831C35" w:rsidRDefault="00CF3AEC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37149B" w14:textId="7777777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4172FA66" wp14:editId="72FCE767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965CC6" w14:textId="77777777" w:rsidR="00CF3AEC" w:rsidRDefault="00CF3AEC"/>
  </w:footnote>
  <w:footnote w:type="continuationSeparator" w:id="0">
    <w:p w14:paraId="26A89782" w14:textId="77777777" w:rsidR="00CF3AEC" w:rsidRDefault="00CF3AEC">
      <w:r>
        <w:continuationSeparator/>
      </w:r>
    </w:p>
  </w:footnote>
  <w:footnote w:type="continuationNotice" w:id="1">
    <w:p w14:paraId="3D3D2E3C" w14:textId="77777777" w:rsidR="00CF3AEC" w:rsidRDefault="00CF3AE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32C288" w14:textId="77777777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0125A5B8" wp14:editId="1C534269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B465E24" w14:textId="77777777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0125A5B8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6B465E24" w14:textId="77777777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E9B4E5" w14:textId="77777777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41278352" wp14:editId="23E5C994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78D4763" w14:textId="77777777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1278352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78D4763" w14:textId="77777777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5BC7B1C"/>
    <w:multiLevelType w:val="hybridMultilevel"/>
    <w:tmpl w:val="65EC7624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99F549C"/>
    <w:multiLevelType w:val="hybridMultilevel"/>
    <w:tmpl w:val="3276679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9"/>
  </w:num>
  <w:num w:numId="2" w16cid:durableId="1367871050">
    <w:abstractNumId w:val="15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7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4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3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8"/>
  </w:num>
  <w:num w:numId="20" w16cid:durableId="128398385">
    <w:abstractNumId w:val="16"/>
  </w:num>
  <w:num w:numId="21" w16cid:durableId="184466600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7992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B3253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15A79"/>
    <w:rsid w:val="00921F47"/>
    <w:rsid w:val="009221B4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3AEC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24B7A100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CF3AE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www.nusjukvarden.se/om-nu-sjukvarden/vardgivare/regional-laboratoriemedicin/laboratoriemedicin/transfusionsmedicin/blodkomponenter/transfusionskomplikationer/" TargetMode="External" Id="rId8" /><Relationship Type="http://schemas.openxmlformats.org/officeDocument/2006/relationships/header" Target="header2.xml" Id="rId13" /><Relationship Type="http://schemas.openxmlformats.org/officeDocument/2006/relationships/settings" Target="settings.xml" Id="rId3" /><Relationship Type="http://schemas.openxmlformats.org/officeDocument/2006/relationships/hyperlink" Target="https://www.vardhandboken.se/vard-och-behandling/lakemedelsbehandling/transfusion-av-blodkomponenter/akuta-atgarder-vid-transfusionsreaktion/" TargetMode="External" Id="rId7" /><Relationship Type="http://schemas.openxmlformats.org/officeDocument/2006/relationships/footer" Target="footer2.xml" Id="rId12" /><Relationship Type="http://schemas.openxmlformats.org/officeDocument/2006/relationships/styles" Target="styles.xml" Id="rId2" /><Relationship Type="http://schemas.openxmlformats.org/officeDocument/2006/relationships/theme" Target="theme/theme1.xml" Id="rId16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1.xml" Id="rId11" /><Relationship Type="http://schemas.openxmlformats.org/officeDocument/2006/relationships/footnotes" Target="footnotes.xml" Id="rId5" /><Relationship Type="http://schemas.openxmlformats.org/officeDocument/2006/relationships/fontTable" Target="fontTable.xml" Id="rId15" /><Relationship Type="http://schemas.openxmlformats.org/officeDocument/2006/relationships/header" Target="header1.xml" Id="rId10" /><Relationship Type="http://schemas.openxmlformats.org/officeDocument/2006/relationships/webSettings" Target="webSettings.xml" Id="rId4" /><Relationship Type="http://schemas.openxmlformats.org/officeDocument/2006/relationships/hyperlink" Target="https://mellanarkiv-offentlig.vgregion.se/alfresco/s/archive/stream/public/v1/source/available/sofia/su9273-972575795-143/native/Rapport%20Transfusionskomplikation%201126.pdf" TargetMode="External" Id="rId9" /><Relationship Type="http://schemas.openxmlformats.org/officeDocument/2006/relationships/footer" Target="footer3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187</Words>
  <Characters>1857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2040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Återrapportering av blodkomponenter samt förvaring av använda blodkomponenter på avdelning 27</dc:title>
  <dc:subject/>
  <dc:creator/>
  <keywords/>
  <lastModifiedBy/>
  <revision>1</revision>
  <dcterms:created xsi:type="dcterms:W3CDTF">2025-08-20T14:11:00.0000000Z</dcterms:created>
  <dcterms:modified xsi:type="dcterms:W3CDTF">2025-08-20T14:17:00.0000000Z</dcterms:modified>
</coreProperties>
</file>