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9187248" w:rsidR="00184167" w:rsidRDefault="007F71FE" w:rsidP="00323251">
      <w:pPr>
        <w:pStyle w:val="Rubrik1"/>
        <w:pBdr>
          <w:bottom w:val="single" w:sz="4" w:space="1" w:color="auto"/>
        </w:pBdr>
      </w:pPr>
      <w:bookmarkStart w:id="0" w:name="_Toc321146591"/>
      <w:r>
        <w:t xml:space="preserve">Klorokinfosfat, </w:t>
      </w:r>
      <w:proofErr w:type="spellStart"/>
      <w:r>
        <w:t>Plaquenil</w:t>
      </w:r>
      <w:proofErr w:type="spellEnd"/>
      <w:r>
        <w:t>-Riktlinjer</w:t>
      </w:r>
    </w:p>
    <w:p w14:paraId="79E51928" w14:textId="77777777" w:rsidR="00323251" w:rsidRPr="00323251" w:rsidRDefault="00323251" w:rsidP="00323251"/>
    <w:bookmarkEnd w:id="0"/>
    <w:p w14:paraId="5E46FD99" w14:textId="524841FD" w:rsidR="00323251" w:rsidRPr="00450A9A" w:rsidRDefault="007F71FE" w:rsidP="00323251">
      <w:pPr>
        <w:rPr>
          <w:rFonts w:asciiTheme="majorHAnsi" w:hAnsiTheme="majorHAnsi" w:cstheme="majorHAnsi"/>
          <w:b/>
          <w:sz w:val="26"/>
          <w:szCs w:val="26"/>
        </w:rPr>
      </w:pPr>
      <w:r w:rsidRPr="00450A9A">
        <w:rPr>
          <w:rFonts w:asciiTheme="majorHAnsi" w:hAnsiTheme="majorHAnsi" w:cstheme="majorHAnsi"/>
          <w:b/>
          <w:sz w:val="26"/>
          <w:szCs w:val="26"/>
        </w:rPr>
        <w:t>Bakgrund/Syfte</w:t>
      </w:r>
      <w:r w:rsidR="00656DCD" w:rsidRPr="00450A9A">
        <w:rPr>
          <w:rFonts w:asciiTheme="majorHAnsi" w:hAnsiTheme="majorHAnsi" w:cstheme="majorHAnsi"/>
          <w:b/>
          <w:sz w:val="26"/>
          <w:szCs w:val="26"/>
        </w:rPr>
        <w:t xml:space="preserve"> </w:t>
      </w:r>
    </w:p>
    <w:p w14:paraId="23646DCB" w14:textId="4B5ABAB9" w:rsidR="00450A9A" w:rsidRDefault="00450A9A" w:rsidP="00450A9A">
      <w:r>
        <w:t>Riktlinjen beskriver indikationer, dosering, provtagningsrutiner och ögonkontroller vid behandling med hydroxiklorokin/klorokinfosfat.</w:t>
      </w:r>
    </w:p>
    <w:p w14:paraId="270C78C6" w14:textId="77777777" w:rsidR="00450A9A" w:rsidRPr="00450A9A" w:rsidRDefault="00450A9A" w:rsidP="00450A9A">
      <w:pPr>
        <w:ind w:left="0" w:firstLine="992"/>
        <w:rPr>
          <w:rFonts w:asciiTheme="majorHAnsi" w:hAnsiTheme="majorHAnsi" w:cstheme="majorHAnsi"/>
          <w:b/>
          <w:bCs/>
          <w:sz w:val="26"/>
          <w:szCs w:val="26"/>
        </w:rPr>
      </w:pPr>
      <w:r w:rsidRPr="00450A9A">
        <w:rPr>
          <w:rFonts w:asciiTheme="majorHAnsi" w:hAnsiTheme="majorHAnsi" w:cstheme="majorHAnsi"/>
          <w:b/>
          <w:bCs/>
          <w:sz w:val="26"/>
          <w:szCs w:val="26"/>
        </w:rPr>
        <w:t xml:space="preserve">Arbetsbeskrivning </w:t>
      </w:r>
    </w:p>
    <w:p w14:paraId="23F97F97" w14:textId="77777777" w:rsidR="00450A9A" w:rsidRDefault="00450A9A" w:rsidP="00450A9A">
      <w:r>
        <w:t xml:space="preserve">Hydroxiklorokin/klorokinfosfat används bland annat vid lupus </w:t>
      </w:r>
      <w:proofErr w:type="spellStart"/>
      <w:r>
        <w:t>erytematosus</w:t>
      </w:r>
      <w:proofErr w:type="spellEnd"/>
      <w:r>
        <w:t xml:space="preserve"> (LE) och polymorf </w:t>
      </w:r>
      <w:proofErr w:type="spellStart"/>
      <w:r>
        <w:t>ljusdermatos</w:t>
      </w:r>
      <w:proofErr w:type="spellEnd"/>
      <w:r>
        <w:t xml:space="preserve">. </w:t>
      </w:r>
    </w:p>
    <w:p w14:paraId="6CB1F423" w14:textId="77777777" w:rsidR="00450A9A" w:rsidRDefault="00450A9A" w:rsidP="00450A9A">
      <w:r>
        <w:t xml:space="preserve">En potentiell risk vid behandling med </w:t>
      </w:r>
      <w:proofErr w:type="spellStart"/>
      <w:r>
        <w:t>hydroxyklorokin</w:t>
      </w:r>
      <w:proofErr w:type="spellEnd"/>
      <w:r>
        <w:t xml:space="preserve">/klorokinfosfat är ögonbiverkningar i form av </w:t>
      </w:r>
      <w:proofErr w:type="spellStart"/>
      <w:r>
        <w:t>skotom</w:t>
      </w:r>
      <w:proofErr w:type="spellEnd"/>
      <w:r>
        <w:t xml:space="preserve"> och </w:t>
      </w:r>
      <w:proofErr w:type="spellStart"/>
      <w:r>
        <w:t>bull´s</w:t>
      </w:r>
      <w:proofErr w:type="spellEnd"/>
      <w:r>
        <w:t xml:space="preserve"> </w:t>
      </w:r>
      <w:proofErr w:type="spellStart"/>
      <w:r>
        <w:t>eye</w:t>
      </w:r>
      <w:proofErr w:type="spellEnd"/>
      <w:r>
        <w:t xml:space="preserve"> </w:t>
      </w:r>
      <w:proofErr w:type="spellStart"/>
      <w:r>
        <w:t>retinopati</w:t>
      </w:r>
      <w:proofErr w:type="spellEnd"/>
      <w:r>
        <w:t xml:space="preserve"> som kan ge varierande ögonsymptom. I vissa fall har patienten inga symptom trots avancerade ögonförändringar. Behandling för uppkommen </w:t>
      </w:r>
      <w:proofErr w:type="spellStart"/>
      <w:r>
        <w:t>retinopati</w:t>
      </w:r>
      <w:proofErr w:type="spellEnd"/>
      <w:r>
        <w:t xml:space="preserve"> saknas. Viktigaste faktorn för uppkomst av </w:t>
      </w:r>
      <w:proofErr w:type="spellStart"/>
      <w:r>
        <w:t>klorokinretinopati</w:t>
      </w:r>
      <w:proofErr w:type="spellEnd"/>
      <w:r>
        <w:t xml:space="preserve"> förefaller vara hög ackumulerad klorokindos. </w:t>
      </w:r>
    </w:p>
    <w:p w14:paraId="68B65C27" w14:textId="77777777" w:rsidR="00450A9A" w:rsidRDefault="00450A9A" w:rsidP="00450A9A">
      <w:r>
        <w:t xml:space="preserve">Hydroxiklorokin är </w:t>
      </w:r>
      <w:proofErr w:type="spellStart"/>
      <w:r>
        <w:t>kardiotoxiskt</w:t>
      </w:r>
      <w:proofErr w:type="spellEnd"/>
      <w:r>
        <w:t xml:space="preserve"> för barn. Patienten skall därför informeras om att förvara läkemedlet oåtkomligt för barn. </w:t>
      </w:r>
    </w:p>
    <w:p w14:paraId="34D9B5D7" w14:textId="77777777" w:rsidR="00450A9A" w:rsidRDefault="00450A9A" w:rsidP="00450A9A">
      <w:r>
        <w:t xml:space="preserve">Lämplig dygnsdos för </w:t>
      </w:r>
      <w:proofErr w:type="spellStart"/>
      <w:r>
        <w:t>Plaquenil</w:t>
      </w:r>
      <w:proofErr w:type="spellEnd"/>
      <w:r>
        <w:t xml:space="preserve"> vid behandling av </w:t>
      </w:r>
      <w:proofErr w:type="spellStart"/>
      <w:r>
        <w:t>diskoid</w:t>
      </w:r>
      <w:proofErr w:type="spellEnd"/>
      <w:r>
        <w:t xml:space="preserve"> LE och subakut </w:t>
      </w:r>
      <w:proofErr w:type="spellStart"/>
      <w:r>
        <w:t>kutan</w:t>
      </w:r>
      <w:proofErr w:type="spellEnd"/>
      <w:r>
        <w:t xml:space="preserve"> LE är 400 mg dagligen initialt. Vid effekt reduceras denna dos till 200 mg dagligen och slutligen görs uppehåll. Många patienter svarar på 400 mg i 4 veckor och sedan reduktion till 200 mg i ytterligare </w:t>
      </w:r>
      <w:proofErr w:type="gramStart"/>
      <w:r>
        <w:t>1–2s</w:t>
      </w:r>
      <w:proofErr w:type="gramEnd"/>
      <w:r>
        <w:t xml:space="preserve"> månader. Riktmärke är genomsnittsdos </w:t>
      </w:r>
      <w:proofErr w:type="spellStart"/>
      <w:r>
        <w:t>hydroxyklorokin</w:t>
      </w:r>
      <w:proofErr w:type="spellEnd"/>
      <w:r>
        <w:t xml:space="preserve"> ≤ 5 mg/kg/dag och klorokinfosfat ≤ 2,3 mg/kg/dag. </w:t>
      </w:r>
    </w:p>
    <w:p w14:paraId="7069D6CA" w14:textId="77777777" w:rsidR="00450A9A" w:rsidRDefault="00450A9A" w:rsidP="00450A9A">
      <w:r>
        <w:t xml:space="preserve">Samtidig rökning vid behandling med </w:t>
      </w:r>
      <w:proofErr w:type="spellStart"/>
      <w:r>
        <w:t>Plaquenil</w:t>
      </w:r>
      <w:proofErr w:type="spellEnd"/>
      <w:r>
        <w:t xml:space="preserve"> ger en kraftigt försämrad behandlingseffekt vid LE. </w:t>
      </w:r>
    </w:p>
    <w:p w14:paraId="745EB830" w14:textId="65030E09" w:rsidR="00450A9A" w:rsidRDefault="00450A9A" w:rsidP="00450A9A">
      <w:r>
        <w:t xml:space="preserve">Vid polymorf </w:t>
      </w:r>
      <w:proofErr w:type="spellStart"/>
      <w:r>
        <w:t>ljusdermatos</w:t>
      </w:r>
      <w:proofErr w:type="spellEnd"/>
      <w:r>
        <w:t xml:space="preserve"> ger man till vuxna 400 mg dagligen under perioden med maximal ljusexponering. </w:t>
      </w:r>
    </w:p>
    <w:p w14:paraId="413E6EDF" w14:textId="55D46F57" w:rsidR="00323251" w:rsidRDefault="00323251" w:rsidP="00450A9A"/>
    <w:p w14:paraId="51C04488" w14:textId="77777777" w:rsidR="00323251" w:rsidRDefault="00323251" w:rsidP="00450A9A"/>
    <w:p w14:paraId="02822694" w14:textId="77777777" w:rsidR="00450A9A" w:rsidRPr="00450A9A" w:rsidRDefault="00450A9A" w:rsidP="00450A9A">
      <w:pPr>
        <w:rPr>
          <w:rFonts w:asciiTheme="majorHAnsi" w:hAnsiTheme="majorHAnsi" w:cstheme="majorHAnsi"/>
          <w:b/>
          <w:bCs/>
          <w:sz w:val="26"/>
          <w:szCs w:val="26"/>
        </w:rPr>
      </w:pPr>
      <w:r w:rsidRPr="00450A9A">
        <w:rPr>
          <w:rFonts w:asciiTheme="majorHAnsi" w:hAnsiTheme="majorHAnsi" w:cstheme="majorHAnsi"/>
          <w:b/>
          <w:bCs/>
          <w:sz w:val="26"/>
          <w:szCs w:val="26"/>
        </w:rPr>
        <w:lastRenderedPageBreak/>
        <w:t xml:space="preserve">Provtagning </w:t>
      </w:r>
    </w:p>
    <w:p w14:paraId="2A11F12A" w14:textId="77777777" w:rsidR="00323251" w:rsidRDefault="00450A9A" w:rsidP="00450A9A">
      <w:r>
        <w:t xml:space="preserve">Följande prover tas inför behandlingsstart. Om prover normala fortsatt provtagning en gång per </w:t>
      </w:r>
      <w:proofErr w:type="gramStart"/>
      <w:r>
        <w:t>år.*</w:t>
      </w:r>
      <w:proofErr w:type="gramEnd"/>
      <w:r>
        <w:t xml:space="preserve"> </w:t>
      </w:r>
    </w:p>
    <w:p w14:paraId="42B539D4" w14:textId="3A2870D2" w:rsidR="00323251" w:rsidRDefault="00450A9A" w:rsidP="00323251">
      <w:pPr>
        <w:pStyle w:val="Liststycke"/>
        <w:numPr>
          <w:ilvl w:val="0"/>
          <w:numId w:val="20"/>
        </w:numPr>
      </w:pPr>
      <w:r>
        <w:t>Hb</w:t>
      </w:r>
      <w:r w:rsidR="00323251">
        <w:t>,</w:t>
      </w:r>
      <w:r>
        <w:t xml:space="preserve"> TPK</w:t>
      </w:r>
      <w:r w:rsidR="00323251">
        <w:t>,</w:t>
      </w:r>
      <w:r>
        <w:t xml:space="preserve"> LPK</w:t>
      </w:r>
      <w:r w:rsidR="00323251">
        <w:t>,</w:t>
      </w:r>
      <w:r>
        <w:t xml:space="preserve"> ALAT</w:t>
      </w:r>
      <w:r w:rsidR="00323251">
        <w:t>,</w:t>
      </w:r>
      <w:r>
        <w:t xml:space="preserve"> </w:t>
      </w:r>
      <w:proofErr w:type="spellStart"/>
      <w:r>
        <w:t>Kreatini</w:t>
      </w:r>
      <w:r w:rsidR="00323251">
        <w:t>n</w:t>
      </w:r>
      <w:proofErr w:type="spellEnd"/>
      <w:r w:rsidR="00323251">
        <w:t>.</w:t>
      </w:r>
    </w:p>
    <w:p w14:paraId="230F5A6E" w14:textId="77777777" w:rsidR="00323251" w:rsidRDefault="00450A9A" w:rsidP="00450A9A">
      <w:r>
        <w:t xml:space="preserve">* För själva preparaten rekommenderar Svensk Reumatologisk förening ingen specifik provtagning under behandling om startprover är normala. Emellertid så ingår ovanstående prover oftast i allmän uppföljning av patienter som av någon anledning kontrolleras inom reumatologin varför vi valt årliga kontroller. </w:t>
      </w:r>
    </w:p>
    <w:p w14:paraId="4DEEE350" w14:textId="77777777" w:rsidR="00323251" w:rsidRPr="00323251" w:rsidRDefault="00450A9A" w:rsidP="00450A9A">
      <w:pPr>
        <w:rPr>
          <w:rFonts w:asciiTheme="majorHAnsi" w:hAnsiTheme="majorHAnsi" w:cstheme="majorHAnsi"/>
          <w:b/>
          <w:bCs/>
          <w:sz w:val="26"/>
          <w:szCs w:val="26"/>
        </w:rPr>
      </w:pPr>
      <w:r w:rsidRPr="00323251">
        <w:rPr>
          <w:rFonts w:asciiTheme="majorHAnsi" w:hAnsiTheme="majorHAnsi" w:cstheme="majorHAnsi"/>
          <w:b/>
          <w:bCs/>
          <w:sz w:val="26"/>
          <w:szCs w:val="26"/>
        </w:rPr>
        <w:t xml:space="preserve">Ögonkontroller </w:t>
      </w:r>
    </w:p>
    <w:p w14:paraId="563B449B" w14:textId="026B1088" w:rsidR="00450A9A" w:rsidRDefault="00450A9A" w:rsidP="00450A9A">
      <w:r>
        <w:t>Svensk Reumatologisk förening utfärdar i samarbete med Svenska Ögonläkarföreningen rekommendationer om ögonkontroller vid behandling med hydroxiklorokin eller klorokinfosfat.</w:t>
      </w:r>
    </w:p>
    <w:p w14:paraId="7AF16C79" w14:textId="77777777" w:rsidR="00323251" w:rsidRDefault="00323251" w:rsidP="00450A9A">
      <w:r>
        <w:t xml:space="preserve">Målet med kontroller är att detektera tidiga tecken på paracentralt synbortfall före utvecklande av </w:t>
      </w:r>
      <w:proofErr w:type="spellStart"/>
      <w:r>
        <w:t>bull´s</w:t>
      </w:r>
      <w:proofErr w:type="spellEnd"/>
      <w:r>
        <w:t xml:space="preserve"> </w:t>
      </w:r>
      <w:proofErr w:type="spellStart"/>
      <w:r>
        <w:t>eye</w:t>
      </w:r>
      <w:proofErr w:type="spellEnd"/>
      <w:r>
        <w:t xml:space="preserve"> förändringar. </w:t>
      </w:r>
    </w:p>
    <w:p w14:paraId="6B734B54" w14:textId="411DC229" w:rsidR="00323251" w:rsidRPr="00CC44DE" w:rsidRDefault="00323251" w:rsidP="00323251">
      <w:pPr>
        <w:pStyle w:val="Liststycke"/>
        <w:numPr>
          <w:ilvl w:val="0"/>
          <w:numId w:val="21"/>
        </w:numPr>
        <w:rPr>
          <w:rFonts w:asciiTheme="majorHAnsi" w:hAnsiTheme="majorHAnsi" w:cstheme="majorHAnsi"/>
          <w:b/>
          <w:bCs/>
          <w:sz w:val="26"/>
          <w:szCs w:val="26"/>
        </w:rPr>
      </w:pPr>
      <w:r w:rsidRPr="00CC44DE">
        <w:rPr>
          <w:rFonts w:asciiTheme="majorHAnsi" w:hAnsiTheme="majorHAnsi" w:cstheme="majorHAnsi"/>
          <w:b/>
          <w:bCs/>
          <w:sz w:val="26"/>
          <w:szCs w:val="26"/>
        </w:rPr>
        <w:t xml:space="preserve">Vid insättning av klorokinpreparat </w:t>
      </w:r>
    </w:p>
    <w:p w14:paraId="498C1B96" w14:textId="77777777" w:rsidR="00323251" w:rsidRDefault="00323251" w:rsidP="00323251">
      <w:pPr>
        <w:pStyle w:val="Liststycke"/>
        <w:numPr>
          <w:ilvl w:val="0"/>
          <w:numId w:val="0"/>
        </w:numPr>
        <w:ind w:left="1352"/>
      </w:pPr>
      <w:r>
        <w:t xml:space="preserve">Utgångsstatus hos ögonläkare bör göras inom 1 år från behandlingsstart. Remiss till ögonläkare skrivs när man fattar beslut om sannolik långtidsterapi. Vid känd ögonsjukdom eller åldersförändringar i gula fläcken rekommenderas remiss direkt vid terapistart. Man kan överväga att avstå utgångsstatus hos patienter </w:t>
      </w:r>
      <w:proofErr w:type="gramStart"/>
      <w:r>
        <w:t>&lt; 40</w:t>
      </w:r>
      <w:proofErr w:type="gramEnd"/>
      <w:r>
        <w:t xml:space="preserve"> år som är ögonfriska. Dessa skall dock remitteras för första ögonbedömning efter cirka 5 års behandling (se B). </w:t>
      </w:r>
    </w:p>
    <w:p w14:paraId="7730083F" w14:textId="08B94FCD" w:rsidR="00323251" w:rsidRDefault="00323251" w:rsidP="00323251">
      <w:pPr>
        <w:pStyle w:val="Liststycke"/>
        <w:numPr>
          <w:ilvl w:val="0"/>
          <w:numId w:val="21"/>
        </w:numPr>
      </w:pPr>
      <w:r w:rsidRPr="00323251">
        <w:rPr>
          <w:rFonts w:asciiTheme="majorHAnsi" w:hAnsiTheme="majorHAnsi" w:cstheme="majorHAnsi"/>
          <w:b/>
          <w:bCs/>
          <w:sz w:val="26"/>
          <w:szCs w:val="26"/>
        </w:rPr>
        <w:t>Efter cirka 5 års behandling och därefter med cirka 1 års intervall</w:t>
      </w:r>
      <w:r>
        <w:t xml:space="preserve"> </w:t>
      </w:r>
    </w:p>
    <w:p w14:paraId="4D465402" w14:textId="37AFFBCA" w:rsidR="009F2FF0" w:rsidRDefault="00323251" w:rsidP="00165A06">
      <w:pPr>
        <w:pStyle w:val="Liststycke"/>
        <w:numPr>
          <w:ilvl w:val="0"/>
          <w:numId w:val="0"/>
        </w:numPr>
        <w:ind w:left="1361"/>
      </w:pPr>
      <w:r>
        <w:t xml:space="preserve">Remiss till ögonläkare skickas för uppföljning enligt ögonläkarnas vårdprogram för screening av klorokinrelaterad </w:t>
      </w:r>
      <w:proofErr w:type="spellStart"/>
      <w:r>
        <w:t>retinopati</w:t>
      </w:r>
      <w:proofErr w:type="spellEnd"/>
      <w:r>
        <w:t>. Observera att remiss måste skickas inför varje kontroll (enligt överenskommelse mellan reuma och ögon). Hög dos (</w:t>
      </w:r>
      <w:proofErr w:type="spellStart"/>
      <w:proofErr w:type="gramStart"/>
      <w:r>
        <w:t>hydroxyklorokinfosfat</w:t>
      </w:r>
      <w:proofErr w:type="spellEnd"/>
      <w:r>
        <w:t xml:space="preserve"> &gt;</w:t>
      </w:r>
      <w:proofErr w:type="gramEnd"/>
      <w:r>
        <w:t xml:space="preserve"> 5,0 mg/kg/dygn eller klorokinfosfat &gt; 2,3 mg/kg/dygn) kan vara skäl för tidigare screening. Patient med tidigare känd </w:t>
      </w:r>
      <w:proofErr w:type="spellStart"/>
      <w:r>
        <w:t>makulopati</w:t>
      </w:r>
      <w:proofErr w:type="spellEnd"/>
      <w:r>
        <w:t xml:space="preserve"> bör undersökas årligen från och med behandlingsstart med klorokinpreparat. </w:t>
      </w:r>
    </w:p>
    <w:p w14:paraId="08CFCF18" w14:textId="77777777" w:rsidR="00323251" w:rsidRPr="00165A06" w:rsidRDefault="00323251" w:rsidP="00165A06">
      <w:pPr>
        <w:ind w:left="1712" w:hanging="357"/>
        <w:rPr>
          <w:rFonts w:asciiTheme="majorHAnsi" w:hAnsiTheme="majorHAnsi" w:cstheme="majorHAnsi"/>
          <w:b/>
          <w:bCs/>
          <w:sz w:val="26"/>
          <w:szCs w:val="26"/>
        </w:rPr>
      </w:pPr>
      <w:r w:rsidRPr="00165A06">
        <w:rPr>
          <w:rFonts w:asciiTheme="majorHAnsi" w:hAnsiTheme="majorHAnsi" w:cstheme="majorHAnsi"/>
          <w:b/>
          <w:bCs/>
          <w:sz w:val="26"/>
          <w:szCs w:val="26"/>
        </w:rPr>
        <w:t xml:space="preserve">Ansvar </w:t>
      </w:r>
    </w:p>
    <w:p w14:paraId="61D029A7" w14:textId="755B32CC" w:rsidR="009F2FF0" w:rsidRDefault="00323251" w:rsidP="00323251">
      <w:pPr>
        <w:pStyle w:val="Liststycke"/>
        <w:numPr>
          <w:ilvl w:val="0"/>
          <w:numId w:val="0"/>
        </w:numPr>
        <w:ind w:left="1352"/>
      </w:pPr>
      <w:r>
        <w:t xml:space="preserve">Verksamhetens läkare och annan berörd sjukvårdspersonal ska arbeta efter denna riktlinje. Verksamhetschef ansvarar för att riktlinjen finns och linjechef ansvarar för att riktlinjen är känd. </w:t>
      </w:r>
    </w:p>
    <w:p w14:paraId="46B8A1B6" w14:textId="77777777" w:rsidR="00165A06" w:rsidRDefault="00165A06" w:rsidP="00323251">
      <w:pPr>
        <w:pStyle w:val="Liststycke"/>
        <w:numPr>
          <w:ilvl w:val="0"/>
          <w:numId w:val="0"/>
        </w:numPr>
        <w:ind w:left="1352"/>
      </w:pPr>
    </w:p>
    <w:p w14:paraId="63F2A080" w14:textId="6E879788" w:rsidR="00165A06" w:rsidRPr="00165A06" w:rsidRDefault="00323251" w:rsidP="00165A06">
      <w:pPr>
        <w:rPr>
          <w:rFonts w:asciiTheme="majorHAnsi" w:hAnsiTheme="majorHAnsi" w:cstheme="majorHAnsi"/>
          <w:b/>
          <w:bCs/>
          <w:sz w:val="26"/>
          <w:szCs w:val="26"/>
        </w:rPr>
      </w:pPr>
      <w:r w:rsidRPr="00165A06">
        <w:rPr>
          <w:rFonts w:asciiTheme="majorHAnsi" w:hAnsiTheme="majorHAnsi" w:cstheme="majorHAnsi"/>
          <w:b/>
          <w:bCs/>
          <w:sz w:val="26"/>
          <w:szCs w:val="26"/>
        </w:rPr>
        <w:lastRenderedPageBreak/>
        <w:t xml:space="preserve">Uppföljning, utvärdering och revision </w:t>
      </w:r>
    </w:p>
    <w:p w14:paraId="261A0882" w14:textId="477B5B25" w:rsidR="00165A06" w:rsidRDefault="00323251" w:rsidP="00165A06">
      <w:r>
        <w:t xml:space="preserve">Vårdenhetsöverläkare ansvarar för uppföljning och revision av riktlinjerna. Medvetet avsteg från riktlinjen dokumenteras i </w:t>
      </w:r>
      <w:proofErr w:type="spellStart"/>
      <w:r>
        <w:t>Melior</w:t>
      </w:r>
      <w:proofErr w:type="spellEnd"/>
      <w:r>
        <w:t xml:space="preserve"> om riktlinjen är kopplad till patient. Övriga orsaker till avsteg från riktlinjen rapporteras i </w:t>
      </w:r>
      <w:proofErr w:type="spellStart"/>
      <w:r>
        <w:t>MedControl</w:t>
      </w:r>
      <w:proofErr w:type="spellEnd"/>
      <w:r>
        <w:t xml:space="preserve"> PRO. </w:t>
      </w:r>
    </w:p>
    <w:p w14:paraId="689A5561" w14:textId="77777777" w:rsidR="00165A06" w:rsidRPr="00165A06" w:rsidRDefault="00323251" w:rsidP="00165A06">
      <w:pPr>
        <w:rPr>
          <w:rFonts w:asciiTheme="majorHAnsi" w:hAnsiTheme="majorHAnsi" w:cstheme="majorHAnsi"/>
          <w:b/>
          <w:bCs/>
          <w:sz w:val="26"/>
          <w:szCs w:val="26"/>
        </w:rPr>
      </w:pPr>
      <w:r w:rsidRPr="00165A06">
        <w:rPr>
          <w:rFonts w:asciiTheme="majorHAnsi" w:hAnsiTheme="majorHAnsi" w:cstheme="majorHAnsi"/>
          <w:b/>
          <w:bCs/>
          <w:sz w:val="26"/>
          <w:szCs w:val="26"/>
        </w:rPr>
        <w:t xml:space="preserve">Relaterad information </w:t>
      </w:r>
    </w:p>
    <w:p w14:paraId="6065DC6A" w14:textId="1860F75C" w:rsidR="00323251" w:rsidRDefault="00323251" w:rsidP="00165A06">
      <w:r>
        <w:t>Ögonkontroller vid behandling med klorokinpreparat – rekommendation från Svensk Reumatologisk förening, 202</w:t>
      </w:r>
      <w:r w:rsidR="009B22CF">
        <w:t>1.</w:t>
      </w:r>
    </w:p>
    <w:p w14:paraId="11010C13" w14:textId="11E924A8" w:rsidR="00747066" w:rsidRPr="00747066" w:rsidRDefault="00747066" w:rsidP="00165A06">
      <w:pPr>
        <w:ind w:left="0"/>
      </w:pPr>
    </w:p>
    <w:sectPr w:rsidR="00747066" w:rsidRPr="00747066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EA1A14" w14:textId="77777777" w:rsidR="00CA2CC0" w:rsidRDefault="00CA2CC0">
      <w:r>
        <w:separator/>
      </w:r>
    </w:p>
  </w:endnote>
  <w:endnote w:type="continuationSeparator" w:id="0">
    <w:p w14:paraId="33CF480C" w14:textId="77777777" w:rsidR="00CA2CC0" w:rsidRDefault="00CA2CC0">
      <w:r>
        <w:continuationSeparator/>
      </w:r>
    </w:p>
  </w:endnote>
  <w:endnote w:type="continuationNotice" w:id="1">
    <w:p w14:paraId="0A094B2B" w14:textId="77777777" w:rsidR="00CA2CC0" w:rsidRDefault="00CA2C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F72C97" w14:textId="77777777" w:rsidR="00CA2CC0" w:rsidRDefault="00CA2CC0"/>
  </w:footnote>
  <w:footnote w:type="continuationSeparator" w:id="0">
    <w:p w14:paraId="55D5D5CC" w14:textId="77777777" w:rsidR="00CA2CC0" w:rsidRDefault="00CA2CC0">
      <w:r>
        <w:continuationSeparator/>
      </w:r>
    </w:p>
  </w:footnote>
  <w:footnote w:type="continuationNotice" w:id="1">
    <w:p w14:paraId="1CF815AE" w14:textId="77777777" w:rsidR="00CA2CC0" w:rsidRDefault="00CA2C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4113A3"/>
    <w:multiLevelType w:val="hybridMultilevel"/>
    <w:tmpl w:val="FDB49620"/>
    <w:lvl w:ilvl="0" w:tplc="784EE7E0">
      <w:start w:val="1"/>
      <w:numFmt w:val="upperLetter"/>
      <w:lvlText w:val="%1."/>
      <w:lvlJc w:val="left"/>
      <w:pPr>
        <w:ind w:left="1352" w:hanging="360"/>
      </w:pPr>
      <w:rPr>
        <w:rFonts w:hint="default"/>
        <w:b/>
      </w:r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9964F53"/>
    <w:multiLevelType w:val="hybridMultilevel"/>
    <w:tmpl w:val="E8AEE5D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96136063">
    <w:abstractNumId w:val="19"/>
  </w:num>
  <w:num w:numId="2" w16cid:durableId="563221466">
    <w:abstractNumId w:val="14"/>
  </w:num>
  <w:num w:numId="3" w16cid:durableId="2072733079">
    <w:abstractNumId w:val="0"/>
  </w:num>
  <w:num w:numId="4" w16cid:durableId="567035818">
    <w:abstractNumId w:val="6"/>
  </w:num>
  <w:num w:numId="5" w16cid:durableId="564800104">
    <w:abstractNumId w:val="16"/>
  </w:num>
  <w:num w:numId="6" w16cid:durableId="1648703185">
    <w:abstractNumId w:val="2"/>
  </w:num>
  <w:num w:numId="7" w16cid:durableId="781343958">
    <w:abstractNumId w:val="11"/>
  </w:num>
  <w:num w:numId="8" w16cid:durableId="559638251">
    <w:abstractNumId w:val="8"/>
  </w:num>
  <w:num w:numId="9" w16cid:durableId="1113554412">
    <w:abstractNumId w:val="1"/>
  </w:num>
  <w:num w:numId="10" w16cid:durableId="324020108">
    <w:abstractNumId w:val="1"/>
  </w:num>
  <w:num w:numId="11" w16cid:durableId="1133131893">
    <w:abstractNumId w:val="3"/>
  </w:num>
  <w:num w:numId="12" w16cid:durableId="1465276133">
    <w:abstractNumId w:val="4"/>
  </w:num>
  <w:num w:numId="13" w16cid:durableId="1295794481">
    <w:abstractNumId w:val="13"/>
  </w:num>
  <w:num w:numId="14" w16cid:durableId="1998722968">
    <w:abstractNumId w:val="9"/>
  </w:num>
  <w:num w:numId="15" w16cid:durableId="2028168689">
    <w:abstractNumId w:val="7"/>
  </w:num>
  <w:num w:numId="16" w16cid:durableId="539174994">
    <w:abstractNumId w:val="12"/>
  </w:num>
  <w:num w:numId="17" w16cid:durableId="2088840689">
    <w:abstractNumId w:val="5"/>
  </w:num>
  <w:num w:numId="18" w16cid:durableId="69892824">
    <w:abstractNumId w:val="10"/>
  </w:num>
  <w:num w:numId="19" w16cid:durableId="518662947">
    <w:abstractNumId w:val="18"/>
  </w:num>
  <w:num w:numId="20" w16cid:durableId="1643071445">
    <w:abstractNumId w:val="17"/>
  </w:num>
  <w:num w:numId="21" w16cid:durableId="181452267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5A06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3251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1CEA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0A9A"/>
    <w:rsid w:val="00451935"/>
    <w:rsid w:val="00460ED0"/>
    <w:rsid w:val="00465651"/>
    <w:rsid w:val="00470CE7"/>
    <w:rsid w:val="00470F4F"/>
    <w:rsid w:val="00472482"/>
    <w:rsid w:val="00473410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4F62E9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7F71FE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B22CF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2FF0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E606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2CC0"/>
    <w:rsid w:val="00CA39EF"/>
    <w:rsid w:val="00CA521F"/>
    <w:rsid w:val="00CB0493"/>
    <w:rsid w:val="00CB17FF"/>
    <w:rsid w:val="00CB1ED7"/>
    <w:rsid w:val="00CC167C"/>
    <w:rsid w:val="00CC44DE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D6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3</Pages>
  <Words>605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3806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Klorokinfosfat,Plaguenil-Riktlinjer</dc:title>
  <dc:subject/>
  <dc:creator>Hanna Engberg Haraldsson</dc:creator>
  <keywords/>
  <lastModifiedBy>Hanna Engberg Haraldsson</lastModifiedBy>
  <revision>7</revision>
  <lastPrinted>2016-03-31T10:56:00.0000000Z</lastPrinted>
  <dcterms:created xsi:type="dcterms:W3CDTF">2024-01-10T12:56:00.0000000Z</dcterms:created>
  <dcterms:modified xsi:type="dcterms:W3CDTF">2024-01-10T14:58:00.0000000Z</dcterms:modified>
</coreProperties>
</file>