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79E4EDC" w:rsidR="00184167" w:rsidRDefault="00AE4680" w:rsidP="00AE4680">
      <w:pPr>
        <w:pStyle w:val="Rubrik1"/>
        <w:pBdr>
          <w:bottom w:val="single" w:sz="4" w:space="1" w:color="auto"/>
        </w:pBdr>
      </w:pPr>
      <w:bookmarkStart w:id="0" w:name="_Toc321146591"/>
      <w:proofErr w:type="spellStart"/>
      <w:r>
        <w:t>Dapson</w:t>
      </w:r>
      <w:proofErr w:type="spellEnd"/>
      <w:r>
        <w:t xml:space="preserve"> - Riktlinjer</w:t>
      </w:r>
    </w:p>
    <w:bookmarkEnd w:id="0"/>
    <w:p w14:paraId="75A99FBF" w14:textId="77777777" w:rsidR="00AE4680" w:rsidRDefault="00AE4680" w:rsidP="00AE4680">
      <w:pPr>
        <w:spacing w:after="240"/>
      </w:pPr>
      <w:proofErr w:type="spellStart"/>
      <w:r w:rsidRPr="00650128">
        <w:t>Dapson</w:t>
      </w:r>
      <w:proofErr w:type="spellEnd"/>
      <w:r w:rsidRPr="00650128">
        <w:t xml:space="preserve"> används främst som behandling vid </w:t>
      </w:r>
      <w:proofErr w:type="spellStart"/>
      <w:r w:rsidRPr="00650128">
        <w:t>dermatitis</w:t>
      </w:r>
      <w:proofErr w:type="spellEnd"/>
      <w:r w:rsidRPr="00650128">
        <w:t xml:space="preserve"> </w:t>
      </w:r>
      <w:proofErr w:type="spellStart"/>
      <w:r w:rsidRPr="00650128">
        <w:t>herpetiformis</w:t>
      </w:r>
      <w:proofErr w:type="spellEnd"/>
      <w:r w:rsidRPr="00650128">
        <w:t xml:space="preserve"> men även vid linjär </w:t>
      </w:r>
      <w:proofErr w:type="spellStart"/>
      <w:r w:rsidRPr="00650128">
        <w:t>IgA</w:t>
      </w:r>
      <w:proofErr w:type="spellEnd"/>
      <w:r w:rsidRPr="00650128">
        <w:t xml:space="preserve"> </w:t>
      </w:r>
      <w:proofErr w:type="spellStart"/>
      <w:r w:rsidRPr="00650128">
        <w:t>dermatos</w:t>
      </w:r>
      <w:proofErr w:type="spellEnd"/>
      <w:r w:rsidRPr="00650128">
        <w:t xml:space="preserve">. </w:t>
      </w:r>
      <w:proofErr w:type="spellStart"/>
      <w:r w:rsidRPr="00650128">
        <w:t>Dapson</w:t>
      </w:r>
      <w:proofErr w:type="spellEnd"/>
      <w:r w:rsidRPr="00650128">
        <w:t xml:space="preserve"> förkortar de röda blodkropparnas överlevnadstid något. Normalt kompenserar kroppen för detta genom ökad nybildning. Ibland kan lätt anemi uppstå. </w:t>
      </w:r>
      <w:proofErr w:type="spellStart"/>
      <w:r w:rsidRPr="00650128">
        <w:t>Dapson</w:t>
      </w:r>
      <w:proofErr w:type="spellEnd"/>
      <w:r w:rsidRPr="00650128">
        <w:t xml:space="preserve"> kan också ge </w:t>
      </w:r>
      <w:proofErr w:type="spellStart"/>
      <w:r w:rsidRPr="00650128">
        <w:t>methemoglobinemi</w:t>
      </w:r>
      <w:proofErr w:type="spellEnd"/>
      <w:r w:rsidRPr="00650128">
        <w:t xml:space="preserve">, eventuellt med cyanos, och </w:t>
      </w:r>
      <w:proofErr w:type="spellStart"/>
      <w:r w:rsidRPr="00650128">
        <w:t>agranulocytos</w:t>
      </w:r>
      <w:proofErr w:type="spellEnd"/>
      <w:r w:rsidRPr="00650128">
        <w:t xml:space="preserve">. </w:t>
      </w:r>
    </w:p>
    <w:p w14:paraId="07626AD6" w14:textId="77777777" w:rsidR="00AE4680" w:rsidRPr="00650128" w:rsidRDefault="00AE4680" w:rsidP="00AE4680">
      <w:pPr>
        <w:spacing w:after="240"/>
      </w:pPr>
      <w:r w:rsidRPr="00650128">
        <w:t>Patienter med glukos-</w:t>
      </w:r>
      <w:proofErr w:type="gramStart"/>
      <w:r w:rsidRPr="00650128">
        <w:t>6- fosfat</w:t>
      </w:r>
      <w:proofErr w:type="gramEnd"/>
      <w:r w:rsidRPr="00650128">
        <w:t>-</w:t>
      </w:r>
      <w:proofErr w:type="spellStart"/>
      <w:r w:rsidRPr="00650128">
        <w:t>dehydrogenas</w:t>
      </w:r>
      <w:proofErr w:type="spellEnd"/>
      <w:r w:rsidRPr="00650128">
        <w:t xml:space="preserve">-brist kan få fatal </w:t>
      </w:r>
      <w:proofErr w:type="spellStart"/>
      <w:r w:rsidRPr="00650128">
        <w:t>hemolys</w:t>
      </w:r>
      <w:proofErr w:type="spellEnd"/>
      <w:r w:rsidRPr="00650128">
        <w:t xml:space="preserve"> redan vid låg dos!</w:t>
      </w:r>
    </w:p>
    <w:p w14:paraId="65A93E60" w14:textId="77777777" w:rsidR="00AE4680" w:rsidRPr="00CA677D" w:rsidRDefault="00AE4680" w:rsidP="00AE4680">
      <w:proofErr w:type="spellStart"/>
      <w:r w:rsidRPr="00CA677D">
        <w:t>Leukopeni</w:t>
      </w:r>
      <w:proofErr w:type="spellEnd"/>
      <w:r w:rsidRPr="00CA677D">
        <w:t xml:space="preserve"> eller </w:t>
      </w:r>
      <w:proofErr w:type="spellStart"/>
      <w:r w:rsidRPr="00CA677D">
        <w:t>agranulocytos</w:t>
      </w:r>
      <w:proofErr w:type="spellEnd"/>
      <w:r w:rsidRPr="00CA677D">
        <w:t xml:space="preserve"> kan uppstå, framför allt under det första behandlingsåret. Vid halsinfektion, feber eller frossa skall kontroll av LPK göras akut. </w:t>
      </w:r>
      <w:proofErr w:type="spellStart"/>
      <w:r w:rsidRPr="00CA677D">
        <w:t>Dapson</w:t>
      </w:r>
      <w:proofErr w:type="spellEnd"/>
      <w:r w:rsidRPr="00CA677D">
        <w:t xml:space="preserve"> har utvecklats från sulfa. Patienten ska därför alltid tillfrågas om överkänslighet mot sulfa. En sällsynt men </w:t>
      </w:r>
      <w:proofErr w:type="spellStart"/>
      <w:r w:rsidRPr="00CA677D">
        <w:t>allvarig</w:t>
      </w:r>
      <w:proofErr w:type="spellEnd"/>
      <w:r w:rsidRPr="00CA677D">
        <w:t xml:space="preserve"> biverkan är den idiosynkratiska reaktionen ”</w:t>
      </w:r>
      <w:proofErr w:type="spellStart"/>
      <w:r w:rsidRPr="00CA677D">
        <w:t>Dapson</w:t>
      </w:r>
      <w:proofErr w:type="spellEnd"/>
      <w:r w:rsidRPr="00CA677D">
        <w:t>-</w:t>
      </w:r>
      <w:proofErr w:type="spellStart"/>
      <w:r w:rsidRPr="00CA677D">
        <w:t>hypersensitivites</w:t>
      </w:r>
      <w:proofErr w:type="spellEnd"/>
      <w:r w:rsidRPr="00CA677D">
        <w:t xml:space="preserve">-Syndrom” med feber, </w:t>
      </w:r>
      <w:proofErr w:type="spellStart"/>
      <w:r w:rsidRPr="00CA677D">
        <w:t>lymfadenopati</w:t>
      </w:r>
      <w:proofErr w:type="spellEnd"/>
      <w:r w:rsidRPr="00CA677D">
        <w:t xml:space="preserve">, hudutslag och organpåverkan. </w:t>
      </w:r>
    </w:p>
    <w:p w14:paraId="28CAD047" w14:textId="77777777" w:rsidR="00AE4680" w:rsidRPr="00467888" w:rsidRDefault="00AE4680" w:rsidP="00AE4680">
      <w:pPr>
        <w:pStyle w:val="Rubrik2"/>
        <w:rPr>
          <w:szCs w:val="40"/>
        </w:rPr>
      </w:pPr>
      <w:r w:rsidRPr="00467888">
        <w:rPr>
          <w:szCs w:val="40"/>
        </w:rPr>
        <w:t>Utbud och förskrivning</w:t>
      </w:r>
    </w:p>
    <w:p w14:paraId="07A500C0" w14:textId="77777777" w:rsidR="00AE4680" w:rsidRPr="0015442C" w:rsidRDefault="00AE4680" w:rsidP="00AE4680">
      <w:pPr>
        <w:spacing w:after="0"/>
      </w:pPr>
    </w:p>
    <w:p w14:paraId="601A67C4" w14:textId="77777777" w:rsidR="00AE4680" w:rsidRPr="00747066" w:rsidRDefault="00AE4680" w:rsidP="00AE4680">
      <w:proofErr w:type="spellStart"/>
      <w:r>
        <w:t>Dapson</w:t>
      </w:r>
      <w:proofErr w:type="spellEnd"/>
      <w:r>
        <w:t xml:space="preserve"> finns inte i FASS men kan skrivas ut i receptmodulen och är subventionerad när licens är beviljad. Preparatet finns som kapsel med styrka 25, 50, 100 mg.</w:t>
      </w:r>
      <w:r w:rsidRPr="0093441F">
        <w:t xml:space="preserve"> Man måste ansöka om individuell licens för att</w:t>
      </w:r>
      <w:r>
        <w:t xml:space="preserve"> kunna </w:t>
      </w:r>
      <w:r w:rsidRPr="0093441F">
        <w:t xml:space="preserve">förskriva </w:t>
      </w:r>
      <w:proofErr w:type="spellStart"/>
      <w:r w:rsidRPr="0093441F">
        <w:t>Dapson</w:t>
      </w:r>
      <w:proofErr w:type="spellEnd"/>
      <w:r w:rsidRPr="0093441F">
        <w:t>.</w:t>
      </w:r>
      <w:r>
        <w:br/>
        <w:t xml:space="preserve">Behandlingen inleds med 100 mg dagligen till normalvikt vuxen </w:t>
      </w:r>
      <w:proofErr w:type="gramStart"/>
      <w:r>
        <w:t>person .</w:t>
      </w:r>
      <w:proofErr w:type="gramEnd"/>
      <w:r>
        <w:t xml:space="preserve"> Vid behandling av </w:t>
      </w:r>
      <w:proofErr w:type="spellStart"/>
      <w:r>
        <w:t>dermatitis</w:t>
      </w:r>
      <w:proofErr w:type="spellEnd"/>
      <w:r>
        <w:t xml:space="preserve"> </w:t>
      </w:r>
      <w:proofErr w:type="spellStart"/>
      <w:r>
        <w:t>herpetiformis</w:t>
      </w:r>
      <w:proofErr w:type="spellEnd"/>
      <w:r>
        <w:t xml:space="preserve"> kan dosen oftast minskas relativt snabbt under förutsättning att patienten samtidigt börjar med glutenfri kost.</w:t>
      </w:r>
      <w:r>
        <w:br/>
        <w:t xml:space="preserve">Vid behandling av andra indikationer kan dagsdosen eventuellt behöva ökas med ytterligare </w:t>
      </w:r>
      <w:proofErr w:type="gramStart"/>
      <w:r>
        <w:t>50-100</w:t>
      </w:r>
      <w:proofErr w:type="gramEnd"/>
      <w:r>
        <w:t xml:space="preserve"> mg. Oftast behövs inte doser över 200 mg dagligen. Beakta att läkemedlets </w:t>
      </w:r>
      <w:proofErr w:type="spellStart"/>
      <w:r>
        <w:t>hemolytiska</w:t>
      </w:r>
      <w:proofErr w:type="spellEnd"/>
      <w:r>
        <w:t xml:space="preserve"> egenskaper är dosberoende. Oavsett indikation bör successiv reducering till underhållsdos ske när förbättring inträtt.</w:t>
      </w:r>
    </w:p>
    <w:p w14:paraId="11010C13" w14:textId="2626C3CB" w:rsidR="00747066" w:rsidRPr="00747066" w:rsidRDefault="00747066" w:rsidP="00747066"/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D7D9B1" w14:textId="77777777" w:rsidR="00D218AC" w:rsidRDefault="00D218AC">
      <w:r>
        <w:separator/>
      </w:r>
    </w:p>
  </w:endnote>
  <w:endnote w:type="continuationSeparator" w:id="0">
    <w:p w14:paraId="449B91BA" w14:textId="77777777" w:rsidR="00D218AC" w:rsidRDefault="00D218AC">
      <w:r>
        <w:continuationSeparator/>
      </w:r>
    </w:p>
  </w:endnote>
  <w:endnote w:type="continuationNotice" w:id="1">
    <w:p w14:paraId="6DE580EA" w14:textId="77777777" w:rsidR="00D218AC" w:rsidRDefault="00D218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BB3E05" w14:textId="77777777" w:rsidR="00D218AC" w:rsidRDefault="00D218AC"/>
  </w:footnote>
  <w:footnote w:type="continuationSeparator" w:id="0">
    <w:p w14:paraId="78EA207B" w14:textId="77777777" w:rsidR="00D218AC" w:rsidRDefault="00D218AC">
      <w:r>
        <w:continuationSeparator/>
      </w:r>
    </w:p>
  </w:footnote>
  <w:footnote w:type="continuationNotice" w:id="1">
    <w:p w14:paraId="46D189B3" w14:textId="77777777" w:rsidR="00D218AC" w:rsidRDefault="00D218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8LdZvuMAAAALAQAADwAAAAAAAAAA&#10;AAAAAACKBAAAZHJzL2Rvd25yZXYueG1sUEsFBgAAAAAEAAQA8wAAAJo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96136063">
    <w:abstractNumId w:val="17"/>
  </w:num>
  <w:num w:numId="2" w16cid:durableId="563221466">
    <w:abstractNumId w:val="14"/>
  </w:num>
  <w:num w:numId="3" w16cid:durableId="2072733079">
    <w:abstractNumId w:val="0"/>
  </w:num>
  <w:num w:numId="4" w16cid:durableId="567035818">
    <w:abstractNumId w:val="6"/>
  </w:num>
  <w:num w:numId="5" w16cid:durableId="564800104">
    <w:abstractNumId w:val="15"/>
  </w:num>
  <w:num w:numId="6" w16cid:durableId="1648703185">
    <w:abstractNumId w:val="2"/>
  </w:num>
  <w:num w:numId="7" w16cid:durableId="781343958">
    <w:abstractNumId w:val="11"/>
  </w:num>
  <w:num w:numId="8" w16cid:durableId="559638251">
    <w:abstractNumId w:val="8"/>
  </w:num>
  <w:num w:numId="9" w16cid:durableId="1113554412">
    <w:abstractNumId w:val="1"/>
  </w:num>
  <w:num w:numId="10" w16cid:durableId="324020108">
    <w:abstractNumId w:val="1"/>
  </w:num>
  <w:num w:numId="11" w16cid:durableId="1133131893">
    <w:abstractNumId w:val="3"/>
  </w:num>
  <w:num w:numId="12" w16cid:durableId="1465276133">
    <w:abstractNumId w:val="4"/>
  </w:num>
  <w:num w:numId="13" w16cid:durableId="1295794481">
    <w:abstractNumId w:val="13"/>
  </w:num>
  <w:num w:numId="14" w16cid:durableId="1998722968">
    <w:abstractNumId w:val="9"/>
  </w:num>
  <w:num w:numId="15" w16cid:durableId="2028168689">
    <w:abstractNumId w:val="7"/>
  </w:num>
  <w:num w:numId="16" w16cid:durableId="539174994">
    <w:abstractNumId w:val="12"/>
  </w:num>
  <w:num w:numId="17" w16cid:durableId="2088840689">
    <w:abstractNumId w:val="5"/>
  </w:num>
  <w:num w:numId="18" w16cid:durableId="69892824">
    <w:abstractNumId w:val="10"/>
  </w:num>
  <w:num w:numId="19" w16cid:durableId="51866294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4680"/>
    <w:rsid w:val="00AE5BC7"/>
    <w:rsid w:val="00AE606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18AC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0D6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262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Dapson -Riktlinjer</dc:title>
  <dc:subject/>
  <dc:creator>Hanna Engberg Haraldsson</dc:creator>
  <keywords/>
  <lastModifiedBy>Hanna Engberg Haraldsson</lastModifiedBy>
  <revision>2</revision>
  <lastPrinted>2016-03-31T10:56:00.0000000Z</lastPrinted>
  <dcterms:created xsi:type="dcterms:W3CDTF">2023-12-28T11:46:00.0000000Z</dcterms:created>
  <dcterms:modified xsi:type="dcterms:W3CDTF">2023-12-28T11:46:00.0000000Z</dcterms:modified>
</coreProperties>
</file>