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B161F" w14:textId="77777777" w:rsidR="004C31B3" w:rsidRDefault="004C31B3">
      <w:pPr>
        <w:pStyle w:val="Rubrik1"/>
        <w:ind w:left="0"/>
      </w:pPr>
    </w:p>
    <w:p w14:paraId="6F80A282" w14:textId="77777777" w:rsidR="00137B03" w:rsidRDefault="00137B03">
      <w:pPr>
        <w:pStyle w:val="Rubrik1"/>
        <w:rPr>
          <w:rStyle w:val="eop"/>
          <w:rFonts w:eastAsia="Arial Unicode MS" w:cs="Arial Unicode MS"/>
        </w:rPr>
      </w:pPr>
    </w:p>
    <w:p w14:paraId="2A9FA4E1" w14:textId="77777777" w:rsidR="00137B03" w:rsidRDefault="00137B03">
      <w:pPr>
        <w:pStyle w:val="Rubrik1"/>
        <w:rPr>
          <w:rStyle w:val="eop"/>
          <w:rFonts w:eastAsia="Arial Unicode MS" w:cs="Arial Unicode MS"/>
        </w:rPr>
      </w:pPr>
    </w:p>
    <w:p w14:paraId="1408100D" w14:textId="77777777" w:rsidR="00137B03" w:rsidRDefault="00137B03">
      <w:pPr>
        <w:pStyle w:val="Rubrik1"/>
        <w:rPr>
          <w:rStyle w:val="eop"/>
          <w:rFonts w:eastAsia="Arial Unicode MS" w:cs="Arial Unicode MS"/>
        </w:rPr>
      </w:pPr>
    </w:p>
    <w:p w14:paraId="753C62CC" w14:textId="498525CD" w:rsidR="004C31B3" w:rsidRDefault="00137B03">
      <w:pPr>
        <w:pStyle w:val="Rubrik1"/>
      </w:pPr>
      <w:r w:rsidRPr="4F4D1519">
        <w:rPr>
          <w:rStyle w:val="eop"/>
          <w:rFonts w:eastAsia="Arial Unicode MS" w:cs="Arial Unicode MS"/>
          <w:lang w:val="en-US"/>
        </w:rPr>
        <w:t>Läkemedel vid levercirros</w:t>
      </w:r>
    </w:p>
    <w:p w14:paraId="28A72D83" w14:textId="77777777" w:rsidR="004C31B3" w:rsidRDefault="00137B03">
      <w:pPr>
        <w:pStyle w:val="Rubrik2"/>
      </w:pPr>
      <w:r w:rsidRPr="1A98DF2F">
        <w:rPr>
          <w:rStyle w:val="eop"/>
          <w:lang w:val="en-US"/>
        </w:rPr>
        <w:t>Förändringar sedan föregående version</w:t>
      </w:r>
    </w:p>
    <w:p w14:paraId="250B064D" w14:textId="11A01BAB" w:rsidR="004C31B3" w:rsidRDefault="00137B03" w:rsidP="1A98DF2F">
      <w:pPr>
        <w:pStyle w:val="Text"/>
        <w:rPr>
          <w:color w:val="auto"/>
          <w:lang w:val="en-US"/>
        </w:rPr>
      </w:pPr>
      <w:r w:rsidRPr="1A98DF2F">
        <w:rPr>
          <w:color w:val="auto"/>
          <w:lang w:val="en-US"/>
        </w:rPr>
        <w:t>Reduktion av paracetamol vid dekompensation. Nya: metronidazol, risperidon, quetiapin, olanzapin</w:t>
      </w:r>
    </w:p>
    <w:p w14:paraId="32FD721E" w14:textId="77777777" w:rsidR="004C31B3" w:rsidRDefault="004C31B3">
      <w:pPr>
        <w:pStyle w:val="Rubrik2"/>
      </w:pPr>
    </w:p>
    <w:p w14:paraId="400FC0F1" w14:textId="77777777" w:rsidR="004C31B3" w:rsidRDefault="00137B03">
      <w:pPr>
        <w:pStyle w:val="Rubrik2"/>
      </w:pPr>
      <w:r w:rsidRPr="1A98DF2F">
        <w:rPr>
          <w:rStyle w:val="eop"/>
          <w:lang w:val="en-US"/>
        </w:rPr>
        <w:t xml:space="preserve">Bakgrund </w:t>
      </w:r>
    </w:p>
    <w:p w14:paraId="3769A170" w14:textId="77777777" w:rsidR="004C31B3" w:rsidRDefault="00137B03">
      <w:pPr>
        <w:pStyle w:val="Text"/>
        <w:rPr>
          <w:rStyle w:val="eop"/>
        </w:rPr>
      </w:pPr>
      <w:r>
        <w:rPr>
          <w:rStyle w:val="eop"/>
          <w:lang w:val="es-ES_tradnl"/>
        </w:rPr>
        <w:t>Levercirrhos k</w:t>
      </w:r>
      <w:proofErr w:type="spellStart"/>
      <w:r>
        <w:rPr>
          <w:rStyle w:val="eop"/>
        </w:rPr>
        <w:t>ännetecknas</w:t>
      </w:r>
      <w:proofErr w:type="spellEnd"/>
      <w:r>
        <w:rPr>
          <w:rStyle w:val="eop"/>
        </w:rPr>
        <w:t xml:space="preserve"> av omvandling av metabol aktiv vävnad till ärrvävnad. Detta leder till minskat </w:t>
      </w:r>
      <w:proofErr w:type="spellStart"/>
      <w:r>
        <w:rPr>
          <w:rStyle w:val="eop"/>
        </w:rPr>
        <w:t>förm</w:t>
      </w:r>
      <w:proofErr w:type="spellEnd"/>
      <w:r>
        <w:rPr>
          <w:rStyle w:val="eop"/>
          <w:lang w:val="da-DK"/>
        </w:rPr>
        <w:t>å</w:t>
      </w:r>
      <w:proofErr w:type="spellStart"/>
      <w:r>
        <w:rPr>
          <w:rStyle w:val="eop"/>
        </w:rPr>
        <w:t>ga</w:t>
      </w:r>
      <w:proofErr w:type="spellEnd"/>
      <w:r>
        <w:rPr>
          <w:rStyle w:val="eop"/>
        </w:rPr>
        <w:t xml:space="preserve"> att bilda proteiner och </w:t>
      </w:r>
      <w:proofErr w:type="spellStart"/>
      <w:r>
        <w:rPr>
          <w:rStyle w:val="eop"/>
        </w:rPr>
        <w:t>metabolisera</w:t>
      </w:r>
      <w:proofErr w:type="spellEnd"/>
      <w:r>
        <w:rPr>
          <w:rStyle w:val="eop"/>
        </w:rPr>
        <w:t xml:space="preserve"> olika </w:t>
      </w:r>
      <w:proofErr w:type="spellStart"/>
      <w:r>
        <w:rPr>
          <w:rStyle w:val="eop"/>
        </w:rPr>
        <w:t>endo</w:t>
      </w:r>
      <w:proofErr w:type="spellEnd"/>
      <w:r>
        <w:rPr>
          <w:rStyle w:val="eop"/>
        </w:rPr>
        <w:t>- och exogena ä</w:t>
      </w:r>
      <w:r>
        <w:rPr>
          <w:rStyle w:val="eop"/>
          <w:lang w:val="pt-PT"/>
        </w:rPr>
        <w:t>mne. Cirrhos p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verkar också cirkulation framför allt i </w:t>
      </w:r>
      <w:proofErr w:type="spellStart"/>
      <w:r>
        <w:rPr>
          <w:rStyle w:val="eop"/>
        </w:rPr>
        <w:t>gastrointestinala</w:t>
      </w:r>
      <w:proofErr w:type="spellEnd"/>
      <w:r>
        <w:rPr>
          <w:rStyle w:val="eop"/>
        </w:rPr>
        <w:t xml:space="preserve"> trakten och leder till </w:t>
      </w:r>
      <w:proofErr w:type="spellStart"/>
      <w:r>
        <w:rPr>
          <w:rStyle w:val="eop"/>
        </w:rPr>
        <w:t>omdistribution</w:t>
      </w:r>
      <w:proofErr w:type="spellEnd"/>
      <w:r>
        <w:rPr>
          <w:rStyle w:val="eop"/>
        </w:rPr>
        <w:t xml:space="preserve"> av kroppsvätskor (portal hypertension).</w:t>
      </w:r>
    </w:p>
    <w:p w14:paraId="6A630EE4" w14:textId="77777777" w:rsidR="004C31B3" w:rsidRDefault="004C31B3">
      <w:pPr>
        <w:pStyle w:val="Text"/>
        <w:rPr>
          <w:rStyle w:val="eop"/>
        </w:rPr>
      </w:pPr>
    </w:p>
    <w:p w14:paraId="753F2C6C" w14:textId="77777777" w:rsidR="004C31B3" w:rsidRDefault="00137B03">
      <w:pPr>
        <w:pStyle w:val="Text"/>
        <w:rPr>
          <w:rFonts w:ascii="Arial Unicode MS" w:hAnsi="Arial Unicode MS"/>
        </w:rPr>
      </w:pPr>
      <w:r>
        <w:rPr>
          <w:rStyle w:val="eop"/>
        </w:rPr>
        <w:t>P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verkan på läkemedels farmakokinetik och säkerhetsprofil vid levercirrhos är komplex och </w:t>
      </w:r>
      <w:proofErr w:type="spellStart"/>
      <w:r>
        <w:rPr>
          <w:rStyle w:val="eop"/>
        </w:rPr>
        <w:t>sv</w:t>
      </w:r>
      <w:proofErr w:type="spellEnd"/>
      <w:r>
        <w:rPr>
          <w:rStyle w:val="eop"/>
          <w:lang w:val="da-DK"/>
        </w:rPr>
        <w:t>å</w:t>
      </w:r>
      <w:proofErr w:type="spellStart"/>
      <w:r>
        <w:rPr>
          <w:rStyle w:val="eop"/>
        </w:rPr>
        <w:t>rt</w:t>
      </w:r>
      <w:proofErr w:type="spellEnd"/>
      <w:r>
        <w:rPr>
          <w:rStyle w:val="eop"/>
        </w:rPr>
        <w:t xml:space="preserve"> att förutsäga. Rekommendationer om användning i specifika populationer ska helst baseras på kontrollerade studier. Europeisk läkemedelsmyndighet (EMA) rekommenderar att genomföra farmakokinetiska studier om läkemedlet sannolikt ska användas i leversjukpatienter, om leversjukdomen p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verkar metabolism av läkemedlet och om dosanpassning kan bli aktuellt. </w:t>
      </w:r>
    </w:p>
    <w:p w14:paraId="13982525" w14:textId="77777777" w:rsidR="004C31B3" w:rsidRDefault="004C31B3">
      <w:pPr>
        <w:pStyle w:val="Text"/>
        <w:rPr>
          <w:rStyle w:val="eop"/>
        </w:rPr>
      </w:pPr>
    </w:p>
    <w:p w14:paraId="4ED5C44C" w14:textId="77777777" w:rsidR="004C31B3" w:rsidRDefault="00137B03">
      <w:pPr>
        <w:pStyle w:val="Text"/>
        <w:rPr>
          <w:rStyle w:val="eop"/>
        </w:rPr>
      </w:pPr>
      <w:proofErr w:type="spellStart"/>
      <w:r>
        <w:rPr>
          <w:rStyle w:val="eop"/>
          <w:lang w:val="de-DE"/>
        </w:rPr>
        <w:t>Rekommendationer</w:t>
      </w:r>
      <w:proofErr w:type="spellEnd"/>
      <w:r>
        <w:rPr>
          <w:rStyle w:val="eop"/>
          <w:lang w:val="de-DE"/>
        </w:rPr>
        <w:t xml:space="preserve"> f</w:t>
      </w:r>
      <w:r>
        <w:rPr>
          <w:rStyle w:val="eop"/>
        </w:rPr>
        <w:t>ör dosering av läkemedel vid levecirrhos är sällan konkreta i FASS samtidigt som en vanlig dosering kan hos en leversjuk patient leda till allvarliga biverkningar och onödiga komplikationer.</w:t>
      </w:r>
    </w:p>
    <w:p w14:paraId="79D878DD" w14:textId="77777777" w:rsidR="004C31B3" w:rsidRDefault="004C31B3">
      <w:pPr>
        <w:pStyle w:val="Text"/>
        <w:spacing w:after="0" w:line="240" w:lineRule="auto"/>
        <w:ind w:left="0" w:right="0"/>
        <w:rPr>
          <w:rStyle w:val="eop"/>
        </w:rPr>
      </w:pPr>
    </w:p>
    <w:p w14:paraId="00A1ADA6" w14:textId="77777777" w:rsidR="004C31B3" w:rsidRDefault="00137B03" w:rsidP="1A98DF2F">
      <w:pPr>
        <w:pStyle w:val="Rubrik2"/>
        <w:rPr>
          <w:rStyle w:val="eop"/>
          <w:lang w:val="en-US"/>
        </w:rPr>
      </w:pPr>
      <w:r w:rsidRPr="1A98DF2F">
        <w:rPr>
          <w:rStyle w:val="eop"/>
          <w:lang w:val="en-US"/>
        </w:rPr>
        <w:lastRenderedPageBreak/>
        <w:t>Syfte</w:t>
      </w:r>
    </w:p>
    <w:p w14:paraId="558F7A6B" w14:textId="77777777" w:rsidR="004C31B3" w:rsidRDefault="00137B03">
      <w:pPr>
        <w:pStyle w:val="Text"/>
      </w:pPr>
      <w:r>
        <w:rPr>
          <w:rStyle w:val="eop"/>
        </w:rPr>
        <w:t xml:space="preserve">Bifogat dokument listar läkemedel som </w:t>
      </w:r>
      <w:proofErr w:type="spellStart"/>
      <w:r>
        <w:rPr>
          <w:rStyle w:val="eop"/>
        </w:rPr>
        <w:t>anvä</w:t>
      </w:r>
      <w:proofErr w:type="spellEnd"/>
      <w:r>
        <w:rPr>
          <w:rStyle w:val="eop"/>
          <w:lang w:val="fr-FR"/>
        </w:rPr>
        <w:t>nds p</w:t>
      </w:r>
      <w:r>
        <w:rPr>
          <w:rStyle w:val="eop"/>
        </w:rPr>
        <w:t xml:space="preserve">å NÄL. Listan (länken finns längst ner) ska underlätta förskrivning av rätt dos, uppmärksamma ökade risker för biverkningar, </w:t>
      </w:r>
      <w:proofErr w:type="spellStart"/>
      <w:r>
        <w:rPr>
          <w:rStyle w:val="eop"/>
        </w:rPr>
        <w:t>hjä</w:t>
      </w:r>
      <w:proofErr w:type="spellEnd"/>
      <w:r>
        <w:rPr>
          <w:rStyle w:val="eop"/>
          <w:lang w:val="es-ES_tradnl"/>
        </w:rPr>
        <w:t>lpa v</w:t>
      </w:r>
      <w:proofErr w:type="spellStart"/>
      <w:r>
        <w:rPr>
          <w:rStyle w:val="eop"/>
        </w:rPr>
        <w:t>älja</w:t>
      </w:r>
      <w:proofErr w:type="spellEnd"/>
      <w:r>
        <w:rPr>
          <w:rStyle w:val="eop"/>
        </w:rPr>
        <w:t xml:space="preserve"> rätt preparat inom olika läkemedelsgrupper, och undvika olämpliga mediciner.</w:t>
      </w:r>
    </w:p>
    <w:p w14:paraId="7C582ECA" w14:textId="77777777" w:rsidR="004C31B3" w:rsidRDefault="004C31B3">
      <w:pPr>
        <w:pStyle w:val="Text"/>
        <w:suppressAutoHyphens/>
        <w:spacing w:after="0" w:line="240" w:lineRule="auto"/>
        <w:ind w:left="0" w:right="0"/>
        <w:rPr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5E07F178" w14:textId="77777777" w:rsidR="004C31B3" w:rsidRDefault="00137B03" w:rsidP="5D3E8356">
      <w:pPr>
        <w:pStyle w:val="MellanrubrikVGR"/>
        <w:rPr>
          <w:rStyle w:val="eop"/>
          <w:lang w:val="en-US"/>
        </w:rPr>
      </w:pPr>
      <w:r w:rsidRPr="5D3E8356">
        <w:rPr>
          <w:rStyle w:val="eop"/>
          <w:lang w:val="en-US"/>
        </w:rPr>
        <w:t>Begränsningar</w:t>
      </w:r>
    </w:p>
    <w:p w14:paraId="71C76C9F" w14:textId="77777777" w:rsidR="004C31B3" w:rsidRDefault="00137B03">
      <w:pPr>
        <w:pStyle w:val="Text"/>
        <w:rPr>
          <w:rStyle w:val="eop"/>
        </w:rPr>
      </w:pPr>
      <w:r>
        <w:rPr>
          <w:rStyle w:val="eop"/>
        </w:rPr>
        <w:t xml:space="preserve">Denna lista kan inte tillämpas till patient med akut </w:t>
      </w:r>
      <w:proofErr w:type="spellStart"/>
      <w:r>
        <w:rPr>
          <w:rStyle w:val="eop"/>
        </w:rPr>
        <w:t>dekompenserad</w:t>
      </w:r>
      <w:proofErr w:type="spellEnd"/>
      <w:r>
        <w:rPr>
          <w:rStyle w:val="eop"/>
        </w:rPr>
        <w:t xml:space="preserve"> levercirrhos, akut hepatit eller akut leversvikt, eller vid TIPS. I s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dana fall mer individuell </w:t>
      </w:r>
      <w:proofErr w:type="spellStart"/>
      <w:r>
        <w:rPr>
          <w:rStyle w:val="eop"/>
        </w:rPr>
        <w:t>bedö</w:t>
      </w:r>
      <w:r>
        <w:rPr>
          <w:rStyle w:val="eop"/>
          <w:lang w:val="en-US"/>
        </w:rPr>
        <w:t>mning</w:t>
      </w:r>
      <w:proofErr w:type="spellEnd"/>
      <w:r>
        <w:rPr>
          <w:rStyle w:val="eop"/>
          <w:lang w:val="en-US"/>
        </w:rPr>
        <w:t xml:space="preserve"> </w:t>
      </w:r>
      <w:proofErr w:type="spellStart"/>
      <w:r>
        <w:rPr>
          <w:rStyle w:val="eop"/>
          <w:lang w:val="en-US"/>
        </w:rPr>
        <w:t>beh</w:t>
      </w:r>
      <w:r>
        <w:rPr>
          <w:rStyle w:val="eop"/>
        </w:rPr>
        <w:t>övs</w:t>
      </w:r>
      <w:proofErr w:type="spellEnd"/>
      <w:r>
        <w:rPr>
          <w:rStyle w:val="eop"/>
        </w:rPr>
        <w:t>. Rekommendationer anser inte patienter med samtidigt njursvikt som kan vara en viktigare faktor!</w:t>
      </w:r>
    </w:p>
    <w:p w14:paraId="0A9EFC69" w14:textId="77777777" w:rsidR="004C31B3" w:rsidRDefault="004C31B3">
      <w:pPr>
        <w:pStyle w:val="Text"/>
        <w:suppressAutoHyphens/>
        <w:spacing w:after="0" w:line="240" w:lineRule="auto"/>
        <w:ind w:left="0" w:right="0"/>
        <w:rPr>
          <w:rFonts w:ascii="Calibri" w:eastAsia="Calibri" w:hAnsi="Calibri" w:cs="Calibri"/>
          <w:b/>
          <w:bCs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10460A4F" w14:textId="77777777" w:rsidR="004C31B3" w:rsidRDefault="00137B03" w:rsidP="5D3E8356">
      <w:pPr>
        <w:pStyle w:val="MellanrubrikVGR"/>
        <w:rPr>
          <w:rStyle w:val="eop"/>
          <w:lang w:val="en-US"/>
        </w:rPr>
      </w:pPr>
      <w:r w:rsidRPr="5D3E8356">
        <w:rPr>
          <w:rStyle w:val="eop"/>
          <w:lang w:val="en-US"/>
        </w:rPr>
        <w:t>Lämplig användning</w:t>
      </w:r>
    </w:p>
    <w:p w14:paraId="6A063B15" w14:textId="77777777" w:rsidR="004C31B3" w:rsidRDefault="00137B03">
      <w:pPr>
        <w:pStyle w:val="Text"/>
        <w:rPr>
          <w:rStyle w:val="eop"/>
        </w:rPr>
      </w:pPr>
      <w:r>
        <w:rPr>
          <w:rStyle w:val="eop"/>
        </w:rPr>
        <w:t xml:space="preserve">Listan anser </w:t>
      </w:r>
      <w:proofErr w:type="spellStart"/>
      <w:r>
        <w:rPr>
          <w:rStyle w:val="eop"/>
        </w:rPr>
        <w:t>frä</w:t>
      </w:r>
      <w:proofErr w:type="spellEnd"/>
      <w:r>
        <w:rPr>
          <w:rStyle w:val="eop"/>
          <w:lang w:val="da-DK"/>
        </w:rPr>
        <w:t xml:space="preserve">mst patienter som </w:t>
      </w:r>
      <w:r>
        <w:rPr>
          <w:rStyle w:val="eop"/>
        </w:rPr>
        <w:t xml:space="preserve">är stabila i levercirrhos och kompenserade. Den kan </w:t>
      </w:r>
      <w:proofErr w:type="spellStart"/>
      <w:r>
        <w:rPr>
          <w:rStyle w:val="eop"/>
        </w:rPr>
        <w:t>anvä</w:t>
      </w:r>
      <w:proofErr w:type="spellEnd"/>
      <w:r>
        <w:rPr>
          <w:rStyle w:val="eop"/>
          <w:lang w:val="pt-PT"/>
        </w:rPr>
        <w:t>ndas b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de vid </w:t>
      </w:r>
      <w:proofErr w:type="spellStart"/>
      <w:r>
        <w:rPr>
          <w:rStyle w:val="eop"/>
        </w:rPr>
        <w:t>nyinsättning</w:t>
      </w:r>
      <w:proofErr w:type="spellEnd"/>
      <w:r>
        <w:rPr>
          <w:rStyle w:val="eop"/>
        </w:rPr>
        <w:t xml:space="preserve"> och </w:t>
      </w:r>
      <w:proofErr w:type="spellStart"/>
      <w:r>
        <w:rPr>
          <w:rStyle w:val="eop"/>
        </w:rPr>
        <w:t>genomg</w:t>
      </w:r>
      <w:proofErr w:type="spellEnd"/>
      <w:r>
        <w:rPr>
          <w:rStyle w:val="eop"/>
          <w:lang w:val="da-DK"/>
        </w:rPr>
        <w:t>å</w:t>
      </w:r>
      <w:proofErr w:type="spellStart"/>
      <w:r>
        <w:rPr>
          <w:rStyle w:val="eop"/>
        </w:rPr>
        <w:t>ng</w:t>
      </w:r>
      <w:proofErr w:type="spellEnd"/>
      <w:r>
        <w:rPr>
          <w:rStyle w:val="eop"/>
        </w:rPr>
        <w:t xml:space="preserve"> av p</w:t>
      </w:r>
      <w:r>
        <w:rPr>
          <w:rStyle w:val="eop"/>
          <w:lang w:val="da-DK"/>
        </w:rPr>
        <w:t>å</w:t>
      </w:r>
      <w:r>
        <w:rPr>
          <w:rStyle w:val="eop"/>
        </w:rPr>
        <w:t>g</w:t>
      </w:r>
      <w:r>
        <w:rPr>
          <w:rStyle w:val="eop"/>
          <w:lang w:val="da-DK"/>
        </w:rPr>
        <w:t>å</w:t>
      </w:r>
      <w:r>
        <w:rPr>
          <w:rStyle w:val="eop"/>
        </w:rPr>
        <w:t xml:space="preserve">ende behandling. De flesta läkemedel anser peroralt intag. Parenteral </w:t>
      </w:r>
      <w:proofErr w:type="spellStart"/>
      <w:r>
        <w:rPr>
          <w:rStyle w:val="eop"/>
        </w:rPr>
        <w:t>aplikation</w:t>
      </w:r>
      <w:proofErr w:type="spellEnd"/>
      <w:r>
        <w:rPr>
          <w:rStyle w:val="eop"/>
        </w:rPr>
        <w:t xml:space="preserve"> nä</w:t>
      </w:r>
      <w:r>
        <w:rPr>
          <w:rStyle w:val="eop"/>
          <w:lang w:val="fr-FR"/>
        </w:rPr>
        <w:t>mns f</w:t>
      </w:r>
      <w:r>
        <w:rPr>
          <w:rStyle w:val="eop"/>
        </w:rPr>
        <w:t xml:space="preserve">ör morfin, </w:t>
      </w:r>
      <w:proofErr w:type="spellStart"/>
      <w:r>
        <w:rPr>
          <w:rStyle w:val="eop"/>
        </w:rPr>
        <w:t>labetalol</w:t>
      </w:r>
      <w:proofErr w:type="spellEnd"/>
      <w:r>
        <w:rPr>
          <w:rStyle w:val="eop"/>
        </w:rPr>
        <w:t xml:space="preserve"> och </w:t>
      </w:r>
      <w:proofErr w:type="spellStart"/>
      <w:r>
        <w:rPr>
          <w:rStyle w:val="eop"/>
        </w:rPr>
        <w:t>haloperidol</w:t>
      </w:r>
      <w:proofErr w:type="spellEnd"/>
      <w:r>
        <w:rPr>
          <w:rStyle w:val="eop"/>
        </w:rPr>
        <w:t>. Dokumentet kan ge vägledning men hö</w:t>
      </w:r>
      <w:r>
        <w:rPr>
          <w:rStyle w:val="eop"/>
          <w:lang w:val="es-ES_tradnl"/>
        </w:rPr>
        <w:t>gre dos kan anv</w:t>
      </w:r>
      <w:r>
        <w:rPr>
          <w:rStyle w:val="eop"/>
        </w:rPr>
        <w:t>ändas om situation kräver det och man försäkrar noggrann övervakning av effekten och eventuella biverkningar.</w:t>
      </w:r>
    </w:p>
    <w:p w14:paraId="0C15924A" w14:textId="77777777" w:rsidR="004C31B3" w:rsidRDefault="004C31B3">
      <w:pPr>
        <w:pStyle w:val="Text"/>
        <w:suppressAutoHyphens/>
        <w:spacing w:after="0" w:line="240" w:lineRule="auto"/>
        <w:ind w:left="0" w:right="0"/>
        <w:rPr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14:paraId="264BE4DE" w14:textId="77777777" w:rsidR="004C31B3" w:rsidRDefault="00137B03">
      <w:pPr>
        <w:pStyle w:val="MellanrubrikVGR"/>
        <w:rPr>
          <w:rStyle w:val="eop"/>
        </w:rPr>
      </w:pPr>
      <w:r>
        <w:rPr>
          <w:rStyle w:val="eop"/>
        </w:rPr>
        <w:t>Child-Pugh score</w:t>
      </w:r>
    </w:p>
    <w:p w14:paraId="4897E90C" w14:textId="77777777" w:rsidR="004C31B3" w:rsidRDefault="00137B03">
      <w:pPr>
        <w:pStyle w:val="Text"/>
        <w:rPr>
          <w:rStyle w:val="eop"/>
        </w:rPr>
      </w:pPr>
      <w:r>
        <w:rPr>
          <w:rStyle w:val="eop"/>
          <w:lang w:val="en-US"/>
        </w:rPr>
        <w:t xml:space="preserve">Child-Pugh score </w:t>
      </w:r>
      <w:r>
        <w:rPr>
          <w:rStyle w:val="eop"/>
        </w:rPr>
        <w:t>ä</w:t>
      </w:r>
      <w:r>
        <w:rPr>
          <w:rStyle w:val="eop"/>
          <w:lang w:val="nl-NL"/>
        </w:rPr>
        <w:t>r en v</w:t>
      </w:r>
      <w:proofErr w:type="spellStart"/>
      <w:r>
        <w:rPr>
          <w:rStyle w:val="eop"/>
        </w:rPr>
        <w:t>äletablerad</w:t>
      </w:r>
      <w:proofErr w:type="spellEnd"/>
      <w:r>
        <w:rPr>
          <w:rStyle w:val="eop"/>
        </w:rPr>
        <w:t xml:space="preserve"> men en grov skattning av cirrhosgrad och även om skalan inte är avsett för prediktion av farmakokinetik rekommenderar EMA denna som surrogatmarker </w:t>
      </w:r>
      <w:proofErr w:type="spellStart"/>
      <w:r>
        <w:rPr>
          <w:rStyle w:val="eop"/>
        </w:rPr>
        <w:t>fö</w:t>
      </w:r>
      <w:proofErr w:type="spellEnd"/>
      <w:r>
        <w:rPr>
          <w:rStyle w:val="eop"/>
          <w:lang w:val="da-DK"/>
        </w:rPr>
        <w:t>r bed</w:t>
      </w:r>
      <w:proofErr w:type="spellStart"/>
      <w:r>
        <w:rPr>
          <w:rStyle w:val="eop"/>
        </w:rPr>
        <w:t>ömning</w:t>
      </w:r>
      <w:proofErr w:type="spellEnd"/>
      <w:r>
        <w:rPr>
          <w:rStyle w:val="eop"/>
        </w:rPr>
        <w:t xml:space="preserve"> av leverfunktion.</w:t>
      </w:r>
      <w:r>
        <w:rPr>
          <w:rFonts w:ascii="Helvetica Neue" w:hAnsi="Helvetica Neue"/>
        </w:rPr>
        <w:t xml:space="preserve"> </w:t>
      </w:r>
      <w:r>
        <w:rPr>
          <w:rStyle w:val="eop"/>
        </w:rPr>
        <w:t xml:space="preserve">Child-Pugh score kan variera hos samma patient under tid och detta ska också </w:t>
      </w:r>
      <w:proofErr w:type="spellStart"/>
      <w:r>
        <w:rPr>
          <w:rStyle w:val="eop"/>
        </w:rPr>
        <w:t>betä</w:t>
      </w:r>
      <w:proofErr w:type="spellEnd"/>
      <w:r>
        <w:rPr>
          <w:rStyle w:val="eop"/>
          <w:lang w:val="pt-PT"/>
        </w:rPr>
        <w:t>nkas.</w:t>
      </w:r>
    </w:p>
    <w:p w14:paraId="06D44762" w14:textId="77777777" w:rsidR="004C31B3" w:rsidRDefault="00137B03">
      <w:pPr>
        <w:pStyle w:val="Text"/>
        <w:rPr>
          <w:rStyle w:val="eop"/>
        </w:rPr>
      </w:pPr>
      <w:proofErr w:type="spellStart"/>
      <w:r>
        <w:rPr>
          <w:rStyle w:val="eop"/>
          <w:lang w:val="en-US"/>
        </w:rPr>
        <w:t>Obs</w:t>
      </w:r>
      <w:proofErr w:type="spellEnd"/>
      <w:r>
        <w:rPr>
          <w:rStyle w:val="eop"/>
          <w:lang w:val="en-US"/>
        </w:rPr>
        <w:t>! Mark</w:t>
      </w:r>
      <w:proofErr w:type="spellStart"/>
      <w:r>
        <w:rPr>
          <w:rStyle w:val="eop"/>
        </w:rPr>
        <w:t>örer</w:t>
      </w:r>
      <w:proofErr w:type="spellEnd"/>
      <w:r>
        <w:rPr>
          <w:rStyle w:val="eop"/>
        </w:rPr>
        <w:t xml:space="preserve"> som albumin, PK och </w:t>
      </w:r>
      <w:proofErr w:type="spellStart"/>
      <w:r>
        <w:rPr>
          <w:rStyle w:val="eop"/>
        </w:rPr>
        <w:t>bilirubin</w:t>
      </w:r>
      <w:proofErr w:type="spellEnd"/>
      <w:r>
        <w:rPr>
          <w:rStyle w:val="eop"/>
        </w:rPr>
        <w:t xml:space="preserve"> kan vara p</w:t>
      </w:r>
      <w:r>
        <w:rPr>
          <w:rStyle w:val="eop"/>
          <w:lang w:val="da-DK"/>
        </w:rPr>
        <w:t>å</w:t>
      </w:r>
      <w:r>
        <w:rPr>
          <w:rStyle w:val="eop"/>
        </w:rPr>
        <w:t>verkade av en annan anledning än cirrhos och detta m</w:t>
      </w:r>
      <w:r>
        <w:rPr>
          <w:rStyle w:val="eop"/>
          <w:lang w:val="da-DK"/>
        </w:rPr>
        <w:t>å</w:t>
      </w:r>
      <w:proofErr w:type="spellStart"/>
      <w:r>
        <w:rPr>
          <w:rStyle w:val="eop"/>
        </w:rPr>
        <w:t>ste</w:t>
      </w:r>
      <w:proofErr w:type="spellEnd"/>
      <w:r>
        <w:rPr>
          <w:rStyle w:val="eop"/>
        </w:rPr>
        <w:t xml:space="preserve"> också beaktas. </w:t>
      </w:r>
    </w:p>
    <w:p w14:paraId="18C31BCC" w14:textId="77777777" w:rsidR="004C31B3" w:rsidRDefault="00137B03">
      <w:pPr>
        <w:pStyle w:val="Text"/>
        <w:suppressAutoHyphens/>
        <w:spacing w:after="0" w:line="240" w:lineRule="auto"/>
        <w:ind w:left="0" w:right="0"/>
        <w:rPr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Helvetica Neue" w:eastAsia="Helvetica Neue" w:hAnsi="Helvetica Neue" w:cs="Helvetica Neue"/>
          <w:noProof/>
          <w:sz w:val="22"/>
          <w:szCs w:val="22"/>
        </w:rPr>
        <w:lastRenderedPageBreak/>
        <w:drawing>
          <wp:anchor distT="152400" distB="152400" distL="152400" distR="152400" simplePos="0" relativeHeight="251659264" behindDoc="0" locked="0" layoutInCell="1" allowOverlap="1" wp14:anchorId="41148162" wp14:editId="4AB46A56">
            <wp:simplePos x="0" y="0"/>
            <wp:positionH relativeFrom="page">
              <wp:posOffset>942740</wp:posOffset>
            </wp:positionH>
            <wp:positionV relativeFrom="line">
              <wp:posOffset>377825</wp:posOffset>
            </wp:positionV>
            <wp:extent cx="6120058" cy="3020965"/>
            <wp:effectExtent l="0" t="0" r="0" b="0"/>
            <wp:wrapThrough wrapText="bothSides" distL="152400" distR="152400">
              <wp:wrapPolygon edited="1">
                <wp:start x="0" y="0"/>
                <wp:lineTo x="21600" y="0"/>
                <wp:lineTo x="21600" y="21603"/>
                <wp:lineTo x="0" y="21603"/>
                <wp:lineTo x="0" y="0"/>
              </wp:wrapPolygon>
            </wp:wrapThrough>
            <wp:docPr id="1073741828" name="officeArt object" descr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officeArt object" descr="officeArt object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120058" cy="302096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00E267F" w14:textId="77777777" w:rsidR="004C31B3" w:rsidRDefault="00137B03">
      <w:pPr>
        <w:pStyle w:val="Text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uppressAutoHyphens/>
        <w:spacing w:after="0" w:line="240" w:lineRule="auto"/>
        <w:ind w:left="0" w:right="0"/>
        <w:rPr>
          <w:rStyle w:val="dn"/>
          <w:rFonts w:ascii="Arial Unicode MS" w:hAnsi="Arial Unicode MS"/>
          <w:sz w:val="22"/>
          <w:szCs w:val="22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b/>
          <w:bCs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Child-Pugh </w:t>
      </w:r>
      <w:proofErr w:type="spellStart"/>
      <w:r>
        <w:rPr>
          <w:b/>
          <w:bCs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kalkylator</w:t>
      </w:r>
      <w:proofErr w:type="spellEnd"/>
      <w:r>
        <w:rPr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</w:t>
      </w:r>
      <w:hyperlink r:id="rId12" w:history="1">
        <w:r>
          <w:rPr>
            <w:rStyle w:val="Hyperlink0"/>
          </w:rPr>
          <w:t>http://icd.internetmedicin.se/Child-Pugh</w:t>
        </w:r>
      </w:hyperlink>
    </w:p>
    <w:p w14:paraId="3E8E4FE3" w14:textId="28E47466" w:rsidR="00126617" w:rsidRPr="00126617" w:rsidRDefault="00126617" w:rsidP="00126617">
      <w:pPr>
        <w:pStyle w:val="Rubrik2"/>
      </w:pPr>
      <w:r>
        <w:t xml:space="preserve">Begränsningar </w:t>
      </w:r>
    </w:p>
    <w:p w14:paraId="3A69B2FE" w14:textId="0F49CF36" w:rsidR="004C31B3" w:rsidRPr="00126617" w:rsidRDefault="00137B03" w:rsidP="00126617">
      <w:pPr>
        <w:pStyle w:val="Punktlista"/>
        <w:numPr>
          <w:ilvl w:val="0"/>
          <w:numId w:val="2"/>
        </w:numPr>
      </w:pPr>
      <w:r w:rsidRPr="00126617">
        <w:rPr>
          <w:rStyle w:val="eop"/>
          <w:rFonts w:eastAsia="Arial Unicode MS" w:cs="Arial Unicode MS"/>
          <w:lang w:val="en-US"/>
        </w:rPr>
        <w:t xml:space="preserve">Nedan lista anser främst patienter som är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stabila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i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levercirrhos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r w:rsidR="00126617" w:rsidRPr="00126617">
        <w:rPr>
          <w:rStyle w:val="eop"/>
          <w:rFonts w:eastAsia="Arial Unicode MS" w:cs="Arial Unicode MS"/>
          <w:lang w:val="en-US"/>
        </w:rPr>
        <w:t xml:space="preserve">och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kan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användas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både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vid nyinsättning och genomgång av pågående behandling.  </w:t>
      </w:r>
    </w:p>
    <w:p w14:paraId="0404885A" w14:textId="769DA974" w:rsidR="004C31B3" w:rsidRPr="00126617" w:rsidRDefault="00137B03">
      <w:pPr>
        <w:pStyle w:val="Punktlista"/>
        <w:numPr>
          <w:ilvl w:val="0"/>
          <w:numId w:val="2"/>
        </w:numPr>
      </w:pPr>
      <w:r w:rsidRPr="00126617">
        <w:rPr>
          <w:rStyle w:val="eop"/>
          <w:rFonts w:eastAsia="Arial Unicode MS" w:cs="Arial Unicode MS"/>
          <w:lang w:val="en-US"/>
        </w:rPr>
        <w:t xml:space="preserve">Listan kan inte tillämpas till patient med akut dekompenserat levercirrhos (varixblödning, stor ascites, akut njursvikt), TIPS, akut hepatit eller akut leversvikt och i sådana fall mer individuell bedömning behövs.  Rekommendationer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anser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inte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patienter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med</w:t>
      </w:r>
      <w:r w:rsidR="002849D8">
        <w:rPr>
          <w:rStyle w:val="eop"/>
          <w:rFonts w:eastAsia="Arial Unicode MS" w:cs="Arial Unicode MS"/>
          <w:lang w:val="en-US"/>
        </w:rPr>
        <w:t xml:space="preserve"> till exempel</w:t>
      </w:r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samtidigt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</w:t>
      </w:r>
      <w:proofErr w:type="spellStart"/>
      <w:r w:rsidRPr="00126617">
        <w:rPr>
          <w:rStyle w:val="eop"/>
          <w:rFonts w:eastAsia="Arial Unicode MS" w:cs="Arial Unicode MS"/>
          <w:lang w:val="en-US"/>
        </w:rPr>
        <w:t>njursvikt</w:t>
      </w:r>
      <w:proofErr w:type="spellEnd"/>
      <w:r w:rsidRPr="00126617">
        <w:rPr>
          <w:rStyle w:val="eop"/>
          <w:rFonts w:eastAsia="Arial Unicode MS" w:cs="Arial Unicode MS"/>
          <w:lang w:val="en-US"/>
        </w:rPr>
        <w:t xml:space="preserve"> som kan vara viktigare faktor! </w:t>
      </w:r>
    </w:p>
    <w:p w14:paraId="3CEFA283" w14:textId="77777777" w:rsidR="004C31B3" w:rsidRPr="00126617" w:rsidRDefault="00137B03">
      <w:pPr>
        <w:pStyle w:val="Punktlista"/>
        <w:numPr>
          <w:ilvl w:val="0"/>
          <w:numId w:val="2"/>
        </w:numPr>
      </w:pPr>
      <w:r w:rsidRPr="00126617">
        <w:rPr>
          <w:rStyle w:val="eop"/>
          <w:rFonts w:eastAsia="Arial Unicode MS" w:cs="Arial Unicode MS"/>
          <w:lang w:val="en-US"/>
        </w:rPr>
        <w:t>Patienter kan ha nytta av högre doser än dem angivna här men nogrann övervakning av effekt och biverkningar krävs.</w:t>
      </w:r>
    </w:p>
    <w:p w14:paraId="503A4FCF" w14:textId="77777777" w:rsidR="004C31B3" w:rsidRDefault="004C31B3">
      <w:pPr>
        <w:pStyle w:val="Punktlista"/>
        <w:ind w:left="1712" w:right="0" w:hanging="357"/>
      </w:pPr>
    </w:p>
    <w:tbl>
      <w:tblPr>
        <w:tblStyle w:val="TableNormal"/>
        <w:tblW w:w="21917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1DC"/>
        <w:tblLayout w:type="fixed"/>
        <w:tblLook w:val="04A0" w:firstRow="1" w:lastRow="0" w:firstColumn="1" w:lastColumn="0" w:noHBand="0" w:noVBand="1"/>
      </w:tblPr>
      <w:tblGrid>
        <w:gridCol w:w="1940"/>
        <w:gridCol w:w="3700"/>
        <w:gridCol w:w="3820"/>
        <w:gridCol w:w="12457"/>
      </w:tblGrid>
      <w:tr w:rsidR="004C31B3" w14:paraId="42EB19BA" w14:textId="77777777" w:rsidTr="5D3E8356">
        <w:trPr>
          <w:trHeight w:val="741"/>
        </w:trPr>
        <w:tc>
          <w:tcPr>
            <w:tcW w:w="19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14985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 xml:space="preserve">Förkortningar: </w:t>
            </w:r>
          </w:p>
        </w:tc>
        <w:tc>
          <w:tcPr>
            <w:tcW w:w="3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4D070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</w:t>
            </w:r>
          </w:p>
        </w:tc>
        <w:tc>
          <w:tcPr>
            <w:tcW w:w="3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D57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"börja med"</w:t>
            </w:r>
          </w:p>
        </w:tc>
        <w:tc>
          <w:tcPr>
            <w:tcW w:w="12457" w:type="dxa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F436E7" w14:textId="77777777" w:rsidR="004C31B3" w:rsidRDefault="004C31B3"/>
        </w:tc>
      </w:tr>
      <w:tr w:rsidR="004C31B3" w14:paraId="7E016BA5" w14:textId="77777777" w:rsidTr="5D3E8356">
        <w:trPr>
          <w:trHeight w:val="288"/>
        </w:trPr>
        <w:tc>
          <w:tcPr>
            <w:tcW w:w="1940" w:type="dxa"/>
            <w:tcBorders>
              <w:top w:val="single" w:sz="4" w:space="0" w:color="000000" w:themeColor="text1"/>
              <w:left w:val="nil"/>
              <w:bottom w:val="nil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46DE4B" w14:textId="77777777" w:rsidR="004C31B3" w:rsidRDefault="004C31B3"/>
        </w:tc>
        <w:tc>
          <w:tcPr>
            <w:tcW w:w="3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CAC866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ND  </w:t>
            </w:r>
          </w:p>
        </w:tc>
        <w:tc>
          <w:tcPr>
            <w:tcW w:w="3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76D32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</w:t>
            </w:r>
          </w:p>
        </w:tc>
        <w:tc>
          <w:tcPr>
            <w:tcW w:w="12457" w:type="dxa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8EB6A4" w14:textId="77777777" w:rsidR="004C31B3" w:rsidRDefault="004C31B3"/>
        </w:tc>
      </w:tr>
      <w:tr w:rsidR="004C31B3" w14:paraId="27700A09" w14:textId="77777777" w:rsidTr="5D3E8356">
        <w:trPr>
          <w:trHeight w:val="491"/>
        </w:trPr>
        <w:tc>
          <w:tcPr>
            <w:tcW w:w="1940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8B9062" w14:textId="77777777" w:rsidR="004C31B3" w:rsidRDefault="004C31B3"/>
        </w:tc>
        <w:tc>
          <w:tcPr>
            <w:tcW w:w="3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2EACC8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ChP  </w:t>
            </w:r>
          </w:p>
        </w:tc>
        <w:tc>
          <w:tcPr>
            <w:tcW w:w="3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A762C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Child-Pugh score</w:t>
            </w:r>
          </w:p>
        </w:tc>
        <w:tc>
          <w:tcPr>
            <w:tcW w:w="12457" w:type="dxa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862CC3" w14:textId="77777777" w:rsidR="004C31B3" w:rsidRDefault="004C31B3"/>
        </w:tc>
      </w:tr>
      <w:tr w:rsidR="004C31B3" w14:paraId="4A611FE4" w14:textId="77777777" w:rsidTr="5D3E8356">
        <w:trPr>
          <w:trHeight w:val="491"/>
        </w:trPr>
        <w:tc>
          <w:tcPr>
            <w:tcW w:w="1940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3DC2E7" w14:textId="77777777" w:rsidR="004C31B3" w:rsidRDefault="004C31B3"/>
        </w:tc>
        <w:tc>
          <w:tcPr>
            <w:tcW w:w="3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6AE445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URL </w:t>
            </w:r>
          </w:p>
        </w:tc>
        <w:tc>
          <w:tcPr>
            <w:tcW w:w="3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4086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upper</w:t>
            </w:r>
            <w:proofErr w:type="spellEnd"/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reference</w:t>
            </w:r>
            <w:proofErr w:type="spellEnd"/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limit</w:t>
            </w:r>
          </w:p>
        </w:tc>
        <w:tc>
          <w:tcPr>
            <w:tcW w:w="12457" w:type="dxa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8423E0" w14:textId="77777777" w:rsidR="004C31B3" w:rsidRDefault="004C31B3"/>
        </w:tc>
      </w:tr>
      <w:tr w:rsidR="004C31B3" w14:paraId="31DD3273" w14:textId="77777777" w:rsidTr="5D3E8356">
        <w:trPr>
          <w:trHeight w:val="310"/>
        </w:trPr>
        <w:tc>
          <w:tcPr>
            <w:tcW w:w="2191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bottom"/>
          </w:tcPr>
          <w:p w14:paraId="0B114DAA" w14:textId="77777777" w:rsidR="004C31B3" w:rsidRDefault="004C31B3"/>
        </w:tc>
      </w:tr>
    </w:tbl>
    <w:p w14:paraId="0E2BCAD5" w14:textId="77777777" w:rsidR="00137B03" w:rsidRPr="00137B03" w:rsidRDefault="00137B03" w:rsidP="00137B03">
      <w:pPr>
        <w:rPr>
          <w:lang w:val="sv-SE" w:eastAsia="sv-SE"/>
        </w:rPr>
        <w:sectPr w:rsidR="00137B03" w:rsidRPr="00137B03">
          <w:headerReference w:type="default" r:id="rId13"/>
          <w:footerReference w:type="default" r:id="rId14"/>
          <w:headerReference w:type="first" r:id="rId15"/>
          <w:footerReference w:type="first" r:id="rId16"/>
          <w:pgSz w:w="11900" w:h="16840"/>
          <w:pgMar w:top="1418" w:right="1979" w:bottom="1276" w:left="992" w:header="284" w:footer="737" w:gutter="0"/>
          <w:cols w:space="720"/>
          <w:titlePg/>
        </w:sectPr>
      </w:pPr>
    </w:p>
    <w:tbl>
      <w:tblPr>
        <w:tblStyle w:val="TableNormal"/>
        <w:tblW w:w="918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1DC"/>
        <w:tblLayout w:type="fixed"/>
        <w:tblLook w:val="04A0" w:firstRow="1" w:lastRow="0" w:firstColumn="1" w:lastColumn="0" w:noHBand="0" w:noVBand="1"/>
      </w:tblPr>
      <w:tblGrid>
        <w:gridCol w:w="1275"/>
        <w:gridCol w:w="1134"/>
        <w:gridCol w:w="1248"/>
        <w:gridCol w:w="1605"/>
        <w:gridCol w:w="3924"/>
      </w:tblGrid>
      <w:tr w:rsidR="004C31B3" w14:paraId="3BD6DFBB" w14:textId="77777777" w:rsidTr="5D3E8356">
        <w:trPr>
          <w:trHeight w:val="226"/>
        </w:trPr>
        <w:tc>
          <w:tcPr>
            <w:tcW w:w="1274" w:type="dxa"/>
            <w:tcBorders>
              <w:top w:val="nil"/>
              <w:left w:val="nil"/>
              <w:bottom w:val="single" w:sz="4" w:space="0" w:color="9CC2E5"/>
              <w:right w:val="nil"/>
            </w:tcBorders>
            <w:shd w:val="clear" w:color="auto" w:fill="D9E2F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11044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lastRenderedPageBreak/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9CC2E5"/>
              <w:right w:val="nil"/>
            </w:tcBorders>
            <w:shd w:val="clear" w:color="auto" w:fill="D9E2F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EF44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ChP-A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9CC2E5"/>
              <w:right w:val="nil"/>
            </w:tcBorders>
            <w:shd w:val="clear" w:color="auto" w:fill="D9E2F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4E671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ChP-B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9CC2E5"/>
              <w:right w:val="nil"/>
            </w:tcBorders>
            <w:shd w:val="clear" w:color="auto" w:fill="D9E2F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D5BDA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ChP-C</w:t>
            </w:r>
          </w:p>
        </w:tc>
        <w:tc>
          <w:tcPr>
            <w:tcW w:w="3923" w:type="dxa"/>
            <w:tcBorders>
              <w:top w:val="nil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8FFB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kommentar</w:t>
            </w:r>
          </w:p>
        </w:tc>
      </w:tr>
      <w:tr w:rsidR="004C31B3" w14:paraId="269C5D7C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1D10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Smärtstilande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CC564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15C03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7D196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44B9E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A8563C6" w14:textId="77777777" w:rsidTr="5D3E8356">
        <w:trPr>
          <w:trHeight w:val="74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BB28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Paracetamol</w:t>
            </w:r>
          </w:p>
        </w:tc>
        <w:tc>
          <w:tcPr>
            <w:tcW w:w="1133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1FCAD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normal dos (upp till 3-4g/d) (1) *</w:t>
            </w:r>
          </w:p>
        </w:tc>
        <w:tc>
          <w:tcPr>
            <w:tcW w:w="1248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6B4D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normal dos (upp till 3-4g/d) (1) *</w:t>
            </w:r>
          </w:p>
        </w:tc>
        <w:tc>
          <w:tcPr>
            <w:tcW w:w="1605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4552A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normal dos (upp till 3-4g/d) (1) *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81D99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* pågående alkoholmissbruk eller/och undernäring/vikt&lt;50kg eller dekompensation: max 2g/d </w:t>
            </w:r>
          </w:p>
        </w:tc>
      </w:tr>
      <w:tr w:rsidR="004C31B3" w14:paraId="7CCB9A05" w14:textId="77777777" w:rsidTr="5D3E8356">
        <w:trPr>
          <w:trHeight w:val="221"/>
        </w:trPr>
        <w:tc>
          <w:tcPr>
            <w:tcW w:w="1274" w:type="dxa"/>
            <w:vMerge/>
          </w:tcPr>
          <w:p w14:paraId="1A518EAE" w14:textId="77777777" w:rsidR="004C31B3" w:rsidRDefault="004C31B3"/>
        </w:tc>
        <w:tc>
          <w:tcPr>
            <w:tcW w:w="1133" w:type="dxa"/>
            <w:vMerge/>
          </w:tcPr>
          <w:p w14:paraId="45DB6454" w14:textId="77777777" w:rsidR="004C31B3" w:rsidRDefault="004C31B3"/>
        </w:tc>
        <w:tc>
          <w:tcPr>
            <w:tcW w:w="1248" w:type="dxa"/>
            <w:vMerge/>
          </w:tcPr>
          <w:p w14:paraId="0CA4D06C" w14:textId="77777777" w:rsidR="004C31B3" w:rsidRDefault="004C31B3"/>
        </w:tc>
        <w:tc>
          <w:tcPr>
            <w:tcW w:w="1605" w:type="dxa"/>
            <w:vMerge/>
          </w:tcPr>
          <w:p w14:paraId="29DC73E9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69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577FB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  </w:t>
            </w:r>
          </w:p>
        </w:tc>
      </w:tr>
      <w:tr w:rsidR="004C31B3" w14:paraId="338CD5A7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E0AC6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NSAID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2A53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undvikas (1,2)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C7FE0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undvikas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81E7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668F1C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risk för njurpåverkan och GI-blödning</w:t>
            </w:r>
          </w:p>
        </w:tc>
      </w:tr>
      <w:tr w:rsidR="004C31B3" w14:paraId="20C3BA74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ED2F2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Opioider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36C09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7170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8B4D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3B088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 xml:space="preserve"> Gäller opioid-naiva patienter! förlängd halveringstid och ökad exponering.</w:t>
            </w:r>
          </w:p>
        </w:tc>
      </w:tr>
      <w:tr w:rsidR="004C31B3" w14:paraId="056214C0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D4B495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Oxikodon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2073B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med 1/2 dos, max 10mg/dygn (1,2) 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035D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50%, max 10mg/dygn (1,2) 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1424E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50% + fördubbla dosintervall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D9035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kortverkande oral lösning 1mg/ml finns, långverkande: t.e. 5mgx2</w:t>
            </w:r>
          </w:p>
        </w:tc>
      </w:tr>
      <w:tr w:rsidR="004C31B3" w14:paraId="048E9399" w14:textId="77777777" w:rsidTr="5D3E8356">
        <w:trPr>
          <w:trHeight w:val="53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C2ABB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Morfin p.o.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418A0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50%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26F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50%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DCEE4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25%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AE44B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oral lösning2 mg/ml finns</w:t>
            </w:r>
          </w:p>
        </w:tc>
      </w:tr>
      <w:tr w:rsidR="004C31B3" w14:paraId="0C3DA6E7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C0FEC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Morfin parenteralt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FA892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6CA95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fördubblat dosintervall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AA027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fördubblat dosintervall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2E6D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4995A9E4" w14:textId="77777777" w:rsidTr="5D3E8356">
        <w:trPr>
          <w:trHeight w:val="131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389D4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Tapentadol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73AF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9EAF3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50mg, minst var 8:e timme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B57AF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B64C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02F2B9CA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A35EE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Tapentadol</w:t>
            </w:r>
            <w:proofErr w:type="spellEnd"/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depot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7BA96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1F32E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50mg, max 1gg/dygn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EFC6B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83B2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351E8AA1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CE33B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Kodein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A2588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000000" w:themeColor="text1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2A551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EE9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0DDE8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kodein är prodrug till morfin. Dålig effekt vid cirrhos, ökad exponering</w:t>
            </w:r>
          </w:p>
        </w:tc>
      </w:tr>
      <w:tr w:rsidR="004C31B3" w14:paraId="662DD50C" w14:textId="77777777" w:rsidTr="5D3E8356">
        <w:trPr>
          <w:trHeight w:val="1059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B9150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Tramadol (ej depot)</w:t>
            </w:r>
          </w:p>
        </w:tc>
        <w:tc>
          <w:tcPr>
            <w:tcW w:w="1133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000000" w:themeColor="text1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69C0B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50mg var 12:e timme (1)</w:t>
            </w:r>
          </w:p>
        </w:tc>
        <w:tc>
          <w:tcPr>
            <w:tcW w:w="12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9CC2E5"/>
              <w:right w:val="single" w:sz="4" w:space="0" w:color="000000" w:themeColor="text1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13AF8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25mg var 12:e timme, </w:t>
            </w:r>
          </w:p>
        </w:tc>
        <w:tc>
          <w:tcPr>
            <w:tcW w:w="1605" w:type="dxa"/>
            <w:vMerge w:val="restart"/>
            <w:tcBorders>
              <w:top w:val="single" w:sz="4" w:space="0" w:color="9CC2E5"/>
              <w:left w:val="single" w:sz="4" w:space="0" w:color="000000" w:themeColor="text1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40E57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kontraindicerat (2)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AF0A6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sänker tröskel för krampanfall!</w:t>
            </w:r>
          </w:p>
        </w:tc>
      </w:tr>
      <w:tr w:rsidR="004C31B3" w14:paraId="6EE0A430" w14:textId="77777777" w:rsidTr="5D3E8356">
        <w:trPr>
          <w:trHeight w:val="1001"/>
        </w:trPr>
        <w:tc>
          <w:tcPr>
            <w:tcW w:w="1274" w:type="dxa"/>
            <w:vMerge/>
          </w:tcPr>
          <w:p w14:paraId="075314D7" w14:textId="77777777" w:rsidR="004C31B3" w:rsidRDefault="004C31B3"/>
        </w:tc>
        <w:tc>
          <w:tcPr>
            <w:tcW w:w="1133" w:type="dxa"/>
            <w:vMerge/>
          </w:tcPr>
          <w:p w14:paraId="195329AA" w14:textId="77777777" w:rsidR="004C31B3" w:rsidRDefault="004C31B3"/>
        </w:tc>
        <w:tc>
          <w:tcPr>
            <w:tcW w:w="1248" w:type="dxa"/>
            <w:tcBorders>
              <w:top w:val="single" w:sz="4" w:space="0" w:color="9CC2E5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72230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- max 100mg var 12:e timme (1)</w:t>
            </w:r>
          </w:p>
        </w:tc>
        <w:tc>
          <w:tcPr>
            <w:tcW w:w="1605" w:type="dxa"/>
            <w:vMerge/>
          </w:tcPr>
          <w:p w14:paraId="03B63C81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BD17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3EE2CA8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07C857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lastRenderedPageBreak/>
              <w:t>Sömn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9D7D3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000000" w:themeColor="text1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D93EA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59C2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847E4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Kan potentiera leverencefalopati. Fölängd halveringstid och ökad exponering</w:t>
            </w:r>
          </w:p>
        </w:tc>
      </w:tr>
      <w:tr w:rsidR="004C31B3" w14:paraId="2E32A36E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341D5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Zopiklon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A90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3,75mg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42745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3,75mg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77198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1B59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prioriteras</w:t>
            </w:r>
          </w:p>
        </w:tc>
      </w:tr>
      <w:tr w:rsidR="004C31B3" w14:paraId="389B3B94" w14:textId="77777777" w:rsidTr="5D3E8356">
        <w:trPr>
          <w:trHeight w:val="53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B476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Zolpidem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34AC8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5mg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CC994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5mg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22176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kontraindicerat (2)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E7E07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3A21FF66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496A7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63EE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29194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BBE3C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1E369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50F8B304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4FC84B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Benzodiazepiner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C3AFB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393B2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A0079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4EED7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kan potentiera leverencefalopati, förlängd elimination</w:t>
            </w:r>
          </w:p>
        </w:tc>
      </w:tr>
      <w:tr w:rsidR="004C31B3" w14:paraId="66404699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F8708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Oxascand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02B1B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vid lägre gräns av dosintervall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692A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vid lägre gräns av dosintervall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A27CB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6F4F6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prioriteras, halveringstid hos friska 10 timmar</w:t>
            </w:r>
          </w:p>
        </w:tc>
      </w:tr>
      <w:tr w:rsidR="004C31B3" w14:paraId="597595F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E1557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Diazepam p.o.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998A8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6543E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E9BD7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kontraindicerat (2)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1771CC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halveringstid hos friska 20-70 timmar</w:t>
            </w:r>
          </w:p>
        </w:tc>
      </w:tr>
      <w:tr w:rsidR="004C31B3" w14:paraId="6441B374" w14:textId="77777777" w:rsidTr="5D3E8356">
        <w:trPr>
          <w:trHeight w:val="131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6420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Lorazepam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20BE1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vid lägre gräns av dosintervall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29829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vid lägre gräns av dosintervall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84065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50%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5155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halveringstid hos friska 12-16 timmar</w:t>
            </w:r>
          </w:p>
        </w:tc>
      </w:tr>
      <w:tr w:rsidR="004C31B3" w14:paraId="54C20800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8E501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Alprazolam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A3723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61D5D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5475F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3F343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halveringstid hos friska 12-15timmar</w:t>
            </w:r>
          </w:p>
        </w:tc>
      </w:tr>
      <w:tr w:rsidR="004C31B3" w14:paraId="11CFC927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B9DDCA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4F4D1519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Sedativa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7E56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CAC2E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A3D86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B2DCD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453867F8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649FDA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Klometiazon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55615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vid lägre gräns av dosintervall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84E74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vid lägre gräns av dosintervall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AA6FD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69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91FA33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10x ökad biotillgänglighet hos svårt leversjuka</w:t>
            </w:r>
          </w:p>
        </w:tc>
      </w:tr>
      <w:tr w:rsidR="004C31B3" w14:paraId="4AFDB227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F96F16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Antibiotika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7583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70ED4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4CBEA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3BB78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03E7D4F5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A86DC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ciprofloxacin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87CBC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A04C8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A4E32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AB690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ej i lever</w:t>
            </w:r>
          </w:p>
        </w:tc>
      </w:tr>
      <w:tr w:rsidR="004C31B3" w14:paraId="0A85A54F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17811" w14:textId="77777777" w:rsidR="004C31B3" w:rsidRDefault="00137B03"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metronidazol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C825C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F0C9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7355B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AB8120" w14:textId="77777777" w:rsidR="004C31B3" w:rsidRDefault="00137B03"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max 2 </w:t>
            </w:r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veckor</w:t>
            </w:r>
            <w:proofErr w:type="spellEnd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. risk för </w:t>
            </w:r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akumulering</w:t>
            </w:r>
            <w:proofErr w:type="spellEnd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och encefalopati vid </w:t>
            </w:r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långvarig</w:t>
            </w:r>
            <w:proofErr w:type="spellEnd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 xml:space="preserve"> </w:t>
            </w:r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användning</w:t>
            </w:r>
            <w:proofErr w:type="spellEnd"/>
          </w:p>
        </w:tc>
      </w:tr>
      <w:tr w:rsidR="004C31B3" w14:paraId="59617DB0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2384C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klaritromycin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A92E7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686E3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58E56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66A8AC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farmakokinetik påverkas inte vid cirrhos</w:t>
            </w:r>
          </w:p>
        </w:tc>
      </w:tr>
      <w:tr w:rsidR="004C31B3" w14:paraId="451FD077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1FB36A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erytromycin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32A14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6119D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296E8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81081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bör tolereras väl vid vanlig dos (1000mg/dygn)</w:t>
            </w:r>
          </w:p>
        </w:tc>
      </w:tr>
      <w:tr w:rsidR="004C31B3" w14:paraId="1456BDD8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D3FF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lastRenderedPageBreak/>
              <w:t>amoxicillin/klav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DBE5A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0652D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5093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ED67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kontroll av leverprover rekommenderas hos leversjuka (2)</w:t>
            </w:r>
          </w:p>
        </w:tc>
      </w:tr>
      <w:tr w:rsidR="004C31B3" w14:paraId="2C9D758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BDD1CC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azitromycin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6602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43278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50802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51E3D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levern, övervakning av leverprover vid ChP-C</w:t>
            </w:r>
          </w:p>
        </w:tc>
      </w:tr>
      <w:tr w:rsidR="004C31B3" w14:paraId="7658B009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B1D8F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klindamycin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DE36C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E94EF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dosintervall på minst 8 timmar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6E9D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dosintervall på minst 8 timmar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C5B90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låg risk för akumulering vid 8t intervall, vid allvarlig insuff -&gt; koncentration</w:t>
            </w:r>
          </w:p>
        </w:tc>
      </w:tr>
      <w:tr w:rsidR="004C31B3" w14:paraId="7CEBA4E8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664FB1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Trombocythämmare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C24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F33E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9A1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FC4B9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7371CA4E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8CBA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22511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Acetylsalicylsyra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8CCB8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689F2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ADB1E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8E702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ökad risk för blödning vid låg dos (75mg)</w:t>
            </w:r>
          </w:p>
        </w:tc>
      </w:tr>
      <w:tr w:rsidR="004C31B3" w14:paraId="43BD3A3C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8CBA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6B046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Clopidogrel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93CDC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4A7C0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85C51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oförutsägbar effekt, ej säker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E67FAF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 till aktiv metabolit, interindividuell variation i metabolisering</w:t>
            </w:r>
          </w:p>
        </w:tc>
      </w:tr>
      <w:tr w:rsidR="004C31B3" w14:paraId="47BD8037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6FEB95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Tikagrelol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ADA08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F4160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FD490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E8818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ökande exponering</w:t>
            </w:r>
          </w:p>
        </w:tc>
      </w:tr>
      <w:tr w:rsidR="004C31B3" w14:paraId="6A5A9D01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ECA0F6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ACEi och ARB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E7D52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A416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C7B7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78622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upptitrering under uppföljning av blodtryck och kreatinin, sätt ut vid ascites!</w:t>
            </w:r>
          </w:p>
        </w:tc>
      </w:tr>
      <w:tr w:rsidR="004C31B3" w14:paraId="3C0F7B7C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60E9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Enalapril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AAD84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minsta dosen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36F2D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minsta dosen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0E983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F250B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kraftig BT-fall efter första dos vid stark aktivering av RAAS.</w:t>
            </w:r>
          </w:p>
        </w:tc>
      </w:tr>
      <w:tr w:rsidR="004C31B3" w14:paraId="284362DE" w14:textId="77777777" w:rsidTr="5D3E8356">
        <w:trPr>
          <w:trHeight w:val="131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01195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Ramipril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35070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1,25mg (1), max 2,5mg/d (2)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5B5FC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1,25mg (1), max 2,5mg/d (2)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760CA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D0B88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216E70B7" w14:textId="77777777" w:rsidTr="5D3E8356">
        <w:trPr>
          <w:trHeight w:val="53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349A1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Candesartan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07599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 4mg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4C06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4mg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64BB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A3A7F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4F62956F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E6DDB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Losartan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D5AF6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12,5mg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B60D4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12,5mg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27D6F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6DFBD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2278DE54" w14:textId="77777777" w:rsidTr="5D3E8356">
        <w:trPr>
          <w:trHeight w:val="131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0B9D9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Valsartan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AA652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>med 50% av ND, max 80mg/d (1, 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F7703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>med 50% av ND, max 80mg/d (1, 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97FEA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10903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kontraindicerat vid kolestas, biliär cirrhos (utsöndras i galla)</w:t>
            </w:r>
          </w:p>
        </w:tc>
      </w:tr>
      <w:tr w:rsidR="004C31B3" w14:paraId="38657053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F6024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lastRenderedPageBreak/>
              <w:t>Antidiabetika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156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BB6EA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FCD0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color w:val="FFFFFF"/>
                <w:sz w:val="22"/>
                <w:szCs w:val="22"/>
                <w:u w:color="FFFFFF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9B51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7DE7685D" w14:textId="77777777" w:rsidTr="5D3E8356">
        <w:trPr>
          <w:trHeight w:val="48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2FDB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Metformin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1D107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*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0E09D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*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9C37C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14896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laktatacidos vid ChP-C</w:t>
            </w:r>
          </w:p>
        </w:tc>
      </w:tr>
      <w:tr w:rsidR="004C31B3" w14:paraId="0EBDE5A1" w14:textId="77777777" w:rsidTr="5D3E8356">
        <w:trPr>
          <w:trHeight w:val="741"/>
        </w:trPr>
        <w:tc>
          <w:tcPr>
            <w:tcW w:w="1274" w:type="dxa"/>
            <w:vMerge/>
          </w:tcPr>
          <w:p w14:paraId="319BA9FA" w14:textId="77777777" w:rsidR="004C31B3" w:rsidRDefault="004C31B3"/>
        </w:tc>
        <w:tc>
          <w:tcPr>
            <w:tcW w:w="3987" w:type="dxa"/>
            <w:gridSpan w:val="3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D4AEC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* inte rekommenderat vid pågående alkoholmissbruk, njurinsufficiens eller undernäring (laktatacidos)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4171F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576064F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1EFD4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Semaglutid s.c.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E636B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CE331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8A07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50165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påverkas inte av cirrhos, försiktighet vid ChP-C</w:t>
            </w:r>
          </w:p>
        </w:tc>
      </w:tr>
      <w:tr w:rsidR="004C31B3" w14:paraId="62EA489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DCE47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Liraglutid s.c.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353B9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BD6A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7042F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58636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bör undvikas i ChP-C enligt FASS</w:t>
            </w:r>
          </w:p>
        </w:tc>
      </w:tr>
      <w:tr w:rsidR="004C31B3" w14:paraId="6F78A9B9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EF074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Linagliptin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F7A48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70D36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6AB49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FCC9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samma koncentration som hos friska även vid ChP-C (2)</w:t>
            </w:r>
          </w:p>
        </w:tc>
      </w:tr>
      <w:tr w:rsidR="004C31B3" w14:paraId="088C034C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141B7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Sitagliptin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6F58D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B0D09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3EBAC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8F0A5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elimineras renalt, troligtvis säker i ChP-C men ingen data (2)</w:t>
            </w:r>
          </w:p>
        </w:tc>
      </w:tr>
      <w:tr w:rsidR="004C31B3" w14:paraId="3A66E416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6738B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Dapagliflozin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F8014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6B6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A8CED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5mgx1, max 10mg x1 (1,2)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133F0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4C2159A8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48FE5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Empagliflozin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51AA4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FEC78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A50E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3F72B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viss data för säker användning i ChP-C (1) men rekommenderas inte enligt FASS (2)</w:t>
            </w:r>
          </w:p>
        </w:tc>
      </w:tr>
      <w:tr w:rsidR="004C31B3" w14:paraId="7877803B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79674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Canagliflozin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7B380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21315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6EDDC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3EE8D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inte studerat i ChP-C</w:t>
            </w:r>
          </w:p>
        </w:tc>
      </w:tr>
      <w:tr w:rsidR="004C31B3" w14:paraId="3058B70C" w14:textId="77777777" w:rsidTr="5D3E8356">
        <w:trPr>
          <w:trHeight w:val="74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7F4881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Pioglitazon</w:t>
            </w:r>
          </w:p>
        </w:tc>
        <w:tc>
          <w:tcPr>
            <w:tcW w:w="1133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0D341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1248" w:type="dxa"/>
            <w:vMerge w:val="restart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9404C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1605" w:type="dxa"/>
            <w:vMerge w:val="restart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896AB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ej säker, bör undvikas 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FCF8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rekommenderas ej enligt FASS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, verkar vara säkert enligt studie, Obs: leverpåverkan</w:t>
            </w:r>
          </w:p>
        </w:tc>
      </w:tr>
      <w:tr w:rsidR="004C31B3" w14:paraId="03B3827F" w14:textId="77777777" w:rsidTr="5D3E8356">
        <w:trPr>
          <w:trHeight w:val="481"/>
        </w:trPr>
        <w:tc>
          <w:tcPr>
            <w:tcW w:w="1274" w:type="dxa"/>
            <w:vMerge/>
          </w:tcPr>
          <w:p w14:paraId="567314C2" w14:textId="77777777" w:rsidR="004C31B3" w:rsidRDefault="004C31B3"/>
        </w:tc>
        <w:tc>
          <w:tcPr>
            <w:tcW w:w="1133" w:type="dxa"/>
            <w:vMerge/>
          </w:tcPr>
          <w:p w14:paraId="17F048AC" w14:textId="77777777" w:rsidR="004C31B3" w:rsidRDefault="004C31B3"/>
        </w:tc>
        <w:tc>
          <w:tcPr>
            <w:tcW w:w="1248" w:type="dxa"/>
            <w:vMerge/>
          </w:tcPr>
          <w:p w14:paraId="78209B10" w14:textId="77777777" w:rsidR="004C31B3" w:rsidRDefault="004C31B3"/>
        </w:tc>
        <w:tc>
          <w:tcPr>
            <w:tcW w:w="1605" w:type="dxa"/>
            <w:vMerge/>
          </w:tcPr>
          <w:p w14:paraId="15E9B7F1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42473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Max 45mg vid ChP-A + B, sätta ut vid ALAT&gt;3xURF (1)</w:t>
            </w:r>
          </w:p>
        </w:tc>
      </w:tr>
      <w:tr w:rsidR="004C31B3" w14:paraId="1D6B57E7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A1F05F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Glimepirid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8F22C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559C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C2C17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851B0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hypoglykemi ffa vid samtidigt alkoholmissbruk</w:t>
            </w:r>
          </w:p>
        </w:tc>
      </w:tr>
      <w:tr w:rsidR="004C31B3" w14:paraId="65586DD5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1809C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Repaglinid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3B7DA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0,5mg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0DE5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0,5mg, max 4mg/d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6D910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2B8C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ökande exponering med cirrhosgrad, ökad risk för hypoglykemi!</w:t>
            </w:r>
          </w:p>
        </w:tc>
      </w:tr>
      <w:tr w:rsidR="004C31B3" w14:paraId="7C35B150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A6AA9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4F4D1519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B-blockerare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5A868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888B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D0D45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6F69A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kraftigt ökande exponering hos lipofila B-blockerare (Meto, Carve, Propra)</w:t>
            </w:r>
          </w:p>
        </w:tc>
      </w:tr>
      <w:tr w:rsidR="004C31B3" w14:paraId="4D822B7B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E0555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Bisoprolol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7514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3727F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0496D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max 10mg/dygn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1B1F0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0D57B725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CAE2A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lastRenderedPageBreak/>
              <w:t>Metoprolol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65F9C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2B603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1/3 av vanlig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6140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0B8E1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ökande exponering</w:t>
            </w:r>
          </w:p>
        </w:tc>
      </w:tr>
      <w:tr w:rsidR="004C31B3" w14:paraId="4301B030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19BA4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Propranolol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C9D6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högst med 20mgx3 (1,2)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FF16E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högst med 20mgx3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EE62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högst med 20mgx3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702329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exponering ökar kraftigt med svårighetsgrad av cirrhos</w:t>
            </w:r>
          </w:p>
        </w:tc>
      </w:tr>
      <w:tr w:rsidR="004C31B3" w14:paraId="4152FC2D" w14:textId="77777777" w:rsidTr="5D3E8356">
        <w:trPr>
          <w:trHeight w:val="53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D1088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Carvedilol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416D9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15794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 xml:space="preserve"> med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DA0FE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9FECF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color w:val="FF0000"/>
                <w:sz w:val="22"/>
                <w:szCs w:val="22"/>
                <w:u w:color="FF0000"/>
              </w:rPr>
              <w:t> </w:t>
            </w:r>
          </w:p>
        </w:tc>
      </w:tr>
      <w:tr w:rsidR="004C31B3" w14:paraId="37DFFF83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A11D98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Labetalol intravenös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F9227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AD002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ECDEC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2B015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exponering efter i.v. utan signifikant ökning (1)</w:t>
            </w:r>
          </w:p>
        </w:tc>
      </w:tr>
      <w:tr w:rsidR="004C31B3" w14:paraId="58E8FD3E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5A1D4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Sotalol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23159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FF72E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E710B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8C9F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leverberoende farmakokinetik</w:t>
            </w:r>
          </w:p>
        </w:tc>
      </w:tr>
      <w:tr w:rsidR="004C31B3" w14:paraId="185BE2E1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481EB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Atenolol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D05C7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77AAA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B953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F7A4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13DE9729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1B98C6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Kalciumantagonister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C09EE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9CB58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C92C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C684B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01F159B4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59AD3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Felodipine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575FC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2,5mg dagligen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9A6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2,5mg dagligen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EB43D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95FBFF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ökande exponering</w:t>
            </w:r>
          </w:p>
        </w:tc>
      </w:tr>
      <w:tr w:rsidR="004C31B3" w14:paraId="3B80A95C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0B0FB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Amlodipine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673B6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E86F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2,5mg dagligen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6C22D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2,5mg </w:t>
            </w: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varannan dag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80A683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KRKA och Norvasc 5mg är delbar</w:t>
            </w:r>
          </w:p>
        </w:tc>
      </w:tr>
      <w:tr w:rsidR="004C31B3" w14:paraId="2684D1E2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EE09F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Verapamil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01E10A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40mg, 12t mellanrum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2303F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40mg, 12t mellanrum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5BF19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4F5BE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Retard inte lämplig</w:t>
            </w:r>
          </w:p>
        </w:tc>
      </w:tr>
      <w:tr w:rsidR="004C31B3" w14:paraId="697BBC33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748A57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4F4D1519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Nitrater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EC112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5A23E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20845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81468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25ED105E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EFE6D7" w14:textId="77777777" w:rsidR="004C31B3" w:rsidRDefault="00137B03" w:rsidP="4F4D1519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4F4D1519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Isosorbidmononitrat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798A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29052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6AC9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06E78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413E3963" w14:textId="77777777" w:rsidTr="5D3E8356">
        <w:trPr>
          <w:trHeight w:val="48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99B653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Lipidsänkande</w:t>
            </w:r>
          </w:p>
        </w:tc>
        <w:tc>
          <w:tcPr>
            <w:tcW w:w="3987" w:type="dxa"/>
            <w:gridSpan w:val="3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F44F4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91B7A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dosberoende biverkningar (myopati, leverpåverkan) - uppföljning behövs</w:t>
            </w:r>
          </w:p>
        </w:tc>
      </w:tr>
      <w:tr w:rsidR="004C31B3" w14:paraId="0365DD15" w14:textId="77777777" w:rsidTr="5D3E8356">
        <w:trPr>
          <w:trHeight w:val="741"/>
        </w:trPr>
        <w:tc>
          <w:tcPr>
            <w:tcW w:w="1274" w:type="dxa"/>
            <w:vMerge/>
          </w:tcPr>
          <w:p w14:paraId="0B2C50A7" w14:textId="77777777" w:rsidR="004C31B3" w:rsidRDefault="004C31B3"/>
        </w:tc>
        <w:tc>
          <w:tcPr>
            <w:tcW w:w="3987" w:type="dxa"/>
            <w:gridSpan w:val="3"/>
            <w:vMerge/>
          </w:tcPr>
          <w:p w14:paraId="3E1EC74C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D0840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överväg genotyptest for SLCO1B1 vid höga doser (se Fass: Simvastatin) - via Uppsala</w:t>
            </w:r>
          </w:p>
        </w:tc>
      </w:tr>
      <w:tr w:rsidR="004C31B3" w14:paraId="215651A8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DF2E9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Atorvastatin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0C41E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4856E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3A2FD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4AEC4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kraftigt ökad exponering</w:t>
            </w:r>
          </w:p>
        </w:tc>
      </w:tr>
      <w:tr w:rsidR="004C31B3" w14:paraId="52616B04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875DE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lastRenderedPageBreak/>
              <w:t>Pravastatin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2AC99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10mg dagligen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83F80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10mg dagligen (1, 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CDEB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D221A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ökad risk för biverkningar vid ChP-C</w:t>
            </w:r>
          </w:p>
        </w:tc>
      </w:tr>
      <w:tr w:rsidR="004C31B3" w14:paraId="36ECA437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35B8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Simvastatin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A80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20mg dagligen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DE19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20mg dagligen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04F47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22539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ökad risk för biverkningar vid ChP-C</w:t>
            </w:r>
          </w:p>
        </w:tc>
      </w:tr>
      <w:tr w:rsidR="004C31B3" w14:paraId="76AB2819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6490D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Rosuvastatin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15978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5mg dagligen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62961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5mg dagligen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5DDB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7364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ökad risk för biverkningar vid ChP-C</w:t>
            </w:r>
          </w:p>
        </w:tc>
      </w:tr>
      <w:tr w:rsidR="004C31B3" w14:paraId="1A1B9BDB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2E382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Ezetimib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2CE76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5BC2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FFC8F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CD3FF6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exposition ökar kraftig med cirrhosgrad</w:t>
            </w:r>
          </w:p>
        </w:tc>
      </w:tr>
      <w:tr w:rsidR="004C31B3" w14:paraId="1321AAD3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36F215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proofErr w:type="spellStart"/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Diuretika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F1DB1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E8B1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DB091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F864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173913C0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A30B11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Furosemid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EC374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12AB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377FB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2B391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minskat farmakodynamiskt svar - höga doser kan behövas</w:t>
            </w:r>
          </w:p>
        </w:tc>
      </w:tr>
      <w:tr w:rsidR="004C31B3" w14:paraId="6C911CA7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B766AC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PPI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EA97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77F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05E2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098DC9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viss risk för spontan bakteriell peritonit, risk för leverencefalopati</w:t>
            </w:r>
          </w:p>
        </w:tc>
      </w:tr>
      <w:tr w:rsidR="004C31B3" w14:paraId="6C801263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051B3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Esomeprazol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10FA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14B6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E5DBC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max 20mg dagligen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D075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inte så hög exponering som vid andra PPI</w:t>
            </w:r>
          </w:p>
        </w:tc>
      </w:tr>
      <w:tr w:rsidR="004C31B3" w14:paraId="09D7721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4E422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Omeprazol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4B774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max 20mg dagligen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2CAF3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max 20mg dagligen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E6E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89643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FASS: max 10-20mg oavsett cirrhosgrad</w:t>
            </w:r>
          </w:p>
        </w:tc>
      </w:tr>
      <w:tr w:rsidR="004C31B3" w14:paraId="752B4C5A" w14:textId="77777777" w:rsidTr="5D3E8356">
        <w:trPr>
          <w:trHeight w:val="74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3FE45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Pantoprazol p.o.</w:t>
            </w:r>
          </w:p>
        </w:tc>
        <w:tc>
          <w:tcPr>
            <w:tcW w:w="1133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26F81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248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07EC6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605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0452A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E2BAF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FASS: max 20mg vid ChP-C, kraftigt ökande exponering med risk för encefalopati och leverpåverkan. </w:t>
            </w:r>
          </w:p>
        </w:tc>
      </w:tr>
      <w:tr w:rsidR="004C31B3" w14:paraId="3E78C4E9" w14:textId="77777777" w:rsidTr="5D3E8356">
        <w:trPr>
          <w:trHeight w:val="481"/>
        </w:trPr>
        <w:tc>
          <w:tcPr>
            <w:tcW w:w="1274" w:type="dxa"/>
            <w:vMerge/>
          </w:tcPr>
          <w:p w14:paraId="191D027F" w14:textId="77777777" w:rsidR="004C31B3" w:rsidRDefault="004C31B3"/>
        </w:tc>
        <w:tc>
          <w:tcPr>
            <w:tcW w:w="1133" w:type="dxa"/>
            <w:vMerge/>
          </w:tcPr>
          <w:p w14:paraId="08F587E6" w14:textId="77777777" w:rsidR="004C31B3" w:rsidRDefault="004C31B3"/>
        </w:tc>
        <w:tc>
          <w:tcPr>
            <w:tcW w:w="1248" w:type="dxa"/>
            <w:vMerge/>
          </w:tcPr>
          <w:p w14:paraId="4E6B3A27" w14:textId="77777777" w:rsidR="004C31B3" w:rsidRDefault="004C31B3"/>
        </w:tc>
        <w:tc>
          <w:tcPr>
            <w:tcW w:w="1605" w:type="dxa"/>
            <w:vMerge/>
          </w:tcPr>
          <w:p w14:paraId="02A2BB78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FEA12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Regelbundna leverprover vid långtidsbehandling</w:t>
            </w:r>
          </w:p>
        </w:tc>
      </w:tr>
      <w:tr w:rsidR="004C31B3" w14:paraId="47BFA10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6FF87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H2-antagonister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25B29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4013F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4A691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AE24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23998D19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909AE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Ranitidin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92525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6E0B6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B85DE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F7984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3BF113E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6BF7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Antiemetika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ACFC3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54DA1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3EA35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0CAFB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BFAA442" w14:textId="77777777" w:rsidTr="5D3E8356">
        <w:trPr>
          <w:trHeight w:val="741"/>
        </w:trPr>
        <w:tc>
          <w:tcPr>
            <w:tcW w:w="1274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05761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Metoklopramid</w:t>
            </w:r>
          </w:p>
        </w:tc>
        <w:tc>
          <w:tcPr>
            <w:tcW w:w="1133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8FAF1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3CC65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vMerge w:val="restart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90FDC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64616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ökande exponering, kan öka aldosteronskoncentration (1) -&gt; vätskeansamling</w:t>
            </w:r>
          </w:p>
        </w:tc>
      </w:tr>
      <w:tr w:rsidR="004C31B3" w14:paraId="7F0921EB" w14:textId="77777777" w:rsidTr="5D3E8356">
        <w:trPr>
          <w:trHeight w:val="221"/>
        </w:trPr>
        <w:tc>
          <w:tcPr>
            <w:tcW w:w="1274" w:type="dxa"/>
            <w:vMerge/>
          </w:tcPr>
          <w:p w14:paraId="097C5604" w14:textId="77777777" w:rsidR="004C31B3" w:rsidRDefault="004C31B3"/>
        </w:tc>
        <w:tc>
          <w:tcPr>
            <w:tcW w:w="1133" w:type="dxa"/>
            <w:vMerge/>
          </w:tcPr>
          <w:p w14:paraId="01FC896F" w14:textId="77777777" w:rsidR="004C31B3" w:rsidRDefault="004C31B3"/>
        </w:tc>
        <w:tc>
          <w:tcPr>
            <w:tcW w:w="1248" w:type="dxa"/>
            <w:vMerge/>
          </w:tcPr>
          <w:p w14:paraId="503120B8" w14:textId="77777777" w:rsidR="004C31B3" w:rsidRDefault="004C31B3"/>
        </w:tc>
        <w:tc>
          <w:tcPr>
            <w:tcW w:w="1605" w:type="dxa"/>
            <w:vMerge/>
          </w:tcPr>
          <w:p w14:paraId="07C111EF" w14:textId="77777777" w:rsidR="004C31B3" w:rsidRDefault="004C31B3"/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D9B53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tabletter är delbara (10mg -&gt; 5mg)</w:t>
            </w:r>
          </w:p>
        </w:tc>
      </w:tr>
      <w:tr w:rsidR="004C31B3" w14:paraId="7ED27317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71DA6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lastRenderedPageBreak/>
              <w:t xml:space="preserve">SSRI + SNRI 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E924B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32A8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7BA65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A8410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ökad exponering, dosberoende biverkning (förlängd QT-tid, GIT-blödning, serotonerg sy)</w:t>
            </w:r>
          </w:p>
        </w:tc>
      </w:tr>
      <w:tr w:rsidR="004C31B3" w14:paraId="1694CB86" w14:textId="77777777" w:rsidTr="5D3E8356">
        <w:trPr>
          <w:trHeight w:val="131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962E3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Citalopram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78E82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10mg dagligen, max 20mg (2)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6EDBA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10mg dagligen, max 20mg (1, 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EDC4C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10mg dagligen, max 20mg (1, 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A2CCB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QT-förlängning</w:t>
            </w:r>
          </w:p>
        </w:tc>
      </w:tr>
      <w:tr w:rsidR="004C31B3" w14:paraId="629B1B1C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07FE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Escitalopram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4707B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5mg, max 10mg/dag (1,2)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0113E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5mg, max 10mg/dag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64BBB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69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82238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17F60757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6BEC3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Venlafaxine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52F60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B4DC1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(1,2)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BE94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E1D00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</w:tr>
      <w:tr w:rsidR="004C31B3" w14:paraId="326D8690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845EE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Mirtazapine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3AD7D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dosen kan behövas reducera (2,5)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77CF0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dosen kan behövas reducera (2,5)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4D9A0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19F23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halveringstid 20-40t i friska, clearance minskar och koncentration ökar med cirrhosgrad</w:t>
            </w:r>
          </w:p>
        </w:tc>
      </w:tr>
      <w:tr w:rsidR="004C31B3" w14:paraId="6186E3E2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01BB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Paroxetine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C396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75F72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75F2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29FAC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5CBB1F19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E1406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Fluoxetin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70671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2FB59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576DB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85D2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lång halveringstid (4-6dagar hos friska) (2)</w:t>
            </w:r>
          </w:p>
        </w:tc>
      </w:tr>
      <w:tr w:rsidR="004C31B3" w14:paraId="0615517D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A4F22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Sertraline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EB77F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674EB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2F39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76AB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5E13D33A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E3D09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Antihistaminer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C558A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E753B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2704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1A895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risk för ökad trötthet, lång halveringstid även i friska</w:t>
            </w:r>
          </w:p>
        </w:tc>
      </w:tr>
      <w:tr w:rsidR="004C31B3" w14:paraId="371DB393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B453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Desloratadine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C27F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55799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27117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D5DA1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dosjustering enligt FASS, 2,5mg munsönderfallande finns</w:t>
            </w:r>
          </w:p>
        </w:tc>
      </w:tr>
      <w:tr w:rsidR="004C31B3" w14:paraId="45CD38E2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7EDFD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Loratadine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E72A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6257C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CF1E1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 eller varannan dag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C2A1F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tabletten kan delas (Bayer)</w:t>
            </w:r>
          </w:p>
        </w:tc>
      </w:tr>
      <w:tr w:rsidR="004C31B3" w14:paraId="64DDCE9F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0C050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Hydroxizin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28C09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70665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133ED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5ED9F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antikolinerg effekt, försämring av encefalopati</w:t>
            </w:r>
          </w:p>
        </w:tc>
      </w:tr>
      <w:tr w:rsidR="004C31B3" w14:paraId="1C9AA20D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4C927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Kortison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9AA30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6C7924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7025C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65487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031FABD6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7A0DD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lastRenderedPageBreak/>
              <w:t>Prednisolon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F33DD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97346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C1ECB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A41E0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5DAA8974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0FEF4E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Budesonid p.o.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5C76E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4963B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426E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4115A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minskad terapeutisk effekt och ökad biverkningsrisk</w:t>
            </w:r>
          </w:p>
        </w:tc>
      </w:tr>
      <w:tr w:rsidR="004C31B3" w14:paraId="59ED7CD3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680639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Neuroleptika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3A5C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C954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B846B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CFC72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sedering o förvirring</w:t>
            </w:r>
          </w:p>
        </w:tc>
      </w:tr>
      <w:tr w:rsidR="004C31B3" w14:paraId="55A1A4D6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DA9B93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Haloperidol i.m.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8EFF9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1002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9EC08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4C4937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</w:t>
            </w:r>
          </w:p>
        </w:tc>
      </w:tr>
      <w:tr w:rsidR="004C31B3" w14:paraId="1ACC4948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3D882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Haloperidol p.o.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9BFA1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D4E16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använd 50% av ND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D7D8A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med 25% av dosen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9E5268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</w:t>
            </w:r>
          </w:p>
        </w:tc>
      </w:tr>
      <w:tr w:rsidR="004C31B3" w14:paraId="5821B90E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241F68" w14:textId="77777777" w:rsidR="004C31B3" w:rsidRDefault="00137B03"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Olanzapin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D5A0D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med 5 mg/dag.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890E1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med 5 mg/dag.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EE26A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4CB0A6" w14:textId="77777777" w:rsidR="004C31B3" w:rsidRDefault="004C31B3"/>
        </w:tc>
      </w:tr>
      <w:tr w:rsidR="004C31B3" w14:paraId="74D31147" w14:textId="77777777" w:rsidTr="5D3E8356">
        <w:trPr>
          <w:trHeight w:val="183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C530D8" w14:textId="77777777" w:rsidR="004C31B3" w:rsidRDefault="00137B03"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Quetiapin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EF916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med 25 mg/dag. öka stegvis med 25-50mg/ dag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917F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08735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3E5F18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</w:t>
            </w:r>
          </w:p>
        </w:tc>
      </w:tr>
      <w:tr w:rsidR="004C31B3" w14:paraId="364106A3" w14:textId="77777777" w:rsidTr="5D3E8356">
        <w:trPr>
          <w:trHeight w:val="20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4AD0D8" w14:textId="77777777" w:rsidR="004C31B3" w:rsidRDefault="00137B03">
            <w:proofErr w:type="spellStart"/>
            <w:r>
              <w:rPr>
                <w:rFonts w:ascii="Calibri" w:hAnsi="Calibri" w:cs="Arial Unicode MS"/>
                <w:color w:val="000000"/>
                <w:sz w:val="22"/>
                <w:szCs w:val="22"/>
                <w:u w:color="000000"/>
                <w14:textOutline w14:w="0" w14:cap="flat" w14:cmpd="sng" w14:algn="ctr">
                  <w14:noFill/>
                  <w14:prstDash w14:val="solid"/>
                  <w14:bevel/>
                </w14:textOutline>
              </w:rPr>
              <w:t>Risperidon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3AD8A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med 0,5 mg två gånger dagligenm öka stegvis med 0,5mg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F42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med 0,5 mg två gånger dagligenm öka stegvis med 0,5mg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5521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A2958" w14:textId="77777777" w:rsidR="004C31B3" w:rsidRDefault="004C31B3"/>
        </w:tc>
      </w:tr>
      <w:tr w:rsidR="004C31B3" w14:paraId="03D894C9" w14:textId="77777777" w:rsidTr="5D3E8356">
        <w:trPr>
          <w:trHeight w:val="481"/>
        </w:trPr>
        <w:tc>
          <w:tcPr>
            <w:tcW w:w="2408" w:type="dxa"/>
            <w:gridSpan w:val="2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A863BE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Alkoholberoendebehandling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0769A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6C3E3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9AF5E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5B956FDD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D08BDB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Akamprosat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22A2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68BD1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2BE74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 (1,2)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54CEF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inga studier i ChP-C (teoretisk risk för försämring av leverencefalopati)</w:t>
            </w:r>
          </w:p>
        </w:tc>
      </w:tr>
      <w:tr w:rsidR="004C31B3" w14:paraId="48CB75A7" w14:textId="77777777" w:rsidTr="5D3E8356">
        <w:trPr>
          <w:trHeight w:val="79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F154B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Disulfiram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4BCBB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mbria Math" w:eastAsia="Cambria Math" w:hAnsi="Cambria Math" w:cs="Cambria Math"/>
                <w:sz w:val="22"/>
                <w:szCs w:val="22"/>
              </w:rPr>
              <w:t>▶</w:t>
            </w:r>
            <w:r>
              <w:rPr>
                <w:rStyle w:val="dn"/>
                <w:rFonts w:ascii="Calibri" w:hAnsi="Calibri"/>
                <w:sz w:val="22"/>
                <w:szCs w:val="22"/>
              </w:rPr>
              <w:t>med 50% av ND (1)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D41B02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1CCD2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(1,2)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F8330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risk för hepatotoxicitet, risk för både ökat och minskat exponering,metaboliseras i lever</w:t>
            </w:r>
          </w:p>
        </w:tc>
      </w:tr>
      <w:tr w:rsidR="004C31B3" w14:paraId="6744B795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6D7224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lastRenderedPageBreak/>
              <w:t>Naltrexon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0AD3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C0E9A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1402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ska undvikas (1)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96FBC0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metaboliseras i levern, hög exponering vid cirrhos</w:t>
            </w:r>
          </w:p>
        </w:tc>
      </w:tr>
      <w:tr w:rsidR="004C31B3" w14:paraId="37F68C94" w14:textId="77777777" w:rsidTr="5D3E8356">
        <w:trPr>
          <w:trHeight w:val="22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43D03B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>
              <w:rPr>
                <w:rStyle w:val="dn"/>
                <w:rFonts w:ascii="Calibri" w:hAnsi="Calibri"/>
                <w:b/>
                <w:bCs/>
                <w:sz w:val="22"/>
                <w:szCs w:val="22"/>
              </w:rPr>
              <w:t>NOAK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98400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DC0E4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1D72B1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C5DE85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 xml:space="preserve">bedöm alltid global risk för blödning!  </w:t>
            </w:r>
          </w:p>
        </w:tc>
      </w:tr>
      <w:tr w:rsidR="004C31B3" w14:paraId="727B4BC4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7BD1C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Apixaban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2B61C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(3,2)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523E98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38355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(2,3)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64436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ökad exponering vid ChP-B (3)</w:t>
            </w:r>
          </w:p>
        </w:tc>
      </w:tr>
      <w:tr w:rsidR="004C31B3" w14:paraId="64C397E3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68D9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Dabigatran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43EA8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(4,2)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87ECF8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9AAFF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(2,4)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5DC10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ökad exponering vid ChP-B (4)</w:t>
            </w:r>
          </w:p>
        </w:tc>
      </w:tr>
      <w:tr w:rsidR="004C31B3" w14:paraId="3A2FAEF3" w14:textId="77777777" w:rsidTr="5D3E8356">
        <w:trPr>
          <w:trHeight w:val="74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6D7F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Rivaroxaban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B7621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(6,2)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3BCE6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(2,6)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9ED0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(2,6)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80F4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ökad exponering vid ChP-B och C (6)</w:t>
            </w:r>
          </w:p>
        </w:tc>
      </w:tr>
      <w:tr w:rsidR="004C31B3" w14:paraId="4F6B28AF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7CAA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578009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Edoxaban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D7B85C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normal dos (7,2)</w:t>
            </w:r>
          </w:p>
        </w:tc>
        <w:tc>
          <w:tcPr>
            <w:tcW w:w="1248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841C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ingen rekommendation möjligt</w:t>
            </w:r>
          </w:p>
        </w:tc>
        <w:tc>
          <w:tcPr>
            <w:tcW w:w="1605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single" w:sz="4" w:space="0" w:color="AAAAAA"/>
            </w:tcBorders>
            <w:shd w:val="clear" w:color="auto" w:fill="FF505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90CE35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ej säker, bör undvikas (2,7)</w:t>
            </w:r>
          </w:p>
        </w:tc>
        <w:tc>
          <w:tcPr>
            <w:tcW w:w="3923" w:type="dxa"/>
            <w:tcBorders>
              <w:top w:val="single" w:sz="4" w:space="0" w:color="9CC2E5"/>
              <w:left w:val="single" w:sz="4" w:space="0" w:color="AAAAAA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3A058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75960B24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049DCF" w14:textId="77777777" w:rsidR="004C31B3" w:rsidRDefault="00137B03">
            <w:pPr>
              <w:pStyle w:val="Text"/>
              <w:spacing w:after="0" w:line="240" w:lineRule="auto"/>
              <w:ind w:left="0" w:right="0"/>
              <w:jc w:val="center"/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Immundämpande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26FF0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color w:val="FFFFFF"/>
                <w:sz w:val="22"/>
                <w:szCs w:val="22"/>
                <w:u w:color="FFFFFF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13119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color w:val="FFFFFF"/>
                <w:sz w:val="22"/>
                <w:szCs w:val="22"/>
                <w:u w:color="FFFFFF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971B29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color w:val="FFFFFF"/>
                <w:sz w:val="22"/>
                <w:szCs w:val="22"/>
                <w:u w:color="FFFFFF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9C20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6CFE8931" w14:textId="77777777" w:rsidTr="5D3E8356">
        <w:trPr>
          <w:trHeight w:val="1001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8CBA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5A8B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proofErr w:type="spellStart"/>
            <w:r>
              <w:rPr>
                <w:rStyle w:val="dn"/>
                <w:rFonts w:ascii="Calibri" w:hAnsi="Calibri"/>
                <w:sz w:val="22"/>
                <w:szCs w:val="22"/>
              </w:rPr>
              <w:t>Azathioprine</w:t>
            </w:r>
            <w:proofErr w:type="spellEnd"/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3C40B6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dosen kan behövas reducera (1,2)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8B8B7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dosen kan behövas reducera (1,2)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73208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dosen kan behövas reducera (1,2)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E598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B417B6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ökad risk för biverkningar (både lever- och benmärgspåverkan) vid cirrhos</w:t>
            </w:r>
          </w:p>
        </w:tc>
      </w:tr>
      <w:tr w:rsidR="004C31B3" w14:paraId="0E9007B9" w14:textId="77777777" w:rsidTr="5D3E8356">
        <w:trPr>
          <w:trHeight w:val="481"/>
        </w:trPr>
        <w:tc>
          <w:tcPr>
            <w:tcW w:w="1274" w:type="dxa"/>
            <w:tcBorders>
              <w:top w:val="single" w:sz="4" w:space="0" w:color="9CC2E5"/>
              <w:left w:val="single" w:sz="4" w:space="0" w:color="9CC2E5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E2021A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jc w:val="center"/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b/>
                <w:bCs/>
                <w:sz w:val="22"/>
                <w:szCs w:val="22"/>
                <w:lang w:val="en-US"/>
              </w:rPr>
              <w:t>Antiepileptika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78F77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C790FD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11FBB3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3923" w:type="dxa"/>
            <w:tcBorders>
              <w:top w:val="single" w:sz="4" w:space="0" w:color="9CC2E5"/>
              <w:left w:val="nil"/>
              <w:bottom w:val="single" w:sz="4" w:space="0" w:color="AAAAAA"/>
              <w:right w:val="nil"/>
            </w:tcBorders>
            <w:shd w:val="clear" w:color="auto" w:fill="E2EFDA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1C7F0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 </w:t>
            </w:r>
          </w:p>
        </w:tc>
      </w:tr>
      <w:tr w:rsidR="004C31B3" w14:paraId="759D74F6" w14:textId="77777777" w:rsidTr="5D3E8356">
        <w:trPr>
          <w:trHeight w:val="1059"/>
        </w:trPr>
        <w:tc>
          <w:tcPr>
            <w:tcW w:w="1274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8CBAD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850D43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Lamotrigin</w:t>
            </w:r>
          </w:p>
        </w:tc>
        <w:tc>
          <w:tcPr>
            <w:tcW w:w="1133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C6E0B4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5AA0FF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>
              <w:rPr>
                <w:rStyle w:val="dn"/>
                <w:rFonts w:ascii="Calibri" w:hAnsi="Calibri"/>
                <w:sz w:val="22"/>
                <w:szCs w:val="22"/>
              </w:rPr>
              <w:t>ND (2)</w:t>
            </w:r>
          </w:p>
        </w:tc>
        <w:tc>
          <w:tcPr>
            <w:tcW w:w="1248" w:type="dxa"/>
            <w:tcBorders>
              <w:top w:val="single" w:sz="4" w:space="0" w:color="9CC2E5"/>
              <w:left w:val="nil"/>
              <w:bottom w:val="single" w:sz="4" w:space="0" w:color="9CC2E5"/>
              <w:right w:val="nil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DF58CA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 med 50% av ND, max 50% ND (2)</w:t>
            </w:r>
          </w:p>
        </w:tc>
        <w:tc>
          <w:tcPr>
            <w:tcW w:w="1605" w:type="dxa"/>
            <w:tcBorders>
              <w:top w:val="single" w:sz="4" w:space="0" w:color="9CC2E5"/>
              <w:left w:val="nil"/>
              <w:bottom w:val="single" w:sz="4" w:space="0" w:color="9CC2E5"/>
              <w:right w:val="single" w:sz="4" w:space="0" w:color="AAAAAA"/>
            </w:tcBorders>
            <w:shd w:val="clear" w:color="auto" w:fill="FFF2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5E047E" w14:textId="77777777" w:rsidR="004C31B3" w:rsidRDefault="00137B03">
            <w:pPr>
              <w:pStyle w:val="Text"/>
              <w:spacing w:after="0" w:line="240" w:lineRule="auto"/>
              <w:ind w:left="0" w:right="0"/>
            </w:pPr>
            <w:r w:rsidRPr="5D3E8356">
              <w:rPr>
                <w:rStyle w:val="dn"/>
                <w:rFonts w:ascii="Cambria Math" w:eastAsia="Cambria Math" w:hAnsi="Cambria Math" w:cs="Cambria Math"/>
                <w:sz w:val="22"/>
                <w:szCs w:val="22"/>
                <w:lang w:val="en-US"/>
              </w:rPr>
              <w:t>▶</w:t>
            </w: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 xml:space="preserve">  med 25% av ND, max 50% ND (2)</w:t>
            </w:r>
          </w:p>
        </w:tc>
        <w:tc>
          <w:tcPr>
            <w:tcW w:w="3923" w:type="dxa"/>
            <w:tcBorders>
              <w:top w:val="single" w:sz="4" w:space="0" w:color="AAAAAA"/>
              <w:left w:val="single" w:sz="4" w:space="0" w:color="AAAAAA"/>
              <w:bottom w:val="single" w:sz="4" w:space="0" w:color="AAAAAA"/>
              <w:right w:val="single" w:sz="4" w:space="0" w:color="AAAAAA"/>
            </w:tcBorders>
            <w:shd w:val="clear" w:color="auto" w:fill="FFE69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DF17B5" w14:textId="77777777" w:rsidR="004C31B3" w:rsidRDefault="00137B03" w:rsidP="5D3E8356">
            <w:pPr>
              <w:pStyle w:val="Text"/>
              <w:spacing w:after="0" w:line="240" w:lineRule="auto"/>
              <w:ind w:left="0" w:right="0"/>
              <w:rPr>
                <w:rStyle w:val="dn"/>
                <w:rFonts w:ascii="Calibri" w:hAnsi="Calibri"/>
                <w:sz w:val="22"/>
                <w:szCs w:val="22"/>
                <w:lang w:val="en-US"/>
              </w:rPr>
            </w:pPr>
            <w:r w:rsidRPr="5D3E8356">
              <w:rPr>
                <w:rStyle w:val="dn"/>
                <w:rFonts w:ascii="Calibri" w:hAnsi="Calibri"/>
                <w:sz w:val="22"/>
                <w:szCs w:val="22"/>
                <w:lang w:val="en-US"/>
              </w:rPr>
              <w:t>sjunkande clearance av läkemedel vid stigande cirrhosgrad</w:t>
            </w:r>
          </w:p>
        </w:tc>
      </w:tr>
    </w:tbl>
    <w:p w14:paraId="349CE506" w14:textId="77777777" w:rsidR="004C31B3" w:rsidRDefault="004C31B3">
      <w:pPr>
        <w:pStyle w:val="Text"/>
        <w:widowControl w:val="0"/>
        <w:spacing w:after="0" w:line="240" w:lineRule="auto"/>
        <w:ind w:left="0" w:right="0"/>
      </w:pPr>
    </w:p>
    <w:p w14:paraId="020AE123" w14:textId="77777777" w:rsidR="004C31B3" w:rsidRDefault="004C31B3">
      <w:pPr>
        <w:pStyle w:val="Text"/>
        <w:ind w:left="0"/>
        <w:sectPr w:rsidR="004C31B3">
          <w:headerReference w:type="default" r:id="rId17"/>
          <w:headerReference w:type="first" r:id="rId18"/>
          <w:pgSz w:w="11900" w:h="16840"/>
          <w:pgMar w:top="992" w:right="1418" w:bottom="1979" w:left="1276" w:header="284" w:footer="737" w:gutter="0"/>
          <w:cols w:space="720"/>
          <w:titlePg/>
        </w:sectPr>
      </w:pPr>
    </w:p>
    <w:p w14:paraId="766BB9E7" w14:textId="77777777" w:rsidR="004C31B3" w:rsidRDefault="00137B03" w:rsidP="5D3E8356">
      <w:pPr>
        <w:pStyle w:val="paragraph"/>
        <w:spacing w:before="0" w:after="0"/>
        <w:ind w:left="990" w:right="855"/>
        <w:rPr>
          <w:rStyle w:val="dn"/>
          <w:rFonts w:ascii="Segoe UI" w:eastAsia="Segoe UI" w:hAnsi="Segoe UI" w:cs="Segoe UI"/>
          <w:sz w:val="18"/>
          <w:szCs w:val="18"/>
          <w:lang w:val="en-US"/>
        </w:rPr>
      </w:pPr>
      <w:r w:rsidRPr="5D3E8356">
        <w:rPr>
          <w:rStyle w:val="dn"/>
          <w:rFonts w:ascii="Calibri" w:hAnsi="Calibri"/>
          <w:sz w:val="40"/>
          <w:szCs w:val="40"/>
          <w:lang w:val="en-US"/>
        </w:rPr>
        <w:lastRenderedPageBreak/>
        <w:t>Källförteckning </w:t>
      </w:r>
    </w:p>
    <w:p w14:paraId="1DC7C9FC" w14:textId="77777777" w:rsidR="004C31B3" w:rsidRDefault="00137B03" w:rsidP="5D3E8356">
      <w:pPr>
        <w:pStyle w:val="paragraph"/>
        <w:spacing w:before="0" w:after="0"/>
        <w:ind w:left="990" w:right="855"/>
        <w:rPr>
          <w:rStyle w:val="dn"/>
          <w:rFonts w:ascii="Segoe UI" w:eastAsia="Segoe UI" w:hAnsi="Segoe UI" w:cs="Segoe UI"/>
          <w:sz w:val="18"/>
          <w:szCs w:val="18"/>
          <w:lang w:val="en-US"/>
        </w:rPr>
      </w:pPr>
      <w:r w:rsidRPr="5D3E8356">
        <w:rPr>
          <w:rStyle w:val="eop"/>
          <w:lang w:val="en-US"/>
        </w:rPr>
        <w:t>Rekommendationer i dokumentet utgår i stor del från nederländskt projekt som baserades på systematisk litteratursökning samt bedömning av panel av 10 experter. Detta ledde till system av rekommendationer som implementerats i primär- och sekundärvården i Nederländerna. Förenklade doseringsrekommendationer och bakgrundsdokument med översikt av läkemedelsstudier finns tillgängliga på internet.   </w:t>
      </w:r>
    </w:p>
    <w:p w14:paraId="149C84B8" w14:textId="77777777" w:rsidR="004C31B3" w:rsidRDefault="00137B03">
      <w:pPr>
        <w:pStyle w:val="paragraph"/>
        <w:spacing w:before="0" w:after="0"/>
        <w:ind w:left="990" w:right="855"/>
        <w:rPr>
          <w:rStyle w:val="dn"/>
          <w:rFonts w:ascii="Segoe UI" w:eastAsia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539C34D9" w14:textId="77777777" w:rsidR="004C31B3" w:rsidRDefault="00137B03" w:rsidP="5D3E8356">
      <w:pPr>
        <w:pStyle w:val="paragraph"/>
        <w:spacing w:before="0" w:after="0"/>
        <w:ind w:left="990" w:right="855"/>
        <w:rPr>
          <w:rStyle w:val="dn"/>
          <w:rFonts w:ascii="Segoe UI" w:eastAsia="Segoe UI" w:hAnsi="Segoe UI" w:cs="Segoe UI"/>
          <w:sz w:val="18"/>
          <w:szCs w:val="18"/>
          <w:lang w:val="en-US"/>
        </w:rPr>
      </w:pPr>
      <w:r w:rsidRPr="5D3E8356">
        <w:rPr>
          <w:rStyle w:val="eop"/>
          <w:lang w:val="en-US"/>
        </w:rPr>
        <w:t>FASS föredras om detta varit mer restriktivt annars finns resonemang i kommentarer.  </w:t>
      </w:r>
    </w:p>
    <w:p w14:paraId="2AA456E7" w14:textId="77777777" w:rsidR="004C31B3" w:rsidRDefault="004C31B3">
      <w:pPr>
        <w:pStyle w:val="Text"/>
        <w:ind w:left="0"/>
      </w:pPr>
    </w:p>
    <w:tbl>
      <w:tblPr>
        <w:tblStyle w:val="TableNormal"/>
        <w:tblW w:w="891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1DC"/>
        <w:tblLayout w:type="fixed"/>
        <w:tblLook w:val="04A0" w:firstRow="1" w:lastRow="0" w:firstColumn="1" w:lastColumn="0" w:noHBand="0" w:noVBand="1"/>
      </w:tblPr>
      <w:tblGrid>
        <w:gridCol w:w="7174"/>
        <w:gridCol w:w="437"/>
        <w:gridCol w:w="435"/>
        <w:gridCol w:w="436"/>
        <w:gridCol w:w="437"/>
      </w:tblGrid>
      <w:tr w:rsidR="004C31B3" w14:paraId="7E9D9065" w14:textId="77777777" w:rsidTr="5D3E8356">
        <w:trPr>
          <w:trHeight w:val="610"/>
          <w:jc w:val="center"/>
        </w:trPr>
        <w:tc>
          <w:tcPr>
            <w:tcW w:w="8919" w:type="dxa"/>
            <w:gridSpan w:val="5"/>
            <w:tcBorders>
              <w:top w:val="nil"/>
              <w:left w:val="single" w:sz="4" w:space="0" w:color="AAAAAA"/>
              <w:bottom w:val="nil"/>
              <w:right w:val="single" w:sz="4" w:space="0" w:color="AAAAAA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A6AF3C" w14:textId="77777777" w:rsidR="004C31B3" w:rsidRDefault="00137B03" w:rsidP="00126617">
            <w:r w:rsidRPr="5D3E8356">
              <w:rPr>
                <w:rStyle w:val="dn"/>
              </w:rPr>
              <w:t>1. Zorgverleners - Geneesmiddelen bij Levercirrose [Internet]. [citerad 28 september    2020]. Tillgänglig via: https://www.geneesmiddelenbijlevercirrose.nl/zorgverleners/</w:t>
            </w:r>
          </w:p>
        </w:tc>
      </w:tr>
      <w:tr w:rsidR="004C31B3" w14:paraId="5DB39A7D" w14:textId="77777777" w:rsidTr="5D3E8356">
        <w:trPr>
          <w:trHeight w:val="310"/>
          <w:jc w:val="center"/>
        </w:trPr>
        <w:tc>
          <w:tcPr>
            <w:tcW w:w="7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B97FC7" w14:textId="77777777" w:rsidR="004C31B3" w:rsidRDefault="00137B03" w:rsidP="00126617">
            <w:r>
              <w:rPr>
                <w:rStyle w:val="dn"/>
              </w:rPr>
              <w:t>2. FASS </w:t>
            </w: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7F6B2" w14:textId="77777777" w:rsidR="004C31B3" w:rsidRDefault="004C31B3" w:rsidP="00126617"/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6FD8D1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0DD8EB6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B8AC38" w14:textId="77777777" w:rsidR="004C31B3" w:rsidRDefault="004C31B3" w:rsidP="00126617"/>
        </w:tc>
      </w:tr>
      <w:tr w:rsidR="004C31B3" w14:paraId="73734917" w14:textId="77777777" w:rsidTr="5D3E8356">
        <w:trPr>
          <w:trHeight w:val="310"/>
          <w:jc w:val="center"/>
        </w:trPr>
        <w:tc>
          <w:tcPr>
            <w:tcW w:w="7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3A8573" w14:textId="77777777" w:rsidR="004C31B3" w:rsidRDefault="00137B03" w:rsidP="00126617">
            <w:r w:rsidRPr="5D3E8356">
              <w:rPr>
                <w:rStyle w:val="dn"/>
              </w:rPr>
              <w:t>3. Produktresumé Eliquis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1E7707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C910BF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945AFC" w14:textId="77777777" w:rsidR="004C31B3" w:rsidRDefault="004C31B3" w:rsidP="00126617"/>
        </w:tc>
      </w:tr>
      <w:tr w:rsidR="004C31B3" w14:paraId="4ABDD3EC" w14:textId="77777777" w:rsidTr="5D3E8356">
        <w:trPr>
          <w:trHeight w:val="310"/>
          <w:jc w:val="center"/>
        </w:trPr>
        <w:tc>
          <w:tcPr>
            <w:tcW w:w="7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C7E580" w14:textId="77777777" w:rsidR="004C31B3" w:rsidRDefault="00137B03" w:rsidP="00126617">
            <w:pPr>
              <w:rPr>
                <w:rStyle w:val="dn"/>
              </w:rPr>
            </w:pPr>
            <w:r w:rsidRPr="5D3E8356">
              <w:rPr>
                <w:rStyle w:val="dn"/>
              </w:rPr>
              <w:t>4. Produktresumé Dabigatran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BC39F1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078F3F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F1C4E" w14:textId="77777777" w:rsidR="004C31B3" w:rsidRDefault="004C31B3" w:rsidP="00126617"/>
        </w:tc>
      </w:tr>
      <w:tr w:rsidR="004C31B3" w14:paraId="640D05CC" w14:textId="77777777" w:rsidTr="5D3E8356">
        <w:trPr>
          <w:trHeight w:val="610"/>
          <w:jc w:val="center"/>
        </w:trPr>
        <w:tc>
          <w:tcPr>
            <w:tcW w:w="89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77DAAD" w14:textId="77777777" w:rsidR="004C31B3" w:rsidRDefault="00137B03" w:rsidP="00126617">
            <w:r w:rsidRPr="5D3E8356">
              <w:rPr>
                <w:rStyle w:val="dn"/>
              </w:rPr>
              <w:t xml:space="preserve">5. Lewis JH, Stine JG. Review article: prescribing medications in patients with cirrhosis - a practical guide. Aliment Pharmacol Ther. juni 2013;37(12):1132–56. </w:t>
            </w:r>
          </w:p>
        </w:tc>
      </w:tr>
      <w:tr w:rsidR="004C31B3" w14:paraId="46C8DB4F" w14:textId="77777777" w:rsidTr="5D3E8356">
        <w:trPr>
          <w:trHeight w:val="310"/>
          <w:jc w:val="center"/>
        </w:trPr>
        <w:tc>
          <w:tcPr>
            <w:tcW w:w="7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2A45320" w14:textId="77777777" w:rsidR="004C31B3" w:rsidRDefault="00137B03" w:rsidP="00126617">
            <w:pPr>
              <w:rPr>
                <w:rStyle w:val="dn"/>
              </w:rPr>
            </w:pPr>
            <w:r w:rsidRPr="5D3E8356">
              <w:rPr>
                <w:rStyle w:val="dn"/>
              </w:rPr>
              <w:t>6. Produktresumé Rivaroxaban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15E1AB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7F3E4E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86005E" w14:textId="77777777" w:rsidR="004C31B3" w:rsidRDefault="004C31B3" w:rsidP="00126617"/>
        </w:tc>
      </w:tr>
      <w:tr w:rsidR="004C31B3" w14:paraId="4255CC0D" w14:textId="77777777" w:rsidTr="5D3E8356">
        <w:trPr>
          <w:trHeight w:val="310"/>
          <w:jc w:val="center"/>
        </w:trPr>
        <w:tc>
          <w:tcPr>
            <w:tcW w:w="76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923247" w14:textId="77777777" w:rsidR="004C31B3" w:rsidRDefault="00137B03" w:rsidP="00126617">
            <w:pPr>
              <w:rPr>
                <w:rStyle w:val="dn"/>
              </w:rPr>
            </w:pPr>
            <w:r w:rsidRPr="5D3E8356">
              <w:rPr>
                <w:rStyle w:val="dn"/>
              </w:rPr>
              <w:t>7. Produkresumé Lixiana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9F99B2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D81B94" w14:textId="77777777" w:rsidR="004C31B3" w:rsidRDefault="004C31B3" w:rsidP="00126617"/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A6D568" w14:textId="77777777" w:rsidR="004C31B3" w:rsidRDefault="004C31B3" w:rsidP="00126617"/>
        </w:tc>
      </w:tr>
    </w:tbl>
    <w:p w14:paraId="7081DD52" w14:textId="77777777" w:rsidR="004C31B3" w:rsidRDefault="004C31B3">
      <w:pPr>
        <w:pStyle w:val="Text"/>
        <w:widowControl w:val="0"/>
        <w:spacing w:line="240" w:lineRule="auto"/>
        <w:ind w:left="0" w:right="0"/>
        <w:jc w:val="center"/>
      </w:pPr>
    </w:p>
    <w:sectPr w:rsidR="004C31B3">
      <w:headerReference w:type="default" r:id="rId19"/>
      <w:headerReference w:type="first" r:id="rId20"/>
      <w:pgSz w:w="11900" w:h="16840"/>
      <w:pgMar w:top="1418" w:right="1979" w:bottom="1276" w:left="992" w:header="284" w:footer="73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652387" w14:textId="77777777" w:rsidR="0025033C" w:rsidRDefault="0025033C">
      <w:r>
        <w:separator/>
      </w:r>
    </w:p>
  </w:endnote>
  <w:endnote w:type="continuationSeparator" w:id="0">
    <w:p w14:paraId="7EF64386" w14:textId="77777777" w:rsidR="0025033C" w:rsidRDefault="002503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C9D02" w14:textId="77777777" w:rsidR="004C31B3" w:rsidRDefault="00137B03">
    <w:pPr>
      <w:pStyle w:val="Sidfot"/>
    </w:pPr>
    <w:r>
      <w:rPr>
        <w:sz w:val="16"/>
        <w:szCs w:val="16"/>
      </w:rPr>
      <w:t xml:space="preserve">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8DBB6" w14:textId="77777777" w:rsidR="004C31B3" w:rsidRDefault="004C31B3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689A02" w14:textId="77777777" w:rsidR="0025033C" w:rsidRDefault="0025033C">
      <w:r>
        <w:separator/>
      </w:r>
    </w:p>
  </w:footnote>
  <w:footnote w:type="continuationSeparator" w:id="0">
    <w:p w14:paraId="71D915EB" w14:textId="77777777" w:rsidR="0025033C" w:rsidRDefault="002503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64A681" w14:textId="77777777" w:rsidR="004C31B3" w:rsidRDefault="00137B03">
    <w:pPr>
      <w:pStyle w:val="Sidhuvud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3632" behindDoc="1" locked="0" layoutInCell="1" allowOverlap="1" wp14:anchorId="33B8EDC1" wp14:editId="5885CFE4">
              <wp:simplePos x="0" y="0"/>
              <wp:positionH relativeFrom="page">
                <wp:posOffset>675639</wp:posOffset>
              </wp:positionH>
              <wp:positionV relativeFrom="page">
                <wp:posOffset>179704</wp:posOffset>
              </wp:positionV>
              <wp:extent cx="4575811" cy="323850"/>
              <wp:effectExtent l="0" t="0" r="0" b="0"/>
              <wp:wrapNone/>
              <wp:docPr id="1073741825" name="officeArt object" descr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75811" cy="32385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E1B2353" w14:textId="77777777" w:rsidR="004C31B3" w:rsidRDefault="00137B03">
                          <w:pPr>
                            <w:pStyle w:val="Text"/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 xml:space="preserve">OBS! Utskriven version kan vara ogiltig. Verifiera </w:t>
                          </w:r>
                          <w:proofErr w:type="spellStart"/>
                          <w:r>
                            <w:rPr>
                              <w:sz w:val="20"/>
                              <w:szCs w:val="20"/>
                            </w:rPr>
                            <w:t>inneh</w:t>
                          </w:r>
                          <w:proofErr w:type="spellEnd"/>
                          <w:r>
                            <w:rPr>
                              <w:sz w:val="20"/>
                              <w:szCs w:val="20"/>
                              <w:lang w:val="da-DK"/>
                            </w:rPr>
                            <w:t>å</w:t>
                          </w:r>
                          <w:proofErr w:type="spellStart"/>
                          <w:r>
                            <w:rPr>
                              <w:sz w:val="20"/>
                              <w:szCs w:val="20"/>
                            </w:rPr>
                            <w:t>llet</w:t>
                          </w:r>
                          <w:proofErr w:type="spellEnd"/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3B8EDC1">
              <v:stroke joinstyle="miter"/>
              <v:path gradientshapeok="t" o:connecttype="rect"/>
            </v:shapetype>
            <v:shape id="officeArt object" style="position:absolute;left:0;text-align:left;margin-left:53.2pt;margin-top:14.15pt;width:360.3pt;height:25.5pt;z-index:-25166284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Textruta 10" o:spid="_x0000_s1026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">
              <v:stroke miterlimit="4"/>
              <v:textbox inset="1.27mm,1.27mm,1.27mm,1.27mm">
                <w:txbxContent>
                  <w:p w:rsidR="004C31B3" w:rsidRDefault="00137B03" w14:paraId="3E1B2353" w14:textId="77777777">
                    <w:pPr>
                      <w:pStyle w:val="Text"/>
                      <w:ind w:left="0"/>
                    </w:pPr>
                    <w:r>
                      <w:rPr>
                        <w:sz w:val="20"/>
                        <w:szCs w:val="20"/>
                      </w:rPr>
                      <w:t xml:space="preserve">OBS! Utskriven version kan vara ogiltig. Verifiera </w:t>
                    </w:r>
                    <w:proofErr w:type="spellStart"/>
                    <w:r>
                      <w:rPr>
                        <w:sz w:val="20"/>
                        <w:szCs w:val="20"/>
                      </w:rPr>
                      <w:t>inneh</w:t>
                    </w:r>
                    <w:proofErr w:type="spellEnd"/>
                    <w:r>
                      <w:rPr>
                        <w:sz w:val="20"/>
                        <w:szCs w:val="20"/>
                        <w:lang w:val="da-DK"/>
                      </w:rPr>
                      <w:t>å</w:t>
                    </w:r>
                    <w:proofErr w:type="spellStart"/>
                    <w:r>
                      <w:rPr>
                        <w:sz w:val="20"/>
                        <w:szCs w:val="20"/>
                      </w:rPr>
                      <w:t>llet</w:t>
                    </w:r>
                    <w:proofErr w:type="spellEnd"/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5E1DE" w14:textId="77777777" w:rsidR="004C31B3" w:rsidRDefault="00137B03">
    <w:pPr>
      <w:pStyle w:val="Sidhuvud"/>
      <w:ind w:left="0" w:right="567"/>
    </w:pPr>
    <w:r>
      <w:rPr>
        <w:noProof/>
      </w:rPr>
      <w:drawing>
        <wp:anchor distT="152400" distB="152400" distL="152400" distR="152400" simplePos="0" relativeHeight="251654656" behindDoc="1" locked="0" layoutInCell="1" allowOverlap="1" wp14:anchorId="2085424F" wp14:editId="334D9A6E">
          <wp:simplePos x="0" y="0"/>
          <wp:positionH relativeFrom="page">
            <wp:posOffset>17145</wp:posOffset>
          </wp:positionH>
          <wp:positionV relativeFrom="page">
            <wp:posOffset>379094</wp:posOffset>
          </wp:positionV>
          <wp:extent cx="7559041" cy="215900"/>
          <wp:effectExtent l="0" t="0" r="0" b="0"/>
          <wp:wrapNone/>
          <wp:docPr id="1073741826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Bild 1" descr="Bild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9041" cy="2159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776" behindDoc="1" locked="0" layoutInCell="1" allowOverlap="1" wp14:anchorId="432A3D9C" wp14:editId="468A66BC">
          <wp:simplePos x="0" y="0"/>
          <wp:positionH relativeFrom="page">
            <wp:posOffset>5018226</wp:posOffset>
          </wp:positionH>
          <wp:positionV relativeFrom="page">
            <wp:posOffset>9969450</wp:posOffset>
          </wp:positionV>
          <wp:extent cx="1897921" cy="384860"/>
          <wp:effectExtent l="0" t="0" r="0" b="0"/>
          <wp:wrapNone/>
          <wp:docPr id="1073741827" name="officeArt object" descr="Bildobjekt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Bildobjekt 12" descr="Bildobjekt 12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897921" cy="38486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60948" w14:textId="77777777" w:rsidR="004C31B3" w:rsidRDefault="00137B03">
    <w:pPr>
      <w:pStyle w:val="Zhlavazpat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5680" behindDoc="1" locked="0" layoutInCell="1" allowOverlap="1" wp14:anchorId="469404B3" wp14:editId="37852F07">
              <wp:simplePos x="0" y="0"/>
              <wp:positionH relativeFrom="page">
                <wp:posOffset>675639</wp:posOffset>
              </wp:positionH>
              <wp:positionV relativeFrom="page">
                <wp:posOffset>179704</wp:posOffset>
              </wp:positionV>
              <wp:extent cx="4575811" cy="323850"/>
              <wp:effectExtent l="0" t="0" r="0" b="0"/>
              <wp:wrapNone/>
              <wp:docPr id="1073741829" name="officeArt object" descr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75811" cy="32385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1C38AF24" w14:textId="77777777" w:rsidR="004C31B3" w:rsidRDefault="00137B03">
                          <w:pPr>
                            <w:pStyle w:val="Text"/>
                            <w:ind w:left="0"/>
                          </w:pPr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 xml:space="preserve">OBS! Utskriven version kan vara ogiltig. Verifiera </w:t>
                          </w:r>
                          <w:proofErr w:type="spellStart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inneh</w:t>
                          </w:r>
                          <w:proofErr w:type="spellEnd"/>
                          <w:r>
                            <w:rPr>
                              <w:rStyle w:val="dn"/>
                              <w:sz w:val="20"/>
                              <w:szCs w:val="20"/>
                              <w:lang w:val="da-DK"/>
                            </w:rPr>
                            <w:t>å</w:t>
                          </w:r>
                          <w:proofErr w:type="spellStart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llet</w:t>
                          </w:r>
                          <w:proofErr w:type="spellEnd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469404B3">
              <v:stroke joinstyle="miter"/>
              <v:path gradientshapeok="t" o:connecttype="rect"/>
            </v:shapetype>
            <v:shape id="_x0000_s1027" style="position:absolute;margin-left:53.2pt;margin-top:14.15pt;width:360.3pt;height:25.5pt;z-index:-25166080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Textruta 10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">
              <v:stroke miterlimit="4"/>
              <v:textbox inset="1.27mm,1.27mm,1.27mm,1.27mm">
                <w:txbxContent>
                  <w:p w:rsidR="004C31B3" w:rsidRDefault="00137B03" w14:paraId="1C38AF24" w14:textId="77777777">
                    <w:pPr>
                      <w:pStyle w:val="Text"/>
                      <w:ind w:left="0"/>
                    </w:pPr>
                    <w:r>
                      <w:rPr>
                        <w:rStyle w:val="dn"/>
                        <w:sz w:val="20"/>
                        <w:szCs w:val="20"/>
                      </w:rPr>
                      <w:t xml:space="preserve">OBS! Utskriven version kan vara ogiltig. Verifiera </w:t>
                    </w:r>
                    <w:proofErr w:type="spellStart"/>
                    <w:r>
                      <w:rPr>
                        <w:rStyle w:val="dn"/>
                        <w:sz w:val="20"/>
                        <w:szCs w:val="20"/>
                      </w:rPr>
                      <w:t>inneh</w:t>
                    </w:r>
                    <w:proofErr w:type="spellEnd"/>
                    <w:r>
                      <w:rPr>
                        <w:rStyle w:val="dn"/>
                        <w:sz w:val="20"/>
                        <w:szCs w:val="20"/>
                        <w:lang w:val="da-DK"/>
                      </w:rPr>
                      <w:t>å</w:t>
                    </w:r>
                    <w:proofErr w:type="spellStart"/>
                    <w:r>
                      <w:rPr>
                        <w:rStyle w:val="dn"/>
                        <w:sz w:val="20"/>
                        <w:szCs w:val="20"/>
                      </w:rPr>
                      <w:t>llet</w:t>
                    </w:r>
                    <w:proofErr w:type="spellEnd"/>
                    <w:r>
                      <w:rPr>
                        <w:rStyle w:val="dn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25DC2" w14:textId="77777777" w:rsidR="004C31B3" w:rsidRDefault="00137B03">
    <w:pPr>
      <w:pStyle w:val="Zhlavazpat"/>
    </w:pPr>
    <w:r>
      <w:rPr>
        <w:noProof/>
      </w:rPr>
      <w:drawing>
        <wp:anchor distT="152400" distB="152400" distL="152400" distR="152400" simplePos="0" relativeHeight="251656704" behindDoc="1" locked="0" layoutInCell="1" allowOverlap="1" wp14:anchorId="0B69FDE2" wp14:editId="7C3D6E83">
          <wp:simplePos x="0" y="0"/>
          <wp:positionH relativeFrom="page">
            <wp:posOffset>17145</wp:posOffset>
          </wp:positionH>
          <wp:positionV relativeFrom="page">
            <wp:posOffset>379094</wp:posOffset>
          </wp:positionV>
          <wp:extent cx="7559041" cy="215900"/>
          <wp:effectExtent l="0" t="0" r="0" b="0"/>
          <wp:wrapNone/>
          <wp:docPr id="1073741830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0" name="Bild 1" descr="Bild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9041" cy="2159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0800" behindDoc="1" locked="0" layoutInCell="1" allowOverlap="1" wp14:anchorId="5BC58642" wp14:editId="43BC76C1">
          <wp:simplePos x="0" y="0"/>
          <wp:positionH relativeFrom="page">
            <wp:posOffset>5018226</wp:posOffset>
          </wp:positionH>
          <wp:positionV relativeFrom="page">
            <wp:posOffset>9969450</wp:posOffset>
          </wp:positionV>
          <wp:extent cx="1897921" cy="384860"/>
          <wp:effectExtent l="0" t="0" r="0" b="0"/>
          <wp:wrapNone/>
          <wp:docPr id="1073741831" name="officeArt object" descr="Bildobjekt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1" name="Bildobjekt 12" descr="Bildobjekt 12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897921" cy="38486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B6B7F" w14:textId="77777777" w:rsidR="004C31B3" w:rsidRDefault="00137B03">
    <w:pPr>
      <w:pStyle w:val="Zhlavazpat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7728" behindDoc="1" locked="0" layoutInCell="1" allowOverlap="1" wp14:anchorId="3024AFB8" wp14:editId="0A75E503">
              <wp:simplePos x="0" y="0"/>
              <wp:positionH relativeFrom="page">
                <wp:posOffset>675639</wp:posOffset>
              </wp:positionH>
              <wp:positionV relativeFrom="page">
                <wp:posOffset>179704</wp:posOffset>
              </wp:positionV>
              <wp:extent cx="4575811" cy="323850"/>
              <wp:effectExtent l="0" t="0" r="0" b="0"/>
              <wp:wrapNone/>
              <wp:docPr id="1073741832" name="officeArt object" descr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75811" cy="32385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32A8BBE1" w14:textId="77777777" w:rsidR="004C31B3" w:rsidRDefault="00137B03">
                          <w:pPr>
                            <w:pStyle w:val="Text"/>
                            <w:ind w:left="0"/>
                          </w:pPr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 xml:space="preserve">OBS! Utskriven version kan vara ogiltig. Verifiera </w:t>
                          </w:r>
                          <w:proofErr w:type="spellStart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inneh</w:t>
                          </w:r>
                          <w:proofErr w:type="spellEnd"/>
                          <w:r>
                            <w:rPr>
                              <w:rStyle w:val="dn"/>
                              <w:sz w:val="20"/>
                              <w:szCs w:val="20"/>
                              <w:lang w:val="da-DK"/>
                            </w:rPr>
                            <w:t>å</w:t>
                          </w:r>
                          <w:proofErr w:type="spellStart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llet</w:t>
                          </w:r>
                          <w:proofErr w:type="spellEnd"/>
                          <w:r>
                            <w:rPr>
                              <w:rStyle w:val="dn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wrap="square" lIns="45719" tIns="45719" rIns="45719" bIns="45719" numCol="1" anchor="t">
                      <a:no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024AFB8">
              <v:stroke joinstyle="miter"/>
              <v:path gradientshapeok="t" o:connecttype="rect"/>
            </v:shapetype>
            <v:shape id="_x0000_s1028" style="position:absolute;margin-left:53.2pt;margin-top:14.15pt;width:360.3pt;height:25.5pt;z-index:-251658752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alt="Textruta 10" filled="f" stroked="f" strokeweight="1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">
              <v:stroke miterlimit="4"/>
              <v:textbox inset="1.27mm,1.27mm,1.27mm,1.27mm">
                <w:txbxContent>
                  <w:p w:rsidR="004C31B3" w:rsidRDefault="00137B03" w14:paraId="32A8BBE1" w14:textId="77777777">
                    <w:pPr>
                      <w:pStyle w:val="Text"/>
                      <w:ind w:left="0"/>
                    </w:pPr>
                    <w:r>
                      <w:rPr>
                        <w:rStyle w:val="dn"/>
                        <w:sz w:val="20"/>
                        <w:szCs w:val="20"/>
                      </w:rPr>
                      <w:t xml:space="preserve">OBS! Utskriven version kan vara ogiltig. Verifiera </w:t>
                    </w:r>
                    <w:proofErr w:type="spellStart"/>
                    <w:r>
                      <w:rPr>
                        <w:rStyle w:val="dn"/>
                        <w:sz w:val="20"/>
                        <w:szCs w:val="20"/>
                      </w:rPr>
                      <w:t>inneh</w:t>
                    </w:r>
                    <w:proofErr w:type="spellEnd"/>
                    <w:r>
                      <w:rPr>
                        <w:rStyle w:val="dn"/>
                        <w:sz w:val="20"/>
                        <w:szCs w:val="20"/>
                        <w:lang w:val="da-DK"/>
                      </w:rPr>
                      <w:t>å</w:t>
                    </w:r>
                    <w:proofErr w:type="spellStart"/>
                    <w:r>
                      <w:rPr>
                        <w:rStyle w:val="dn"/>
                        <w:sz w:val="20"/>
                        <w:szCs w:val="20"/>
                      </w:rPr>
                      <w:t>llet</w:t>
                    </w:r>
                    <w:proofErr w:type="spellEnd"/>
                    <w:r>
                      <w:rPr>
                        <w:rStyle w:val="dn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BBED0" w14:textId="77777777" w:rsidR="004C31B3" w:rsidRDefault="00137B03">
    <w:pPr>
      <w:pStyle w:val="Zhlavazpat"/>
    </w:pPr>
    <w:r>
      <w:rPr>
        <w:noProof/>
      </w:rPr>
      <w:drawing>
        <wp:anchor distT="152400" distB="152400" distL="152400" distR="152400" simplePos="0" relativeHeight="251658752" behindDoc="1" locked="0" layoutInCell="1" allowOverlap="1" wp14:anchorId="67DF5C49" wp14:editId="7EE43F32">
          <wp:simplePos x="0" y="0"/>
          <wp:positionH relativeFrom="page">
            <wp:posOffset>17145</wp:posOffset>
          </wp:positionH>
          <wp:positionV relativeFrom="page">
            <wp:posOffset>379094</wp:posOffset>
          </wp:positionV>
          <wp:extent cx="7559041" cy="215900"/>
          <wp:effectExtent l="0" t="0" r="0" b="0"/>
          <wp:wrapNone/>
          <wp:docPr id="1073741833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3" name="Bild 1" descr="Bild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9041" cy="21590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61824" behindDoc="1" locked="0" layoutInCell="1" allowOverlap="1" wp14:anchorId="155969D6" wp14:editId="223DF635">
          <wp:simplePos x="0" y="0"/>
          <wp:positionH relativeFrom="page">
            <wp:posOffset>5018226</wp:posOffset>
          </wp:positionH>
          <wp:positionV relativeFrom="page">
            <wp:posOffset>9969450</wp:posOffset>
          </wp:positionV>
          <wp:extent cx="1897921" cy="384860"/>
          <wp:effectExtent l="0" t="0" r="0" b="0"/>
          <wp:wrapNone/>
          <wp:docPr id="1073741834" name="officeArt object" descr="Bildobjekt 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34" name="Bildobjekt 12" descr="Bildobjekt 12"/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897921" cy="38486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F5C8D"/>
    <w:multiLevelType w:val="hybridMultilevel"/>
    <w:tmpl w:val="D1B246A6"/>
    <w:numStyleLink w:val="Importovanstyl1"/>
  </w:abstractNum>
  <w:abstractNum w:abstractNumId="1" w15:restartNumberingAfterBreak="0">
    <w:nsid w:val="65F4018B"/>
    <w:multiLevelType w:val="hybridMultilevel"/>
    <w:tmpl w:val="D1B246A6"/>
    <w:styleLink w:val="Importovanstyl1"/>
    <w:lvl w:ilvl="0" w:tplc="CF628BCA">
      <w:start w:val="1"/>
      <w:numFmt w:val="bullet"/>
      <w:lvlText w:val="·"/>
      <w:lvlJc w:val="left"/>
      <w:pPr>
        <w:ind w:left="1712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2760506">
      <w:start w:val="1"/>
      <w:numFmt w:val="bullet"/>
      <w:lvlText w:val="o"/>
      <w:lvlJc w:val="left"/>
      <w:pPr>
        <w:ind w:left="243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32858CE">
      <w:start w:val="1"/>
      <w:numFmt w:val="bullet"/>
      <w:lvlText w:val="▪"/>
      <w:lvlJc w:val="left"/>
      <w:pPr>
        <w:ind w:left="315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BD83B82">
      <w:start w:val="1"/>
      <w:numFmt w:val="bullet"/>
      <w:lvlText w:val="·"/>
      <w:lvlJc w:val="left"/>
      <w:pPr>
        <w:ind w:left="3872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63E40C8">
      <w:start w:val="1"/>
      <w:numFmt w:val="bullet"/>
      <w:lvlText w:val="o"/>
      <w:lvlJc w:val="left"/>
      <w:pPr>
        <w:ind w:left="459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DCE52D6">
      <w:start w:val="1"/>
      <w:numFmt w:val="bullet"/>
      <w:lvlText w:val="▪"/>
      <w:lvlJc w:val="left"/>
      <w:pPr>
        <w:ind w:left="531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8040196">
      <w:start w:val="1"/>
      <w:numFmt w:val="bullet"/>
      <w:lvlText w:val="·"/>
      <w:lvlJc w:val="left"/>
      <w:pPr>
        <w:ind w:left="6032" w:hanging="35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0AADE34">
      <w:start w:val="1"/>
      <w:numFmt w:val="bullet"/>
      <w:lvlText w:val="o"/>
      <w:lvlJc w:val="left"/>
      <w:pPr>
        <w:ind w:left="675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1461A26">
      <w:start w:val="1"/>
      <w:numFmt w:val="bullet"/>
      <w:lvlText w:val="▪"/>
      <w:lvlJc w:val="left"/>
      <w:pPr>
        <w:ind w:left="7472" w:hanging="3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70321258">
    <w:abstractNumId w:val="1"/>
  </w:num>
  <w:num w:numId="2" w16cid:durableId="1436634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isplayBackgroundShape/>
  <w:proofState w:spelling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1B3"/>
    <w:rsid w:val="000B2C98"/>
    <w:rsid w:val="00126617"/>
    <w:rsid w:val="00137B03"/>
    <w:rsid w:val="0025033C"/>
    <w:rsid w:val="002849D8"/>
    <w:rsid w:val="004C31B3"/>
    <w:rsid w:val="0089680B"/>
    <w:rsid w:val="00E0400E"/>
    <w:rsid w:val="04845583"/>
    <w:rsid w:val="1A98DF2F"/>
    <w:rsid w:val="4F4D1519"/>
    <w:rsid w:val="5D3E8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2BE16"/>
  <w15:docId w15:val="{C0D630A9-069C-43BE-A456-C322FED9D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sv-SE" w:eastAsia="sv-S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Rubrik1">
    <w:name w:val="heading 1"/>
    <w:next w:val="Text"/>
    <w:uiPriority w:val="9"/>
    <w:qFormat/>
    <w:pPr>
      <w:keepNext/>
      <w:spacing w:after="240" w:line="288" w:lineRule="auto"/>
      <w:ind w:left="567" w:right="868"/>
      <w:outlineLvl w:val="0"/>
    </w:pPr>
    <w:rPr>
      <w:rFonts w:ascii="Calibri" w:eastAsia="Calibri" w:hAnsi="Calibri" w:cs="Calibri"/>
      <w:color w:val="000000"/>
      <w:kern w:val="32"/>
      <w:sz w:val="48"/>
      <w:szCs w:val="48"/>
      <w:u w:color="000000"/>
    </w:rPr>
  </w:style>
  <w:style w:type="paragraph" w:styleId="Rubrik2">
    <w:name w:val="heading 2"/>
    <w:next w:val="Text"/>
    <w:uiPriority w:val="9"/>
    <w:unhideWhenUsed/>
    <w:qFormat/>
    <w:pPr>
      <w:keepNext/>
      <w:keepLines/>
      <w:spacing w:before="240" w:after="40"/>
      <w:ind w:left="567" w:right="868"/>
      <w:outlineLvl w:val="1"/>
    </w:pPr>
    <w:rPr>
      <w:rFonts w:ascii="Calibri" w:hAnsi="Calibri" w:cs="Arial Unicode MS"/>
      <w:color w:val="000000"/>
      <w:sz w:val="40"/>
      <w:szCs w:val="40"/>
      <w:u w:color="00000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Hyperl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idhuvud">
    <w:name w:val="header"/>
    <w:pPr>
      <w:tabs>
        <w:tab w:val="center" w:pos="4703"/>
        <w:tab w:val="right" w:pos="9406"/>
      </w:tabs>
      <w:spacing w:after="120" w:line="288" w:lineRule="auto"/>
      <w:ind w:left="567" w:right="868"/>
    </w:pPr>
    <w:rPr>
      <w:rFonts w:cs="Arial Unicode MS"/>
      <w:color w:val="000000"/>
      <w:sz w:val="24"/>
      <w:szCs w:val="24"/>
      <w:u w:color="000000"/>
    </w:rPr>
  </w:style>
  <w:style w:type="paragraph" w:customStyle="1" w:styleId="Text">
    <w:name w:val="Text"/>
    <w:pPr>
      <w:spacing w:after="120" w:line="288" w:lineRule="auto"/>
      <w:ind w:left="567" w:right="868"/>
    </w:pPr>
    <w:rPr>
      <w:rFonts w:cs="Arial Unicode MS"/>
      <w:color w:val="000000"/>
      <w:sz w:val="24"/>
      <w:szCs w:val="24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idfot">
    <w:name w:val="footer"/>
    <w:pPr>
      <w:widowControl w:val="0"/>
      <w:spacing w:after="120" w:line="288" w:lineRule="auto"/>
      <w:ind w:left="567" w:right="868"/>
      <w:jc w:val="right"/>
    </w:pPr>
    <w:rPr>
      <w:rFonts w:ascii="Arial" w:hAnsi="Arial" w:cs="Arial Unicode MS"/>
      <w:color w:val="000000"/>
      <w:sz w:val="12"/>
      <w:szCs w:val="12"/>
      <w:u w:color="000000"/>
    </w:rPr>
  </w:style>
  <w:style w:type="character" w:customStyle="1" w:styleId="eop">
    <w:name w:val="eop"/>
    <w:rPr>
      <w:lang w:val="sv-SE"/>
    </w:rPr>
  </w:style>
  <w:style w:type="paragraph" w:customStyle="1" w:styleId="MellanrubrikVGR">
    <w:name w:val="Mellanrubrik VGR"/>
    <w:next w:val="Text"/>
    <w:pPr>
      <w:keepNext/>
      <w:keepLines/>
      <w:widowControl w:val="0"/>
      <w:spacing w:before="240" w:after="120" w:line="288" w:lineRule="auto"/>
      <w:ind w:left="567" w:right="868"/>
    </w:pPr>
    <w:rPr>
      <w:rFonts w:ascii="Calibri" w:hAnsi="Calibri" w:cs="Arial Unicode MS"/>
      <w:b/>
      <w:bCs/>
      <w:color w:val="000000"/>
      <w:sz w:val="26"/>
      <w:szCs w:val="26"/>
      <w:u w:color="000000"/>
    </w:rPr>
  </w:style>
  <w:style w:type="character" w:customStyle="1" w:styleId="dn">
    <w:name w:val="Žádný"/>
  </w:style>
  <w:style w:type="character" w:customStyle="1" w:styleId="Hyperlink0">
    <w:name w:val="Hyperlink.0"/>
    <w:basedOn w:val="dn"/>
    <w:rPr>
      <w:outline w:val="0"/>
      <w:color w:val="0000FF"/>
      <w:u w:val="single" w:color="0000FF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Punktlista">
    <w:name w:val="List Bullet"/>
    <w:pPr>
      <w:spacing w:after="120" w:line="288" w:lineRule="auto"/>
      <w:ind w:right="868"/>
    </w:pPr>
    <w:rPr>
      <w:rFonts w:eastAsia="Times New Roman"/>
      <w:color w:val="000000"/>
      <w:sz w:val="24"/>
      <w:szCs w:val="24"/>
      <w:u w:color="000000"/>
    </w:rPr>
  </w:style>
  <w:style w:type="numbering" w:customStyle="1" w:styleId="Importovanstyl1">
    <w:name w:val="Importovaný styl 1"/>
    <w:pPr>
      <w:numPr>
        <w:numId w:val="1"/>
      </w:numPr>
    </w:pPr>
  </w:style>
  <w:style w:type="paragraph" w:customStyle="1" w:styleId="Zhlavazpat">
    <w:name w:val="Záhlaví a zápatí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header" Target="header4.xml" Id="rId18" /><Relationship Type="http://schemas.openxmlformats.org/officeDocument/2006/relationships/fontTable" Target="fontTable.xml" Id="rId21" /><Relationship Type="http://schemas.openxmlformats.org/officeDocument/2006/relationships/settings" Target="settings.xml" Id="rId7" /><Relationship Type="http://schemas.openxmlformats.org/officeDocument/2006/relationships/hyperlink" Target="http://icd.internetmedicin.se/Child-Pugh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header" Target="header6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header" Target="header5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Relationship Type="http://schemas.openxmlformats.org/officeDocument/2006/relationships/theme" Target="theme/theme1.xml" Id="rId22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Office-te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00FF"/>
      </a:hlink>
      <a:folHlink>
        <a:srgbClr val="FF00FF"/>
      </a:folHlink>
    </a:clrScheme>
    <a:fontScheme name="Office-te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e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2704</Words>
  <Characters>14337</Characters>
  <Application>Microsoft Office Word</Application>
  <DocSecurity>0</DocSecurity>
  <Lines>119</Lines>
  <Paragraphs>34</Paragraphs>
  <ScaleCrop>false</ScaleCrop>
  <Company/>
  <LinksUpToDate>false</LinksUpToDate>
  <CharactersWithSpaces>17007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vid levercirros med kalkyl</dc:title>
  <dc:creator>Annika Johansson</dc:creator>
  <keywords/>
  <lastModifiedBy>Annika Johansson</lastModifiedBy>
  <revision>9</revision>
  <dcterms:created xsi:type="dcterms:W3CDTF">2025-10-16T11:57:00.0000000Z</dcterms:created>
  <dcterms:modified xsi:type="dcterms:W3CDTF">2025-10-16T12:07:00.0000000Z</dcterms:modified>
</coreProperties>
</file>