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FF075D" w14:textId="77777777" w:rsidR="00961764" w:rsidRDefault="00961764" w:rsidP="00F35B05">
      <w:pPr>
        <w:pStyle w:val="Heading2"/>
        <w:sectPr w:rsidR="00961764" w:rsidSect="0096176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DB11458" w14:textId="2B2A9F5D" w:rsidR="00961764" w:rsidRPr="00961764" w:rsidRDefault="6A50CA61" w:rsidP="00F93F18">
      <w:pPr>
        <w:pStyle w:val="Heading1"/>
        <w:rPr>
          <w:sz w:val="44"/>
          <w:szCs w:val="44"/>
        </w:rPr>
      </w:pPr>
      <w:r w:rsidRPr="6532095B">
        <w:t>Antikoagulantia, rutiner endoskopienheten</w:t>
      </w:r>
    </w:p>
    <w:p w14:paraId="21F045FB" w14:textId="77777777" w:rsidR="005A15C1" w:rsidRDefault="005A15C1" w:rsidP="005A15C1">
      <w:pPr>
        <w:pStyle w:val="Heading2"/>
        <w:ind w:right="-143"/>
      </w:pPr>
      <w:bookmarkStart w:id="1" w:name="_Toc100327184"/>
      <w:bookmarkStart w:id="2" w:name="_Toc106874287"/>
      <w:r>
        <w:t>Förändringar sedan föregående version</w:t>
      </w:r>
      <w:bookmarkEnd w:id="1"/>
      <w:bookmarkEnd w:id="2"/>
    </w:p>
    <w:p w14:paraId="79CD0C14" w14:textId="3A11CE94" w:rsidR="005A15C1" w:rsidRPr="007A334E" w:rsidRDefault="00D70D6B" w:rsidP="005A15C1">
      <w:pPr>
        <w:ind w:right="-143"/>
      </w:pPr>
      <w:r>
        <w:t xml:space="preserve">Mindre </w:t>
      </w:r>
      <w:r w:rsidR="00B55115">
        <w:t xml:space="preserve">språkliga justeringar. </w:t>
      </w:r>
      <w:r w:rsidR="009308A3">
        <w:t xml:space="preserve"> </w:t>
      </w:r>
    </w:p>
    <w:p w14:paraId="44CB921C" w14:textId="7F4F5802" w:rsidR="00961764" w:rsidRPr="00961764" w:rsidRDefault="00961764" w:rsidP="6532095B">
      <w:pPr>
        <w:spacing w:after="0" w:line="257" w:lineRule="auto"/>
      </w:pPr>
    </w:p>
    <w:p w14:paraId="4B57EAE1" w14:textId="3E0CDE67" w:rsidR="00961764" w:rsidRPr="00961764" w:rsidRDefault="6A50CA61" w:rsidP="00F93F18">
      <w:r w:rsidRPr="6532095B">
        <w:t xml:space="preserve">Tidigare lokalt PM för endoskopienheten </w:t>
      </w:r>
      <w:r w:rsidR="00D536B3">
        <w:t xml:space="preserve">är </w:t>
      </w:r>
      <w:r w:rsidRPr="6532095B">
        <w:t>avpublic</w:t>
      </w:r>
      <w:r w:rsidR="00B16ED6">
        <w:t>erat</w:t>
      </w:r>
      <w:r w:rsidRPr="6532095B">
        <w:t xml:space="preserve"> och vi följer </w:t>
      </w:r>
      <w:proofErr w:type="gramStart"/>
      <w:r w:rsidRPr="6532095B">
        <w:t>istället</w:t>
      </w:r>
      <w:proofErr w:type="gramEnd"/>
      <w:r w:rsidRPr="6532095B">
        <w:t xml:space="preserve"> ny nationell riktlinje från SGF april 2022:</w:t>
      </w:r>
    </w:p>
    <w:p w14:paraId="04D050A4" w14:textId="577F0FE2" w:rsidR="00961764" w:rsidRPr="00961764" w:rsidRDefault="6A50CA61" w:rsidP="00F93F18">
      <w:r w:rsidRPr="3D99304F">
        <w:t xml:space="preserve"> </w:t>
      </w:r>
    </w:p>
    <w:p w14:paraId="7A2E0CD5" w14:textId="6C50854A" w:rsidR="00961764" w:rsidRPr="00961764" w:rsidRDefault="0E9F57B1" w:rsidP="00F93F18">
      <w:hyperlink r:id="rId17">
        <w:r w:rsidRPr="3D99304F">
          <w:rPr>
            <w:rStyle w:val="Hyperlink"/>
          </w:rPr>
          <w:t xml:space="preserve">Handläggande av </w:t>
        </w:r>
        <w:proofErr w:type="spellStart"/>
        <w:r w:rsidRPr="3D99304F">
          <w:rPr>
            <w:rStyle w:val="Hyperlink"/>
          </w:rPr>
          <w:t>antitrombotiska</w:t>
        </w:r>
        <w:proofErr w:type="spellEnd"/>
        <w:r w:rsidRPr="3D99304F">
          <w:rPr>
            <w:rStyle w:val="Hyperlink"/>
          </w:rPr>
          <w:t xml:space="preserve"> läkemedel hos patienter som genomgår planerad endoskopisk diagnostik eller terapi (svenskgastroenterologi.se)</w:t>
        </w:r>
      </w:hyperlink>
    </w:p>
    <w:p w14:paraId="27288EBE" w14:textId="6E4590CF" w:rsidR="00961764" w:rsidRPr="00961764" w:rsidRDefault="6A50CA61" w:rsidP="00F93F18">
      <w:pPr>
        <w:rPr>
          <w:sz w:val="22"/>
          <w:szCs w:val="22"/>
        </w:rPr>
      </w:pPr>
      <w:r w:rsidRPr="3D99304F">
        <w:rPr>
          <w:sz w:val="22"/>
          <w:szCs w:val="22"/>
        </w:rPr>
        <w:t xml:space="preserve"> </w:t>
      </w:r>
    </w:p>
    <w:p w14:paraId="3A3BEF5A" w14:textId="08F799E9" w:rsidR="00961764" w:rsidRPr="00961764" w:rsidRDefault="6A50CA61" w:rsidP="00FC7A56">
      <w:pPr>
        <w:pStyle w:val="Heading2"/>
      </w:pPr>
      <w:r w:rsidRPr="6532095B">
        <w:t xml:space="preserve">Angående APC behandling och </w:t>
      </w:r>
      <w:proofErr w:type="spellStart"/>
      <w:r w:rsidRPr="6532095B">
        <w:t>antikoagulantiabehandling</w:t>
      </w:r>
      <w:proofErr w:type="spellEnd"/>
    </w:p>
    <w:p w14:paraId="6DB1485C" w14:textId="301BB14C" w:rsidR="004A07FD" w:rsidRDefault="6A50CA61" w:rsidP="004A07FD">
      <w:proofErr w:type="spellStart"/>
      <w:r>
        <w:t>Antikoagulantiabehandling</w:t>
      </w:r>
      <w:proofErr w:type="spellEnd"/>
      <w:r>
        <w:t xml:space="preserve"> i samband m</w:t>
      </w:r>
      <w:r w:rsidR="0F3FB893">
        <w:t>ed</w:t>
      </w:r>
      <w:r>
        <w:t xml:space="preserve"> APC behandling kommenteras ej i riktlinjen från SGF.</w:t>
      </w:r>
      <w:r w:rsidR="00692725">
        <w:br/>
      </w:r>
      <w:r w:rsidR="00692725">
        <w:br/>
      </w:r>
      <w:r w:rsidRPr="6532095B">
        <w:t>I europeisk riktlinje från ESGE 2021 konstateras att APC används för många olika tillstånd och med mycket varierande inställningar avseende effekt, djup av vävnadspåverkan mm. Man bedömer att det finns för lite underlag för att ge rekommendationer.</w:t>
      </w:r>
      <w:r w:rsidR="00692725">
        <w:br/>
      </w:r>
      <w:r w:rsidR="00692725">
        <w:br/>
      </w:r>
      <w:r w:rsidRPr="6532095B">
        <w:t>I amerikanska riktlinjer från ASGE 2016 bedöms APC som lågriskingrepp (förutom om det används för tumörablation).</w:t>
      </w:r>
      <w:r w:rsidR="0047454C">
        <w:t xml:space="preserve"> </w:t>
      </w:r>
      <w:r w:rsidRPr="6532095B">
        <w:t xml:space="preserve">Den form av APC som vi använder här vid behandling av </w:t>
      </w:r>
      <w:proofErr w:type="spellStart"/>
      <w:r w:rsidRPr="6532095B">
        <w:t>angiodysplasier</w:t>
      </w:r>
      <w:proofErr w:type="spellEnd"/>
      <w:r w:rsidRPr="6532095B">
        <w:t xml:space="preserve">, </w:t>
      </w:r>
      <w:proofErr w:type="spellStart"/>
      <w:r w:rsidRPr="6532095B">
        <w:t>strålproctit</w:t>
      </w:r>
      <w:proofErr w:type="spellEnd"/>
      <w:r w:rsidRPr="6532095B">
        <w:t xml:space="preserve"> och GAVE ger mer ytlig påverkan på slemhinnan, bör liksom tidigare som rutin kunna bedömas som lågriskingrepp avseende </w:t>
      </w:r>
      <w:proofErr w:type="spellStart"/>
      <w:r w:rsidRPr="6532095B">
        <w:t>antikoagulantiabehandling</w:t>
      </w:r>
      <w:proofErr w:type="spellEnd"/>
      <w:r w:rsidRPr="6532095B">
        <w:t>. Individuell bedömning i särskilda fall.</w:t>
      </w:r>
    </w:p>
    <w:p w14:paraId="0A08A6D6" w14:textId="77777777" w:rsidR="00DC1A95" w:rsidRDefault="00DC1A95" w:rsidP="6532095B">
      <w:pPr>
        <w:spacing w:after="0" w:line="257" w:lineRule="auto"/>
      </w:pPr>
    </w:p>
    <w:p w14:paraId="3FE9142F" w14:textId="77777777" w:rsidR="00DC1A95" w:rsidRPr="000D04ED" w:rsidRDefault="00DC1A95" w:rsidP="00DC1A95">
      <w:pPr>
        <w:pStyle w:val="Heading2"/>
        <w:ind w:right="-143"/>
      </w:pPr>
      <w:bookmarkStart w:id="3" w:name="_Toc100327195"/>
      <w:bookmarkStart w:id="4" w:name="_Toc106874295"/>
      <w:r w:rsidRPr="000D04ED">
        <w:t>Källförteckning</w:t>
      </w:r>
      <w:bookmarkEnd w:id="3"/>
      <w:bookmarkEnd w:id="4"/>
    </w:p>
    <w:p w14:paraId="097EF4FA" w14:textId="1BD81A49" w:rsidR="00DC1A95" w:rsidRPr="00961764" w:rsidRDefault="00E3216D" w:rsidP="6532095B">
      <w:pPr>
        <w:spacing w:after="0" w:line="257" w:lineRule="auto"/>
      </w:pPr>
      <w:r>
        <w:t xml:space="preserve">Svensk Gastroenterologisk förening </w:t>
      </w:r>
      <w:bookmarkEnd w:id="0"/>
    </w:p>
    <w:sectPr w:rsidR="00DC1A95" w:rsidRPr="00961764" w:rsidSect="0096176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77A4FF" w14:textId="77777777" w:rsidR="003D3CC7" w:rsidRDefault="003D3CC7">
      <w:r>
        <w:separator/>
      </w:r>
    </w:p>
  </w:endnote>
  <w:endnote w:type="continuationSeparator" w:id="0">
    <w:p w14:paraId="190DA7AD" w14:textId="77777777" w:rsidR="003D3CC7" w:rsidRDefault="003D3CC7">
      <w:r>
        <w:continuationSeparator/>
      </w:r>
    </w:p>
  </w:endnote>
  <w:endnote w:type="continuationNotice" w:id="1">
    <w:p w14:paraId="0C4F078D" w14:textId="77777777" w:rsidR="003D3CC7" w:rsidRDefault="003D3CC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F7F617" w14:textId="77777777" w:rsidR="003D3CC7" w:rsidRDefault="003D3CC7"/>
  </w:footnote>
  <w:footnote w:type="continuationSeparator" w:id="0">
    <w:p w14:paraId="1BF15FA9" w14:textId="77777777" w:rsidR="003D3CC7" w:rsidRDefault="003D3CC7">
      <w:r>
        <w:continuationSeparator/>
      </w:r>
    </w:p>
  </w:footnote>
  <w:footnote w:type="continuationNotice" w:id="1">
    <w:p w14:paraId="234F2D41" w14:textId="77777777" w:rsidR="003D3CC7" w:rsidRDefault="003D3CC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 Box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E9443C5"/>
    <w:multiLevelType w:val="hybridMultilevel"/>
    <w:tmpl w:val="2026BF46"/>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E2A2C13"/>
    <w:multiLevelType w:val="hybridMultilevel"/>
    <w:tmpl w:val="355EA212"/>
    <w:lvl w:ilvl="0" w:tplc="FFFFFFFF">
      <w:start w:val="1"/>
      <w:numFmt w:val="bullet"/>
      <w:lvlText w:val="•"/>
      <w:lvlJc w:val="left"/>
      <w:pPr>
        <w:tabs>
          <w:tab w:val="num" w:pos="720"/>
        </w:tabs>
        <w:ind w:left="720" w:hanging="360"/>
      </w:pPr>
      <w:rPr>
        <w:rFonts w:ascii="Arial" w:hAnsi="Arial" w:hint="default"/>
      </w:rPr>
    </w:lvl>
    <w:lvl w:ilvl="1" w:tplc="FFFFFFFF">
      <w:start w:val="44"/>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6C51333E"/>
    <w:multiLevelType w:val="hybridMultilevel"/>
    <w:tmpl w:val="EE2CB17A"/>
    <w:lvl w:ilvl="0" w:tplc="FFFFFFFF">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51858656">
    <w:abstractNumId w:val="20"/>
  </w:num>
  <w:num w:numId="2" w16cid:durableId="486172001">
    <w:abstractNumId w:val="15"/>
  </w:num>
  <w:num w:numId="3" w16cid:durableId="32967617">
    <w:abstractNumId w:val="0"/>
  </w:num>
  <w:num w:numId="4" w16cid:durableId="173343444">
    <w:abstractNumId w:val="6"/>
  </w:num>
  <w:num w:numId="5" w16cid:durableId="1741756680">
    <w:abstractNumId w:val="18"/>
  </w:num>
  <w:num w:numId="6" w16cid:durableId="593132231">
    <w:abstractNumId w:val="2"/>
  </w:num>
  <w:num w:numId="7" w16cid:durableId="1975985815">
    <w:abstractNumId w:val="11"/>
  </w:num>
  <w:num w:numId="8" w16cid:durableId="1780102520">
    <w:abstractNumId w:val="8"/>
  </w:num>
  <w:num w:numId="9" w16cid:durableId="486484827">
    <w:abstractNumId w:val="1"/>
  </w:num>
  <w:num w:numId="10" w16cid:durableId="2359389">
    <w:abstractNumId w:val="1"/>
  </w:num>
  <w:num w:numId="11" w16cid:durableId="760106820">
    <w:abstractNumId w:val="3"/>
  </w:num>
  <w:num w:numId="12" w16cid:durableId="1805780668">
    <w:abstractNumId w:val="4"/>
  </w:num>
  <w:num w:numId="13" w16cid:durableId="960724872">
    <w:abstractNumId w:val="14"/>
  </w:num>
  <w:num w:numId="14" w16cid:durableId="1635788724">
    <w:abstractNumId w:val="9"/>
  </w:num>
  <w:num w:numId="15" w16cid:durableId="228156830">
    <w:abstractNumId w:val="7"/>
  </w:num>
  <w:num w:numId="16" w16cid:durableId="1916351104">
    <w:abstractNumId w:val="13"/>
  </w:num>
  <w:num w:numId="17" w16cid:durableId="148062457">
    <w:abstractNumId w:val="5"/>
  </w:num>
  <w:num w:numId="18" w16cid:durableId="1827552948">
    <w:abstractNumId w:val="10"/>
  </w:num>
  <w:num w:numId="19" w16cid:durableId="714081323">
    <w:abstractNumId w:val="19"/>
  </w:num>
  <w:num w:numId="20" w16cid:durableId="992442885">
    <w:abstractNumId w:val="16"/>
  </w:num>
  <w:num w:numId="21" w16cid:durableId="1384866290">
    <w:abstractNumId w:val="12"/>
  </w:num>
  <w:num w:numId="22" w16cid:durableId="13190738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97C2B"/>
    <w:rsid w:val="001A4E7C"/>
    <w:rsid w:val="001B762C"/>
    <w:rsid w:val="001C4D0A"/>
    <w:rsid w:val="001C5FEF"/>
    <w:rsid w:val="001E291B"/>
    <w:rsid w:val="001E447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B7999"/>
    <w:rsid w:val="003D099E"/>
    <w:rsid w:val="003D21A2"/>
    <w:rsid w:val="003D29D2"/>
    <w:rsid w:val="003D3CC7"/>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454C"/>
    <w:rsid w:val="00480DC7"/>
    <w:rsid w:val="004876F6"/>
    <w:rsid w:val="0049236A"/>
    <w:rsid w:val="00492718"/>
    <w:rsid w:val="004A07FD"/>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15C1"/>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2725"/>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5352"/>
    <w:rsid w:val="00710B77"/>
    <w:rsid w:val="0072075B"/>
    <w:rsid w:val="007221C2"/>
    <w:rsid w:val="00725816"/>
    <w:rsid w:val="00730955"/>
    <w:rsid w:val="00733A9C"/>
    <w:rsid w:val="00736574"/>
    <w:rsid w:val="007367E0"/>
    <w:rsid w:val="00737215"/>
    <w:rsid w:val="00743C37"/>
    <w:rsid w:val="00754905"/>
    <w:rsid w:val="00760038"/>
    <w:rsid w:val="00762EE0"/>
    <w:rsid w:val="00765C41"/>
    <w:rsid w:val="00771100"/>
    <w:rsid w:val="007759DD"/>
    <w:rsid w:val="0078609F"/>
    <w:rsid w:val="007917BA"/>
    <w:rsid w:val="00796D11"/>
    <w:rsid w:val="007A5C6F"/>
    <w:rsid w:val="007D2815"/>
    <w:rsid w:val="007D4241"/>
    <w:rsid w:val="007D4317"/>
    <w:rsid w:val="007D4EA3"/>
    <w:rsid w:val="007F1CFF"/>
    <w:rsid w:val="007F5DD5"/>
    <w:rsid w:val="00821A1B"/>
    <w:rsid w:val="008262E9"/>
    <w:rsid w:val="00827E69"/>
    <w:rsid w:val="00835C4D"/>
    <w:rsid w:val="00843F48"/>
    <w:rsid w:val="00844CF1"/>
    <w:rsid w:val="00851423"/>
    <w:rsid w:val="00857848"/>
    <w:rsid w:val="008654B6"/>
    <w:rsid w:val="00865EA3"/>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08A3"/>
    <w:rsid w:val="00931C57"/>
    <w:rsid w:val="009347A5"/>
    <w:rsid w:val="0094153A"/>
    <w:rsid w:val="00942257"/>
    <w:rsid w:val="009471BF"/>
    <w:rsid w:val="00950E4E"/>
    <w:rsid w:val="009529BD"/>
    <w:rsid w:val="009533B4"/>
    <w:rsid w:val="00961764"/>
    <w:rsid w:val="00971D93"/>
    <w:rsid w:val="009B1F6B"/>
    <w:rsid w:val="009B6873"/>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701A"/>
    <w:rsid w:val="00A90D77"/>
    <w:rsid w:val="00A92E07"/>
    <w:rsid w:val="00AA0206"/>
    <w:rsid w:val="00AA0B3A"/>
    <w:rsid w:val="00AA6EB4"/>
    <w:rsid w:val="00AA767D"/>
    <w:rsid w:val="00AB0CC9"/>
    <w:rsid w:val="00AB46DD"/>
    <w:rsid w:val="00AC3FF6"/>
    <w:rsid w:val="00AD73EC"/>
    <w:rsid w:val="00AE5BC7"/>
    <w:rsid w:val="00AF5AAF"/>
    <w:rsid w:val="00B046D8"/>
    <w:rsid w:val="00B13F4C"/>
    <w:rsid w:val="00B16219"/>
    <w:rsid w:val="00B16C59"/>
    <w:rsid w:val="00B16ED6"/>
    <w:rsid w:val="00B33FDD"/>
    <w:rsid w:val="00B359CC"/>
    <w:rsid w:val="00B36107"/>
    <w:rsid w:val="00B4153B"/>
    <w:rsid w:val="00B41789"/>
    <w:rsid w:val="00B46C03"/>
    <w:rsid w:val="00B55115"/>
    <w:rsid w:val="00B60C6C"/>
    <w:rsid w:val="00B619A9"/>
    <w:rsid w:val="00B65A9D"/>
    <w:rsid w:val="00B66D60"/>
    <w:rsid w:val="00B67B40"/>
    <w:rsid w:val="00B75EDE"/>
    <w:rsid w:val="00B77D88"/>
    <w:rsid w:val="00B77FAF"/>
    <w:rsid w:val="00B822D2"/>
    <w:rsid w:val="00B84336"/>
    <w:rsid w:val="00B851B9"/>
    <w:rsid w:val="00B86453"/>
    <w:rsid w:val="00B90054"/>
    <w:rsid w:val="00B92C14"/>
    <w:rsid w:val="00BA0066"/>
    <w:rsid w:val="00BB69DB"/>
    <w:rsid w:val="00BC322E"/>
    <w:rsid w:val="00BC44CD"/>
    <w:rsid w:val="00BC48A6"/>
    <w:rsid w:val="00BE7978"/>
    <w:rsid w:val="00C07DDB"/>
    <w:rsid w:val="00C303E8"/>
    <w:rsid w:val="00C4115D"/>
    <w:rsid w:val="00C43BDD"/>
    <w:rsid w:val="00C47778"/>
    <w:rsid w:val="00C5011E"/>
    <w:rsid w:val="00C50EE5"/>
    <w:rsid w:val="00C5240A"/>
    <w:rsid w:val="00C5398F"/>
    <w:rsid w:val="00C556F5"/>
    <w:rsid w:val="00C70E19"/>
    <w:rsid w:val="00C72574"/>
    <w:rsid w:val="00C7430C"/>
    <w:rsid w:val="00C76FF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36B3"/>
    <w:rsid w:val="00D70D6B"/>
    <w:rsid w:val="00D85218"/>
    <w:rsid w:val="00D915B1"/>
    <w:rsid w:val="00DA299D"/>
    <w:rsid w:val="00DA65C4"/>
    <w:rsid w:val="00DC1A95"/>
    <w:rsid w:val="00DD2BE0"/>
    <w:rsid w:val="00DE4447"/>
    <w:rsid w:val="00DE5127"/>
    <w:rsid w:val="00DE5DA2"/>
    <w:rsid w:val="00DF0033"/>
    <w:rsid w:val="00E026BF"/>
    <w:rsid w:val="00E07B1B"/>
    <w:rsid w:val="00E11853"/>
    <w:rsid w:val="00E3216D"/>
    <w:rsid w:val="00E35BA5"/>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3F18"/>
    <w:rsid w:val="00FB2F0F"/>
    <w:rsid w:val="00FB5086"/>
    <w:rsid w:val="00FB5411"/>
    <w:rsid w:val="00FB6392"/>
    <w:rsid w:val="00FC7A56"/>
    <w:rsid w:val="00FD3C70"/>
    <w:rsid w:val="00FD6820"/>
    <w:rsid w:val="00FE12D8"/>
    <w:rsid w:val="00FF7C02"/>
    <w:rsid w:val="024801E3"/>
    <w:rsid w:val="0E9F57B1"/>
    <w:rsid w:val="0F3FB893"/>
    <w:rsid w:val="3097E542"/>
    <w:rsid w:val="35055F7C"/>
    <w:rsid w:val="3D99304F"/>
    <w:rsid w:val="40A803BB"/>
    <w:rsid w:val="53822223"/>
    <w:rsid w:val="5AE2B405"/>
    <w:rsid w:val="647B2B65"/>
    <w:rsid w:val="6532095B"/>
    <w:rsid w:val="6A50CA61"/>
    <w:rsid w:val="6B2CF8ED"/>
    <w:rsid w:val="769B49FA"/>
    <w:rsid w:val="77F98ED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1CE9D01-F7CC-47FD-A36C-4D02560215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styleId="FollowedHyperlink">
    <w:name w:val="FollowedHyperlink"/>
    <w:basedOn w:val="DefaultParagraphFont"/>
    <w:uiPriority w:val="99"/>
    <w:semiHidden/>
    <w:unhideWhenUsed/>
    <w:rsid w:val="00B822D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venskgastroenterologi.se/wp-content/uploads/2022/10/2022-antitrombotiska-lakemedel-hos-patienter-som-genomgar-endoskopi.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1</Pages>
  <Words>204</Words>
  <Characters>1165</Characters>
  <Application>Microsoft Office Word</Application>
  <DocSecurity>4</DocSecurity>
  <Lines>9</Lines>
  <Paragraphs>2</Paragraphs>
  <ScaleCrop>false</ScaleCrop>
  <Manager/>
  <Company/>
  <LinksUpToDate>false</LinksUpToDate>
  <CharactersWithSpaces>1367</CharactersWithSpaces>
  <SharedDoc>false</SharedDoc>
  <HyperlinkBase/>
  <HLinks>
    <vt:vector size="6" baseType="variant">
      <vt:variant>
        <vt:i4>5308504</vt:i4>
      </vt:variant>
      <vt:variant>
        <vt:i4>0</vt:i4>
      </vt:variant>
      <vt:variant>
        <vt:i4>0</vt:i4>
      </vt:variant>
      <vt:variant>
        <vt:i4>5</vt:i4>
      </vt:variant>
      <vt:variant>
        <vt:lpwstr>https://svenskgastroenterologi.se/wp-content/uploads/2022/10/2022-antitrombotiska-lakemedel-hos-patienter-som-genomgar-endoskopi.pdf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Antikoagulantia, rutiner endoskopienheten</dc:title>
  <dc:subject/>
  <dc:creator>patrik.jens.johansson@vgregion.se</dc:creator>
  <keywords/>
  <lastModifiedBy>Annika Johansson</lastModifiedBy>
  <revision>23</revision>
  <lastPrinted>2016-04-01T04:56:00.0000000Z</lastPrinted>
  <dcterms:created xsi:type="dcterms:W3CDTF">2022-05-06T23:25:00.0000000Z</dcterms:created>
  <dcterms:modified xsi:type="dcterms:W3CDTF">2025-08-07T09:26:00.0000000Z</dcterms:modified>
</coreProperties>
</file>