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F45D15" w14:textId="77777777" w:rsidR="00F52046" w:rsidRDefault="00F52046" w:rsidP="00F35B05">
      <w:pPr>
        <w:pStyle w:val="Rubrik2"/>
        <w:sectPr w:rsidR="00F52046" w:rsidSect="00F5204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D67C3EA" w14:textId="7652B146" w:rsidR="00F52046" w:rsidRPr="00F52046" w:rsidRDefault="6572D36C" w:rsidP="005D0582">
      <w:pPr>
        <w:pStyle w:val="Rubrik1"/>
      </w:pPr>
      <w:r w:rsidRPr="08C1CA08">
        <w:t xml:space="preserve">Wernicke encefalopati/Wernicke-Korsakoff syndrom - </w:t>
      </w:r>
    </w:p>
    <w:p w14:paraId="472EA2A7" w14:textId="7503C533" w:rsidR="00F52046" w:rsidRDefault="6572D36C" w:rsidP="005D0582">
      <w:pPr>
        <w:pStyle w:val="Rubrik1"/>
      </w:pPr>
      <w:r w:rsidRPr="08C1CA08">
        <w:t>Akut behandling med intravenös Tiamin</w:t>
      </w:r>
    </w:p>
    <w:p w14:paraId="31E9C813" w14:textId="77777777" w:rsidR="009C63C6" w:rsidRDefault="009C63C6" w:rsidP="009C63C6"/>
    <w:p w14:paraId="1CE43EE0" w14:textId="77777777" w:rsidR="00455982" w:rsidRDefault="00455982" w:rsidP="00455982">
      <w:pPr>
        <w:pStyle w:val="Rubrik2"/>
        <w:ind w:right="-143"/>
      </w:pPr>
      <w:bookmarkStart w:id="1" w:name="_Toc100327184"/>
      <w:bookmarkStart w:id="2" w:name="_Toc106874287"/>
      <w:r>
        <w:t>Förändringar sedan föregående version</w:t>
      </w:r>
      <w:bookmarkEnd w:id="1"/>
      <w:bookmarkEnd w:id="2"/>
    </w:p>
    <w:p w14:paraId="7BB8A2F0" w14:textId="7A0BD063" w:rsidR="006C7308" w:rsidRDefault="009F5D2C" w:rsidP="009F5D2C">
      <w:r>
        <w:t xml:space="preserve">Justering i </w:t>
      </w:r>
      <w:r w:rsidR="00B175BD">
        <w:t>p</w:t>
      </w:r>
      <w:r w:rsidRPr="009F5D2C">
        <w:t>rovtagningsmetoden</w:t>
      </w:r>
      <w:r w:rsidR="00B175BD">
        <w:t xml:space="preserve">. </w:t>
      </w:r>
      <w:r w:rsidRPr="009F5D2C">
        <w:t xml:space="preserve"> </w:t>
      </w:r>
    </w:p>
    <w:p w14:paraId="13544D51" w14:textId="77777777" w:rsidR="006C7308" w:rsidRDefault="006C7308" w:rsidP="009C63C6"/>
    <w:p w14:paraId="38DD263C" w14:textId="77777777" w:rsidR="00455982" w:rsidRDefault="006C7308" w:rsidP="002A4F5D">
      <w:pPr>
        <w:pStyle w:val="Rubrik2"/>
      </w:pPr>
      <w:r>
        <w:t>Bakgrund</w:t>
      </w:r>
      <w:r w:rsidR="00455982">
        <w:t xml:space="preserve"> </w:t>
      </w:r>
    </w:p>
    <w:p w14:paraId="58CB90FB" w14:textId="7D86D66E" w:rsidR="006C7308" w:rsidRDefault="006C7308" w:rsidP="002A4F5D">
      <w:r>
        <w:t xml:space="preserve">Wernicke-Korsakoff syndrom är en neuropsykiatrisk rubbning som främst drabbar kroniska alkoholister i abstinensfas. Orsaken är brist av vitamin B1 (Tiamin) på grund av malnutrition och malabsorption. Syndromet kan också drabba patienter med malnutrition, anorexi, kakeksi och malabsorption av andra orsaker. Syndromet kan vara </w:t>
      </w:r>
      <w:proofErr w:type="spellStart"/>
      <w:r>
        <w:t>iatrogent</w:t>
      </w:r>
      <w:proofErr w:type="spellEnd"/>
      <w:r>
        <w:t xml:space="preserve">  på grund av glukosbehandling IV hos alkoholister i abstinensfas. </w:t>
      </w:r>
    </w:p>
    <w:p w14:paraId="06933AA4" w14:textId="77777777" w:rsidR="00455982" w:rsidRDefault="00455982" w:rsidP="006C7308"/>
    <w:p w14:paraId="71A712CD" w14:textId="7B9EDA35" w:rsidR="00455982" w:rsidRDefault="006C7308" w:rsidP="002A4F5D">
      <w:pPr>
        <w:pStyle w:val="Rubrik2"/>
      </w:pPr>
      <w:r>
        <w:t>Symtom av Wernicke encefalopati</w:t>
      </w:r>
    </w:p>
    <w:p w14:paraId="6EB4BA5F" w14:textId="76160C26" w:rsidR="006C7308" w:rsidRDefault="00455982" w:rsidP="002A4F5D">
      <w:r>
        <w:t>G</w:t>
      </w:r>
      <w:r w:rsidR="006C7308">
        <w:t xml:space="preserve">lobal konfusion, ataxi, </w:t>
      </w:r>
      <w:proofErr w:type="spellStart"/>
      <w:r w:rsidR="006C7308">
        <w:t>ögonsymtom</w:t>
      </w:r>
      <w:proofErr w:type="spellEnd"/>
      <w:r w:rsidR="006C7308">
        <w:t xml:space="preserve"> (horisontell eller vertikal nystagmus, </w:t>
      </w:r>
      <w:proofErr w:type="spellStart"/>
      <w:r w:rsidR="006C7308">
        <w:t>blickpares</w:t>
      </w:r>
      <w:proofErr w:type="spellEnd"/>
      <w:r w:rsidR="006C7308">
        <w:t xml:space="preserve">, </w:t>
      </w:r>
      <w:proofErr w:type="spellStart"/>
      <w:r w:rsidR="006C7308">
        <w:t>abducenspares</w:t>
      </w:r>
      <w:proofErr w:type="spellEnd"/>
      <w:r w:rsidR="006C7308">
        <w:t xml:space="preserve">) </w:t>
      </w:r>
      <w:r w:rsidR="0085497A">
        <w:t>med mera</w:t>
      </w:r>
      <w:r w:rsidR="006C7308">
        <w:t>.</w:t>
      </w:r>
      <w:r w:rsidR="0085497A">
        <w:t xml:space="preserve"> </w:t>
      </w:r>
      <w:r w:rsidR="006C7308">
        <w:t>Eventuellt andra symtom (hypotension, hypotermi, takykardi, våt Beriberi med hjärtsvikt och torr Beriberi med perifer neuropati, koma).</w:t>
      </w:r>
    </w:p>
    <w:p w14:paraId="2A804844" w14:textId="77777777" w:rsidR="0085497A" w:rsidRDefault="0085497A" w:rsidP="002A4F5D"/>
    <w:p w14:paraId="265EB65D" w14:textId="77777777" w:rsidR="006C7308" w:rsidRDefault="006C7308" w:rsidP="002A4F5D">
      <w:r>
        <w:t xml:space="preserve">Korsakoffs psykos är den mer kroniska formen med progredierande demens och polyneuropati. </w:t>
      </w:r>
    </w:p>
    <w:p w14:paraId="1EF07DE5" w14:textId="77777777" w:rsidR="00455982" w:rsidRDefault="00455982" w:rsidP="006C7308"/>
    <w:p w14:paraId="09F500FE" w14:textId="26499448" w:rsidR="006C7308" w:rsidRDefault="006C7308" w:rsidP="002A4F5D">
      <w:r w:rsidRPr="002A4F5D">
        <w:rPr>
          <w:b/>
          <w:bCs/>
        </w:rPr>
        <w:t>OBS: Diagnosen Wernicke encefalopati ställs initialt rent kliniskt.</w:t>
      </w:r>
      <w:r w:rsidR="0085497A">
        <w:rPr>
          <w:b/>
          <w:bCs/>
        </w:rPr>
        <w:br/>
      </w:r>
      <w:r w:rsidR="0085497A">
        <w:rPr>
          <w:b/>
          <w:bCs/>
        </w:rPr>
        <w:br/>
      </w:r>
      <w:r>
        <w:t>En MR-hjärna kan visa typiska lesioner. Den apparativa diagnostiken får dock aldrig fördröja insättning av lämplig akutbehandling. Även differentialdiagnostiska övervägningar angående andra neurologiska tillstånd med liknande symtom skall inte fördröja behandling med Tiamin.</w:t>
      </w:r>
      <w:r w:rsidR="0026466B">
        <w:br/>
      </w:r>
      <w:r w:rsidR="0026466B">
        <w:br/>
      </w:r>
      <w:r w:rsidRPr="005C4DAE">
        <w:t>Prov på</w:t>
      </w:r>
      <w:r>
        <w:t xml:space="preserve"> </w:t>
      </w:r>
      <w:proofErr w:type="spellStart"/>
      <w:r w:rsidRPr="005C4DAE">
        <w:rPr>
          <w:b/>
          <w:bCs/>
        </w:rPr>
        <w:t>Tiaminpyrophosphat</w:t>
      </w:r>
      <w:proofErr w:type="spellEnd"/>
      <w:r>
        <w:t xml:space="preserve"> kan tas innan Tiamin ges, provsvar ska absolut inte inväntas (tar 14 dagar) utan tiamin ska ges vid misstanke i alla fall</w:t>
      </w:r>
      <w:r w:rsidR="00956F6E">
        <w:t xml:space="preserve"> </w:t>
      </w:r>
      <w:r>
        <w:t>(</w:t>
      </w:r>
      <w:r w:rsidRPr="005C4DAE">
        <w:rPr>
          <w:b/>
          <w:bCs/>
        </w:rPr>
        <w:t>viktigt:</w:t>
      </w:r>
      <w:r>
        <w:t xml:space="preserve"> 5ml EDTA-rör ska tas, provet ska skyddas mot ljus med t</w:t>
      </w:r>
      <w:r w:rsidR="009625A8">
        <w:t>illexempel</w:t>
      </w:r>
      <w:r>
        <w:t xml:space="preserve"> aluminiumfolie omedelbart och provet ska frysas inom 30 min</w:t>
      </w:r>
      <w:r w:rsidR="009625A8">
        <w:t>uter</w:t>
      </w:r>
      <w:r>
        <w:t>. Strax innan frysningen ska röret omskakas minst 10 gånger- helst fler gånger- för at</w:t>
      </w:r>
      <w:r w:rsidR="009625A8">
        <w:t>t</w:t>
      </w:r>
      <w:r>
        <w:t xml:space="preserve"> uppnå </w:t>
      </w:r>
      <w:proofErr w:type="spellStart"/>
      <w:r>
        <w:t>hemolys</w:t>
      </w:r>
      <w:proofErr w:type="spellEnd"/>
      <w:r>
        <w:t>! Tiamin finns intracellulärt).</w:t>
      </w:r>
      <w:r w:rsidR="00DB39F4">
        <w:t xml:space="preserve"> </w:t>
      </w:r>
      <w:r>
        <w:t>Skickas till S</w:t>
      </w:r>
      <w:r w:rsidR="00DB39F4">
        <w:t>ahlgrenska</w:t>
      </w:r>
      <w:r>
        <w:t>, allmänremiss</w:t>
      </w:r>
      <w:r w:rsidR="00525750">
        <w:t xml:space="preserve"> ska skickas med provet</w:t>
      </w:r>
      <w:r>
        <w:t>.</w:t>
      </w:r>
    </w:p>
    <w:p w14:paraId="1733CCBE" w14:textId="77777777" w:rsidR="006C7308" w:rsidRPr="005C4DAE" w:rsidRDefault="006C7308" w:rsidP="006C7308"/>
    <w:p w14:paraId="39425EE7" w14:textId="470005BE" w:rsidR="006C7308" w:rsidRDefault="006C7308" w:rsidP="002A4F5D">
      <w:pPr>
        <w:pStyle w:val="Rubrik2"/>
      </w:pPr>
      <w:r>
        <w:t>Behandling vid misstanken om akut Wernicke encefalopati</w:t>
      </w:r>
    </w:p>
    <w:p w14:paraId="423FA181" w14:textId="77777777" w:rsidR="006C7308" w:rsidRDefault="006C7308" w:rsidP="00767251">
      <w:pPr>
        <w:pStyle w:val="Punktlista"/>
      </w:pPr>
      <w:r>
        <w:t>500 mg Tiamin ges intravenöst tre gånger dagligen  i  fem  dygn (sammanlagd 1500mg/dygn).</w:t>
      </w:r>
    </w:p>
    <w:p w14:paraId="1E23A6AF" w14:textId="77777777" w:rsidR="006C7308" w:rsidRDefault="006C7308" w:rsidP="00767251">
      <w:pPr>
        <w:pStyle w:val="Punktlista"/>
      </w:pPr>
      <w:r>
        <w:t xml:space="preserve">Ampuller </w:t>
      </w:r>
      <w:proofErr w:type="spellStart"/>
      <w:r>
        <w:t>Thiamine</w:t>
      </w:r>
      <w:proofErr w:type="spellEnd"/>
      <w:r>
        <w:t xml:space="preserve"> </w:t>
      </w:r>
      <w:proofErr w:type="spellStart"/>
      <w:r>
        <w:t>Sterop</w:t>
      </w:r>
      <w:proofErr w:type="spellEnd"/>
      <w:r>
        <w:t xml:space="preserve"> injektionslösning finns tillgängliga (125mg/ml och 50mg/ml, oftast används 125mg/ml).</w:t>
      </w:r>
    </w:p>
    <w:p w14:paraId="58BE52BA" w14:textId="6FCA5290" w:rsidR="006C7308" w:rsidRDefault="006C7308" w:rsidP="00767251">
      <w:pPr>
        <w:pStyle w:val="Punktlista"/>
      </w:pPr>
      <w:r>
        <w:t xml:space="preserve">Magnesium i serum skall kontrolleras, vid </w:t>
      </w:r>
      <w:proofErr w:type="spellStart"/>
      <w:r>
        <w:t>hypomagnesemi</w:t>
      </w:r>
      <w:proofErr w:type="spellEnd"/>
      <w:r>
        <w:t xml:space="preserve"> ges substitutionsbehandling. </w:t>
      </w:r>
    </w:p>
    <w:p w14:paraId="09F08AEF" w14:textId="37B0D29E" w:rsidR="006C7308" w:rsidRDefault="006C7308" w:rsidP="00767251">
      <w:pPr>
        <w:pStyle w:val="Punktlista"/>
      </w:pPr>
      <w:r>
        <w:t xml:space="preserve">Därefter ges oral behandling  med </w:t>
      </w:r>
      <w:proofErr w:type="spellStart"/>
      <w:r>
        <w:t>Beviplex</w:t>
      </w:r>
      <w:proofErr w:type="spellEnd"/>
      <w:r>
        <w:t xml:space="preserve"> comp. eller  </w:t>
      </w:r>
      <w:proofErr w:type="spellStart"/>
      <w:r>
        <w:t>Beviplex</w:t>
      </w:r>
      <w:proofErr w:type="spellEnd"/>
      <w:r>
        <w:t xml:space="preserve"> forte 2x2 tabletter  i 6-8 veckor.</w:t>
      </w:r>
    </w:p>
    <w:p w14:paraId="6C0E97E9" w14:textId="67ECE720" w:rsidR="006C7308" w:rsidRDefault="006C7308" w:rsidP="00767251">
      <w:pPr>
        <w:pStyle w:val="Punktlista"/>
      </w:pPr>
      <w:r>
        <w:t xml:space="preserve">Vid uttalad nystagmus, konfusion eller ataxi ges 500 ml Natriumklorid 0,9% med tillsatts av 20mmol </w:t>
      </w:r>
      <w:proofErr w:type="spellStart"/>
      <w:r>
        <w:t>Addex-Magnsesium</w:t>
      </w:r>
      <w:proofErr w:type="spellEnd"/>
      <w:r>
        <w:t xml:space="preserve"> IV innan s-Mg-svaret föreligga.</w:t>
      </w:r>
    </w:p>
    <w:p w14:paraId="06E6C27B" w14:textId="77777777" w:rsidR="006C7308" w:rsidRDefault="006C7308" w:rsidP="002A4F5D"/>
    <w:p w14:paraId="5DBF8D79" w14:textId="77777777" w:rsidR="006C7308" w:rsidRPr="002A4F5D" w:rsidRDefault="006C7308" w:rsidP="002A4F5D">
      <w:pPr>
        <w:rPr>
          <w:b/>
          <w:bCs/>
        </w:rPr>
      </w:pPr>
      <w:r w:rsidRPr="002A4F5D">
        <w:rPr>
          <w:b/>
          <w:bCs/>
        </w:rPr>
        <w:t>OBS eventuell intravenös glukostillförsel påbörjas först efter patienten fick Tiamin parenteralt.</w:t>
      </w:r>
    </w:p>
    <w:p w14:paraId="18A33BEB" w14:textId="77777777" w:rsidR="006C7308" w:rsidRDefault="006C7308" w:rsidP="006C7308">
      <w:pPr>
        <w:rPr>
          <w:b/>
          <w:bCs/>
        </w:rPr>
      </w:pPr>
    </w:p>
    <w:p w14:paraId="493E5B7F" w14:textId="17769974" w:rsidR="006C7308" w:rsidRDefault="006C7308" w:rsidP="002A4F5D">
      <w:pPr>
        <w:pStyle w:val="Rubrik2"/>
      </w:pPr>
      <w:r>
        <w:lastRenderedPageBreak/>
        <w:t>Profylaktisk behandling av riskpatienter</w:t>
      </w:r>
    </w:p>
    <w:p w14:paraId="7848E8A8" w14:textId="530AF417" w:rsidR="006C7308" w:rsidRDefault="006C7308" w:rsidP="002A4F5D">
      <w:r>
        <w:t>Profylaktisk behandling rekommenderas till alla patienter med riskfaktorer för att utveckla Wernicke-Korsakoffs syndrom utan att symtom föreligger, f</w:t>
      </w:r>
      <w:r w:rsidR="009E2DEC">
        <w:t>ramför allt</w:t>
      </w:r>
      <w:r>
        <w:t xml:space="preserve"> alkoholister i abstinensfas. </w:t>
      </w:r>
    </w:p>
    <w:p w14:paraId="201266D9" w14:textId="77777777" w:rsidR="006C7308" w:rsidRDefault="006C7308" w:rsidP="009E2DEC">
      <w:pPr>
        <w:pStyle w:val="Punktlista"/>
      </w:pPr>
      <w:r>
        <w:t xml:space="preserve">125 mg Tiamin ges intravenöst två gånger dagligen  i upp till fem dygn. </w:t>
      </w:r>
    </w:p>
    <w:p w14:paraId="7D00695F" w14:textId="77777777" w:rsidR="006C7308" w:rsidRDefault="006C7308" w:rsidP="009E2DEC">
      <w:pPr>
        <w:pStyle w:val="Punktlista"/>
      </w:pPr>
      <w:r>
        <w:t xml:space="preserve">Därefter ges oral behandling  med </w:t>
      </w:r>
      <w:proofErr w:type="spellStart"/>
      <w:r>
        <w:t>Beviplex</w:t>
      </w:r>
      <w:proofErr w:type="spellEnd"/>
      <w:r>
        <w:t xml:space="preserve"> comp. eller  </w:t>
      </w:r>
      <w:proofErr w:type="spellStart"/>
      <w:r>
        <w:t>Beviplex</w:t>
      </w:r>
      <w:proofErr w:type="spellEnd"/>
      <w:r>
        <w:t xml:space="preserve"> forte 2x2 tabletter. </w:t>
      </w:r>
    </w:p>
    <w:p w14:paraId="13D759D9" w14:textId="77777777" w:rsidR="006C7308" w:rsidRDefault="006C7308" w:rsidP="002A4F5D"/>
    <w:p w14:paraId="675F91D4" w14:textId="77777777" w:rsidR="002A4F5D" w:rsidRPr="000D04ED" w:rsidRDefault="002A4F5D" w:rsidP="002A4F5D">
      <w:pPr>
        <w:pStyle w:val="Rubrik2"/>
        <w:ind w:right="-143"/>
      </w:pPr>
      <w:bookmarkStart w:id="3" w:name="_Toc100327195"/>
      <w:bookmarkStart w:id="4" w:name="_Toc106874295"/>
      <w:r w:rsidRPr="000D04ED">
        <w:t>Källförteckning</w:t>
      </w:r>
      <w:bookmarkEnd w:id="3"/>
      <w:bookmarkEnd w:id="4"/>
    </w:p>
    <w:p w14:paraId="1DCE0AAB" w14:textId="00587DA4" w:rsidR="006C7308" w:rsidRDefault="006C7308" w:rsidP="00AA7E7C">
      <w:pPr>
        <w:pStyle w:val="Punktlista"/>
      </w:pPr>
      <w:r>
        <w:t>Behandling vid alkoholabstinens – ny rekommendation.</w:t>
      </w:r>
    </w:p>
    <w:p w14:paraId="047C00C4" w14:textId="77777777" w:rsidR="006C7308" w:rsidRDefault="006C7308" w:rsidP="00AA7E7C">
      <w:pPr>
        <w:pStyle w:val="Punktlista"/>
      </w:pPr>
      <w:r>
        <w:t xml:space="preserve">Information från Läkemedelsverket 2:2010, </w:t>
      </w:r>
    </w:p>
    <w:p w14:paraId="24360CFD" w14:textId="5ECF84C6" w:rsidR="006C7308" w:rsidRDefault="006C7308" w:rsidP="00AA7E7C">
      <w:pPr>
        <w:pStyle w:val="Punktlista"/>
      </w:pPr>
      <w:r>
        <w:t>Läkemedelsboken 2018,</w:t>
      </w:r>
    </w:p>
    <w:p w14:paraId="489CF8B6" w14:textId="77777777" w:rsidR="006C7308" w:rsidRDefault="006C7308" w:rsidP="00AA7E7C">
      <w:pPr>
        <w:pStyle w:val="Punktlista"/>
        <w:rPr>
          <w:rFonts w:ascii="Arial" w:hAnsi="Arial" w:cs="Arial"/>
        </w:rPr>
      </w:pPr>
      <w:hyperlink r:id="rId17" w:history="1">
        <w:r>
          <w:rPr>
            <w:rStyle w:val="Hyperlnk"/>
          </w:rPr>
          <w:t>www.internetmedicin.se</w:t>
        </w:r>
      </w:hyperlink>
      <w:r>
        <w:rPr>
          <w:rFonts w:ascii="Arial" w:hAnsi="Arial" w:cs="Arial"/>
        </w:rPr>
        <w:t xml:space="preserve"> </w:t>
      </w:r>
    </w:p>
    <w:p w14:paraId="48FE3DCD" w14:textId="77777777" w:rsidR="006C7308" w:rsidRDefault="006C7308" w:rsidP="00AA7E7C">
      <w:pPr>
        <w:pStyle w:val="Punktlista"/>
        <w:rPr>
          <w:rFonts w:ascii="Arial" w:hAnsi="Arial" w:cs="Arial"/>
        </w:rPr>
      </w:pPr>
      <w:r>
        <w:rPr>
          <w:rFonts w:ascii="Arial" w:hAnsi="Arial" w:cs="Arial"/>
        </w:rPr>
        <w:t>Läkemedelsbehandling vid alkoholöverkonsumtion, Rek. från terapigrupp psykiatri, VGR, Substans 5/2017.</w:t>
      </w:r>
    </w:p>
    <w:p w14:paraId="5C95B996" w14:textId="77777777" w:rsidR="006C7308" w:rsidRDefault="006C7308" w:rsidP="00AA7E7C">
      <w:pPr>
        <w:pStyle w:val="Punktlista"/>
        <w:rPr>
          <w:rFonts w:ascii="Arial" w:hAnsi="Arial" w:cs="Arial"/>
        </w:rPr>
      </w:pPr>
      <w:r>
        <w:rPr>
          <w:rFonts w:ascii="Arial" w:hAnsi="Arial" w:cs="Arial"/>
        </w:rPr>
        <w:t xml:space="preserve">ABC om </w:t>
      </w:r>
      <w:proofErr w:type="spellStart"/>
      <w:r>
        <w:rPr>
          <w:rFonts w:ascii="Arial" w:hAnsi="Arial" w:cs="Arial"/>
        </w:rPr>
        <w:t>Wernickes</w:t>
      </w:r>
      <w:proofErr w:type="spellEnd"/>
      <w:r>
        <w:rPr>
          <w:rFonts w:ascii="Arial" w:hAnsi="Arial" w:cs="Arial"/>
        </w:rPr>
        <w:t xml:space="preserve"> encefalopati, Läkartidningen. 2017;</w:t>
      </w:r>
      <w:proofErr w:type="gramStart"/>
      <w:r>
        <w:rPr>
          <w:rFonts w:ascii="Arial" w:hAnsi="Arial" w:cs="Arial"/>
        </w:rPr>
        <w:t>114:ELZT</w:t>
      </w:r>
      <w:proofErr w:type="gramEnd"/>
    </w:p>
    <w:p w14:paraId="76FDA0B5" w14:textId="77777777" w:rsidR="006C7308" w:rsidRDefault="006C7308" w:rsidP="006C7308">
      <w:pPr>
        <w:rPr>
          <w:rFonts w:ascii="Arial" w:hAnsi="Arial" w:cs="Arial"/>
        </w:rPr>
      </w:pPr>
    </w:p>
    <w:bookmarkEnd w:id="0"/>
    <w:p w14:paraId="2D6E7F62" w14:textId="77777777" w:rsidR="006C7308" w:rsidRPr="009C63C6" w:rsidRDefault="006C7308" w:rsidP="009C63C6"/>
    <w:sectPr w:rsidR="006C7308" w:rsidRPr="009C63C6" w:rsidSect="00F5204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EB2F25" w14:textId="77777777" w:rsidR="009D6CD3" w:rsidRDefault="009D6CD3">
      <w:r>
        <w:separator/>
      </w:r>
    </w:p>
  </w:endnote>
  <w:endnote w:type="continuationSeparator" w:id="0">
    <w:p w14:paraId="52A316EF" w14:textId="77777777" w:rsidR="009D6CD3" w:rsidRDefault="009D6CD3">
      <w:r>
        <w:continuationSeparator/>
      </w:r>
    </w:p>
  </w:endnote>
  <w:endnote w:type="continuationNotice" w:id="1">
    <w:p w14:paraId="68F86C51" w14:textId="77777777" w:rsidR="009D6CD3" w:rsidRDefault="009D6CD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327198" w14:textId="77777777" w:rsidR="009D6CD3" w:rsidRDefault="009D6CD3"/>
  </w:footnote>
  <w:footnote w:type="continuationSeparator" w:id="0">
    <w:p w14:paraId="478A2E2D" w14:textId="77777777" w:rsidR="009D6CD3" w:rsidRDefault="009D6CD3">
      <w:r>
        <w:continuationSeparator/>
      </w:r>
    </w:p>
  </w:footnote>
  <w:footnote w:type="continuationNotice" w:id="1">
    <w:p w14:paraId="5DAEBCA8" w14:textId="77777777" w:rsidR="009D6CD3" w:rsidRDefault="009D6CD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60361672">
    <w:abstractNumId w:val="17"/>
  </w:num>
  <w:num w:numId="2" w16cid:durableId="279654576">
    <w:abstractNumId w:val="14"/>
  </w:num>
  <w:num w:numId="3" w16cid:durableId="1158573039">
    <w:abstractNumId w:val="0"/>
  </w:num>
  <w:num w:numId="4" w16cid:durableId="761948211">
    <w:abstractNumId w:val="6"/>
  </w:num>
  <w:num w:numId="5" w16cid:durableId="2080130579">
    <w:abstractNumId w:val="15"/>
  </w:num>
  <w:num w:numId="6" w16cid:durableId="1153063618">
    <w:abstractNumId w:val="2"/>
  </w:num>
  <w:num w:numId="7" w16cid:durableId="1948806415">
    <w:abstractNumId w:val="11"/>
  </w:num>
  <w:num w:numId="8" w16cid:durableId="1407533188">
    <w:abstractNumId w:val="8"/>
  </w:num>
  <w:num w:numId="9" w16cid:durableId="1130981533">
    <w:abstractNumId w:val="1"/>
  </w:num>
  <w:num w:numId="10" w16cid:durableId="852459446">
    <w:abstractNumId w:val="1"/>
  </w:num>
  <w:num w:numId="11" w16cid:durableId="1435052890">
    <w:abstractNumId w:val="3"/>
  </w:num>
  <w:num w:numId="12" w16cid:durableId="964044685">
    <w:abstractNumId w:val="4"/>
  </w:num>
  <w:num w:numId="13" w16cid:durableId="2113743717">
    <w:abstractNumId w:val="13"/>
  </w:num>
  <w:num w:numId="14" w16cid:durableId="2111464483">
    <w:abstractNumId w:val="9"/>
  </w:num>
  <w:num w:numId="15" w16cid:durableId="1107000921">
    <w:abstractNumId w:val="7"/>
  </w:num>
  <w:num w:numId="16" w16cid:durableId="814881766">
    <w:abstractNumId w:val="12"/>
  </w:num>
  <w:num w:numId="17" w16cid:durableId="1694840141">
    <w:abstractNumId w:val="5"/>
  </w:num>
  <w:num w:numId="18" w16cid:durableId="1342857279">
    <w:abstractNumId w:val="10"/>
  </w:num>
  <w:num w:numId="19" w16cid:durableId="2032146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4D20"/>
    <w:rsid w:val="000E5A7E"/>
    <w:rsid w:val="000F43A3"/>
    <w:rsid w:val="000F7681"/>
    <w:rsid w:val="0010104A"/>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4E9F"/>
    <w:rsid w:val="00211487"/>
    <w:rsid w:val="00211D91"/>
    <w:rsid w:val="00217DEC"/>
    <w:rsid w:val="00235B57"/>
    <w:rsid w:val="00245BFA"/>
    <w:rsid w:val="00250F24"/>
    <w:rsid w:val="002523C5"/>
    <w:rsid w:val="0025380B"/>
    <w:rsid w:val="0025703A"/>
    <w:rsid w:val="00262F3D"/>
    <w:rsid w:val="00263281"/>
    <w:rsid w:val="0026466B"/>
    <w:rsid w:val="002651D6"/>
    <w:rsid w:val="0026551F"/>
    <w:rsid w:val="00280A85"/>
    <w:rsid w:val="00284119"/>
    <w:rsid w:val="00290B5C"/>
    <w:rsid w:val="00294791"/>
    <w:rsid w:val="002A4F5D"/>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BAC"/>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6FB6"/>
    <w:rsid w:val="003E0705"/>
    <w:rsid w:val="003E2FF7"/>
    <w:rsid w:val="003F1013"/>
    <w:rsid w:val="003F1ACF"/>
    <w:rsid w:val="00404948"/>
    <w:rsid w:val="00406BEA"/>
    <w:rsid w:val="00413A60"/>
    <w:rsid w:val="004230F7"/>
    <w:rsid w:val="0043167E"/>
    <w:rsid w:val="0043409A"/>
    <w:rsid w:val="00443C1E"/>
    <w:rsid w:val="00446255"/>
    <w:rsid w:val="00451935"/>
    <w:rsid w:val="00455982"/>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25750"/>
    <w:rsid w:val="00531E60"/>
    <w:rsid w:val="00536A5A"/>
    <w:rsid w:val="00541D07"/>
    <w:rsid w:val="00544BAB"/>
    <w:rsid w:val="00545F31"/>
    <w:rsid w:val="005578FA"/>
    <w:rsid w:val="00563AF8"/>
    <w:rsid w:val="00565129"/>
    <w:rsid w:val="00565CD0"/>
    <w:rsid w:val="00567820"/>
    <w:rsid w:val="005770AD"/>
    <w:rsid w:val="00581414"/>
    <w:rsid w:val="00582490"/>
    <w:rsid w:val="005826FA"/>
    <w:rsid w:val="005969D2"/>
    <w:rsid w:val="00597E28"/>
    <w:rsid w:val="005A2E3B"/>
    <w:rsid w:val="005A54ED"/>
    <w:rsid w:val="005A5D5B"/>
    <w:rsid w:val="005A6081"/>
    <w:rsid w:val="005A627D"/>
    <w:rsid w:val="005C0045"/>
    <w:rsid w:val="005C084E"/>
    <w:rsid w:val="005C4606"/>
    <w:rsid w:val="005D0582"/>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308"/>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67251"/>
    <w:rsid w:val="00771100"/>
    <w:rsid w:val="007759DD"/>
    <w:rsid w:val="0078609F"/>
    <w:rsid w:val="007917BA"/>
    <w:rsid w:val="007A5C6F"/>
    <w:rsid w:val="007D1CBD"/>
    <w:rsid w:val="007D4241"/>
    <w:rsid w:val="007D4317"/>
    <w:rsid w:val="007D4EA3"/>
    <w:rsid w:val="007D53BF"/>
    <w:rsid w:val="007F1CFF"/>
    <w:rsid w:val="007F5DD5"/>
    <w:rsid w:val="00821A1B"/>
    <w:rsid w:val="008262E9"/>
    <w:rsid w:val="00827E69"/>
    <w:rsid w:val="00835C4D"/>
    <w:rsid w:val="00843F48"/>
    <w:rsid w:val="00851423"/>
    <w:rsid w:val="0085497A"/>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037E"/>
    <w:rsid w:val="00921F47"/>
    <w:rsid w:val="009228AB"/>
    <w:rsid w:val="0093085B"/>
    <w:rsid w:val="00931C57"/>
    <w:rsid w:val="009347A5"/>
    <w:rsid w:val="00942257"/>
    <w:rsid w:val="009471BF"/>
    <w:rsid w:val="00950E4E"/>
    <w:rsid w:val="009529BD"/>
    <w:rsid w:val="009533B4"/>
    <w:rsid w:val="00956F6E"/>
    <w:rsid w:val="009625A8"/>
    <w:rsid w:val="00971D93"/>
    <w:rsid w:val="009B1F6B"/>
    <w:rsid w:val="009C0D12"/>
    <w:rsid w:val="009C192E"/>
    <w:rsid w:val="009C63C6"/>
    <w:rsid w:val="009D6819"/>
    <w:rsid w:val="009D6CD3"/>
    <w:rsid w:val="009D6D1C"/>
    <w:rsid w:val="009E0CF9"/>
    <w:rsid w:val="009E2DEC"/>
    <w:rsid w:val="009E531B"/>
    <w:rsid w:val="009E6C56"/>
    <w:rsid w:val="009E7DCF"/>
    <w:rsid w:val="009F4A56"/>
    <w:rsid w:val="009F4E65"/>
    <w:rsid w:val="009F5D2C"/>
    <w:rsid w:val="00A006A5"/>
    <w:rsid w:val="00A05942"/>
    <w:rsid w:val="00A07BEC"/>
    <w:rsid w:val="00A264BE"/>
    <w:rsid w:val="00A26E92"/>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A7E7C"/>
    <w:rsid w:val="00AB0CC9"/>
    <w:rsid w:val="00AC3FF6"/>
    <w:rsid w:val="00AD73EC"/>
    <w:rsid w:val="00AE48B0"/>
    <w:rsid w:val="00AE5BC7"/>
    <w:rsid w:val="00AF5AAF"/>
    <w:rsid w:val="00B046D8"/>
    <w:rsid w:val="00B13F4C"/>
    <w:rsid w:val="00B16219"/>
    <w:rsid w:val="00B16C59"/>
    <w:rsid w:val="00B175BD"/>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43C4"/>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96782"/>
    <w:rsid w:val="00DA299D"/>
    <w:rsid w:val="00DA65C4"/>
    <w:rsid w:val="00DB39F4"/>
    <w:rsid w:val="00DD2BE0"/>
    <w:rsid w:val="00DE4447"/>
    <w:rsid w:val="00DE5DA2"/>
    <w:rsid w:val="00DF0033"/>
    <w:rsid w:val="00E026BF"/>
    <w:rsid w:val="00E07B1B"/>
    <w:rsid w:val="00E11853"/>
    <w:rsid w:val="00E35DDD"/>
    <w:rsid w:val="00E52A86"/>
    <w:rsid w:val="00E54B47"/>
    <w:rsid w:val="00E553BF"/>
    <w:rsid w:val="00E55D93"/>
    <w:rsid w:val="00E61294"/>
    <w:rsid w:val="00E7237C"/>
    <w:rsid w:val="00E74B9D"/>
    <w:rsid w:val="00E77C46"/>
    <w:rsid w:val="00E86CE8"/>
    <w:rsid w:val="00E90E82"/>
    <w:rsid w:val="00EA00CB"/>
    <w:rsid w:val="00EA1BAA"/>
    <w:rsid w:val="00EA3FCD"/>
    <w:rsid w:val="00EA42A0"/>
    <w:rsid w:val="00EB257E"/>
    <w:rsid w:val="00EB6714"/>
    <w:rsid w:val="00EC0A68"/>
    <w:rsid w:val="00EC5006"/>
    <w:rsid w:val="00ED49C3"/>
    <w:rsid w:val="00ED6CE8"/>
    <w:rsid w:val="00ED7AA6"/>
    <w:rsid w:val="00EE2A56"/>
    <w:rsid w:val="00EE3818"/>
    <w:rsid w:val="00F14500"/>
    <w:rsid w:val="00F22264"/>
    <w:rsid w:val="00F2564D"/>
    <w:rsid w:val="00F35B05"/>
    <w:rsid w:val="00F413D9"/>
    <w:rsid w:val="00F5135F"/>
    <w:rsid w:val="00F51F78"/>
    <w:rsid w:val="00F52046"/>
    <w:rsid w:val="00F86F47"/>
    <w:rsid w:val="00F90B64"/>
    <w:rsid w:val="00FB2F0F"/>
    <w:rsid w:val="00FB5086"/>
    <w:rsid w:val="00FB5411"/>
    <w:rsid w:val="00FB6392"/>
    <w:rsid w:val="00FD3C70"/>
    <w:rsid w:val="00FD6820"/>
    <w:rsid w:val="00FE12D8"/>
    <w:rsid w:val="00FF7C02"/>
    <w:rsid w:val="024801E3"/>
    <w:rsid w:val="08C1CA08"/>
    <w:rsid w:val="221E060A"/>
    <w:rsid w:val="2337DEC5"/>
    <w:rsid w:val="647B2B65"/>
    <w:rsid w:val="6572D36C"/>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563AF8"/>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internetmedicin.s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23</TotalTime>
  <Pages>3</Pages>
  <Words>514</Words>
  <Characters>2726</Characters>
  <Application>Microsoft Office Word</Application>
  <DocSecurity>0</DocSecurity>
  <Lines>22</Lines>
  <Paragraphs>6</Paragraphs>
  <ScaleCrop>false</ScaleCrop>
  <Manager/>
  <Company/>
  <LinksUpToDate>false</LinksUpToDate>
  <CharactersWithSpaces>3234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Wernicke encefalopati Wernicke Korsakoff syndrom - akut behandling med intravenös Tiamin</dc:title>
  <dc:subject/>
  <dc:creator>patrik.jens.johansson@vgregion.se</dc:creator>
  <keywords/>
  <lastModifiedBy>Annika Johansson</lastModifiedBy>
  <revision>34</revision>
  <lastPrinted>2016-03-31T10:56:00.0000000Z</lastPrinted>
  <dcterms:created xsi:type="dcterms:W3CDTF">2022-05-09T03:41:00.0000000Z</dcterms:created>
  <dcterms:modified xsi:type="dcterms:W3CDTF">2025-04-22T15:31:00.0000000Z</dcterms:modified>
</coreProperties>
</file>