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A603EB" w14:textId="77777777" w:rsidR="00091ABC" w:rsidRDefault="00091ABC" w:rsidP="00F35B05">
      <w:pPr>
        <w:pStyle w:val="Heading2"/>
        <w:sectPr w:rsidR="00091ABC" w:rsidSect="00091AB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5F12D01" w14:textId="77777777" w:rsidR="00091ABC" w:rsidRPr="00091ABC" w:rsidRDefault="00091ABC" w:rsidP="00091ABC">
      <w:pPr>
        <w:keepNext/>
        <w:pBdr>
          <w:bottom w:val="single" w:sz="4" w:space="1" w:color="auto"/>
        </w:pBdr>
        <w:spacing w:after="0" w:line="240" w:lineRule="auto"/>
        <w:ind w:left="0" w:right="0"/>
        <w:outlineLvl w:val="0"/>
        <w:rPr>
          <w:rFonts w:ascii="Calibri" w:hAnsi="Calibri" w:cs="Calibri"/>
          <w:b/>
          <w:bCs/>
          <w:kern w:val="32"/>
          <w:sz w:val="36"/>
          <w:szCs w:val="36"/>
        </w:rPr>
      </w:pPr>
      <w:bookmarkStart w:id="1" w:name="_Toc8726262"/>
      <w:r w:rsidRPr="00091ABC">
        <w:rPr>
          <w:rFonts w:ascii="Calibri" w:hAnsi="Calibri" w:cs="Calibri"/>
          <w:b/>
          <w:bCs/>
          <w:kern w:val="32"/>
          <w:sz w:val="36"/>
          <w:szCs w:val="36"/>
        </w:rPr>
        <w:t>Sekundär hypertoni</w:t>
      </w:r>
      <w:bookmarkEnd w:id="1"/>
      <w:r w:rsidRPr="00091ABC">
        <w:rPr>
          <w:rFonts w:ascii="Calibri" w:hAnsi="Calibri" w:cs="Calibri"/>
          <w:b/>
          <w:bCs/>
          <w:kern w:val="32"/>
          <w:sz w:val="36"/>
          <w:szCs w:val="36"/>
        </w:rPr>
        <w:fldChar w:fldCharType="begin"/>
      </w:r>
      <w:r w:rsidRPr="00091ABC">
        <w:rPr>
          <w:rFonts w:ascii="Calibri" w:hAnsi="Calibri" w:cs="Calibri"/>
          <w:b/>
          <w:bCs/>
          <w:kern w:val="32"/>
          <w:sz w:val="36"/>
          <w:szCs w:val="36"/>
        </w:rPr>
        <w:instrText xml:space="preserve"> XE "Sekundär hypertoni" </w:instrText>
      </w:r>
      <w:r w:rsidRPr="00091ABC">
        <w:rPr>
          <w:rFonts w:ascii="Calibri" w:hAnsi="Calibri" w:cs="Calibri"/>
          <w:b/>
          <w:bCs/>
          <w:kern w:val="32"/>
          <w:sz w:val="36"/>
          <w:szCs w:val="36"/>
        </w:rPr>
        <w:fldChar w:fldCharType="end"/>
      </w:r>
    </w:p>
    <w:p w14:paraId="40586903" w14:textId="77777777" w:rsidR="00091ABC" w:rsidRPr="00091ABC" w:rsidRDefault="00091ABC" w:rsidP="00091ABC">
      <w:pPr>
        <w:spacing w:after="0" w:line="240" w:lineRule="auto"/>
        <w:ind w:left="0" w:right="0"/>
        <w:rPr>
          <w:szCs w:val="20"/>
          <w:u w:color="191919"/>
        </w:rPr>
      </w:pPr>
    </w:p>
    <w:p w14:paraId="1AC1766D" w14:textId="77777777" w:rsidR="00091ABC" w:rsidRPr="00091ABC" w:rsidRDefault="00091ABC" w:rsidP="00091ABC">
      <w:pPr>
        <w:spacing w:after="0" w:line="240" w:lineRule="auto"/>
        <w:ind w:left="0" w:right="0"/>
        <w:rPr>
          <w:rFonts w:eastAsia="Verdana" w:cs="Verdana"/>
          <w:szCs w:val="20"/>
          <w:u w:color="191919"/>
        </w:rPr>
      </w:pPr>
      <w:r w:rsidRPr="00091ABC">
        <w:rPr>
          <w:szCs w:val="20"/>
          <w:u w:color="191919"/>
        </w:rPr>
        <w:t>Hypertoni förekommer i 27% av den vuxna befolkningen. Av dessa har 5-10% sekundära former dvs. sjukdom i njurar, binjurar  eller andra organ som orsakar blodtrycksförhöjningen. Dessa sjukdomar kan ofta kureras varefter blodtrycket normaliseras helt eller delvis.</w:t>
      </w:r>
    </w:p>
    <w:p w14:paraId="0AE90160" w14:textId="77777777" w:rsidR="00091ABC" w:rsidRPr="00091ABC" w:rsidRDefault="00091ABC" w:rsidP="00091ABC">
      <w:pPr>
        <w:spacing w:after="0" w:line="240" w:lineRule="auto"/>
        <w:ind w:left="0" w:right="0"/>
        <w:rPr>
          <w:rFonts w:eastAsia="Verdana" w:cs="Verdana"/>
          <w:szCs w:val="20"/>
          <w:u w:color="191919"/>
        </w:rPr>
      </w:pPr>
      <w:r w:rsidRPr="00091ABC">
        <w:rPr>
          <w:szCs w:val="20"/>
          <w:u w:color="191919"/>
        </w:rPr>
        <w:t xml:space="preserve">Patienter med primär hypertoni ska genomgå </w:t>
      </w:r>
      <w:r w:rsidRPr="00091ABC">
        <w:rPr>
          <w:b/>
          <w:bCs/>
          <w:szCs w:val="20"/>
          <w:u w:color="191919"/>
        </w:rPr>
        <w:t>basalutredning</w:t>
      </w:r>
      <w:r w:rsidRPr="00091ABC">
        <w:rPr>
          <w:szCs w:val="20"/>
          <w:u w:color="191919"/>
        </w:rPr>
        <w:t xml:space="preserve">: </w:t>
      </w:r>
    </w:p>
    <w:p w14:paraId="27E6882F" w14:textId="77777777" w:rsidR="00091ABC" w:rsidRPr="00091ABC" w:rsidRDefault="00091ABC" w:rsidP="00091ABC">
      <w:pPr>
        <w:numPr>
          <w:ilvl w:val="0"/>
          <w:numId w:val="20"/>
        </w:numPr>
        <w:spacing w:before="20" w:after="0" w:line="259" w:lineRule="auto"/>
        <w:ind w:left="714" w:right="0" w:hanging="357"/>
        <w:contextualSpacing/>
        <w:rPr>
          <w:rFonts w:ascii="Garamond" w:eastAsia="Verdana" w:hAnsi="Verdana" w:cs="Verdana"/>
          <w:sz w:val="20"/>
          <w:szCs w:val="22"/>
          <w:u w:color="191919"/>
          <w:lang w:eastAsia="en-US"/>
        </w:rPr>
      </w:pP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t>L</w:t>
      </w:r>
      <w:r w:rsidRPr="00091ABC">
        <w:rPr>
          <w:rFonts w:ascii="Garamond" w:eastAsia="Calibri" w:hAnsi="Arial Unicode MS"/>
          <w:sz w:val="20"/>
          <w:szCs w:val="22"/>
          <w:u w:color="191919"/>
          <w:lang w:eastAsia="en-US"/>
        </w:rPr>
        <w:t>ä</w:t>
      </w: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t>ngd, vikt</w:t>
      </w:r>
    </w:p>
    <w:p w14:paraId="5203316A" w14:textId="77777777" w:rsidR="00091ABC" w:rsidRPr="00091ABC" w:rsidRDefault="00091ABC" w:rsidP="00091ABC">
      <w:pPr>
        <w:numPr>
          <w:ilvl w:val="0"/>
          <w:numId w:val="20"/>
        </w:numPr>
        <w:spacing w:before="20" w:after="0" w:line="259" w:lineRule="auto"/>
        <w:ind w:left="714" w:right="0" w:hanging="357"/>
        <w:contextualSpacing/>
        <w:rPr>
          <w:rFonts w:ascii="Garamond" w:eastAsia="Verdana" w:hAnsi="Verdana" w:cs="Verdana"/>
          <w:sz w:val="20"/>
          <w:szCs w:val="22"/>
          <w:u w:color="191919"/>
          <w:lang w:eastAsia="en-US"/>
        </w:rPr>
      </w:pPr>
      <w:r w:rsidRPr="00091ABC">
        <w:rPr>
          <w:rFonts w:ascii="Garamond" w:eastAsia="Calibri" w:hAnsi="Garamond"/>
          <w:sz w:val="20"/>
          <w:szCs w:val="22"/>
          <w:u w:color="191919"/>
          <w:lang w:val="da-DK" w:eastAsia="en-US"/>
        </w:rPr>
        <w:t>Bukomf</w:t>
      </w:r>
      <w:r w:rsidRPr="00091ABC">
        <w:rPr>
          <w:rFonts w:ascii="Garamond" w:eastAsia="Calibri" w:hAnsi="Arial Unicode MS"/>
          <w:sz w:val="20"/>
          <w:szCs w:val="22"/>
          <w:u w:color="191919"/>
          <w:lang w:eastAsia="en-US"/>
        </w:rPr>
        <w:t>å</w:t>
      </w: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t>ng</w:t>
      </w:r>
    </w:p>
    <w:p w14:paraId="5F8B8E24" w14:textId="77777777" w:rsidR="00091ABC" w:rsidRPr="00091ABC" w:rsidRDefault="00091ABC" w:rsidP="00091ABC">
      <w:pPr>
        <w:numPr>
          <w:ilvl w:val="0"/>
          <w:numId w:val="20"/>
        </w:numPr>
        <w:spacing w:before="20" w:after="0" w:line="259" w:lineRule="auto"/>
        <w:ind w:left="714" w:right="0" w:hanging="357"/>
        <w:contextualSpacing/>
        <w:rPr>
          <w:rFonts w:ascii="Garamond" w:eastAsia="Verdana" w:hAnsi="Verdana" w:cs="Verdana"/>
          <w:sz w:val="20"/>
          <w:szCs w:val="22"/>
          <w:u w:color="191919"/>
          <w:lang w:eastAsia="en-US"/>
        </w:rPr>
      </w:pP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t>Blodprover: S-kalium, S-kreatinin, fP-glukos, lipidstatus.</w:t>
      </w:r>
    </w:p>
    <w:p w14:paraId="07D8E4BB" w14:textId="77777777" w:rsidR="00091ABC" w:rsidRPr="00091ABC" w:rsidRDefault="00091ABC" w:rsidP="00091ABC">
      <w:pPr>
        <w:numPr>
          <w:ilvl w:val="0"/>
          <w:numId w:val="20"/>
        </w:numPr>
        <w:spacing w:before="20" w:after="0" w:line="259" w:lineRule="auto"/>
        <w:ind w:left="714" w:right="0" w:hanging="357"/>
        <w:contextualSpacing/>
        <w:rPr>
          <w:rFonts w:ascii="Garamond" w:eastAsia="Verdana" w:hAnsi="Verdana" w:cs="Verdana"/>
          <w:sz w:val="20"/>
          <w:szCs w:val="22"/>
          <w:u w:color="191919"/>
          <w:lang w:eastAsia="en-US"/>
        </w:rPr>
      </w:pP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t>Urinprov: Sticka-test f</w:t>
      </w:r>
      <w:r w:rsidRPr="00091ABC">
        <w:rPr>
          <w:rFonts w:ascii="Garamond" w:eastAsia="Calibri" w:hAnsi="Arial Unicode MS"/>
          <w:sz w:val="20"/>
          <w:szCs w:val="22"/>
          <w:u w:color="191919"/>
          <w:lang w:eastAsia="en-US"/>
        </w:rPr>
        <w:t>ö</w:t>
      </w: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t>r proteinuri, glukosuri.</w:t>
      </w:r>
    </w:p>
    <w:p w14:paraId="26CB91C2" w14:textId="77777777" w:rsidR="00091ABC" w:rsidRPr="00091ABC" w:rsidRDefault="00091ABC" w:rsidP="00091ABC">
      <w:pPr>
        <w:numPr>
          <w:ilvl w:val="0"/>
          <w:numId w:val="20"/>
        </w:numPr>
        <w:spacing w:before="20" w:after="0" w:line="259" w:lineRule="auto"/>
        <w:ind w:left="714" w:right="0" w:hanging="357"/>
        <w:contextualSpacing/>
        <w:rPr>
          <w:rFonts w:ascii="Garamond" w:eastAsia="Verdana" w:hAnsi="Verdana" w:cs="Verdana"/>
          <w:sz w:val="20"/>
          <w:szCs w:val="22"/>
          <w:u w:color="191919"/>
          <w:lang w:eastAsia="en-US"/>
        </w:rPr>
      </w:pP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t>EKG (Arytmier? V</w:t>
      </w:r>
      <w:r w:rsidRPr="00091ABC">
        <w:rPr>
          <w:rFonts w:ascii="Garamond" w:eastAsia="Calibri" w:hAnsi="Arial Unicode MS"/>
          <w:sz w:val="20"/>
          <w:szCs w:val="22"/>
          <w:u w:color="191919"/>
          <w:lang w:eastAsia="en-US"/>
        </w:rPr>
        <w:t>ä</w:t>
      </w: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t>nsterkammarhypertrofi?)</w:t>
      </w:r>
    </w:p>
    <w:p w14:paraId="6AA37F50" w14:textId="77777777" w:rsidR="00091ABC" w:rsidRPr="00091ABC" w:rsidRDefault="00091ABC" w:rsidP="00091ABC">
      <w:pPr>
        <w:spacing w:after="0" w:line="240" w:lineRule="auto"/>
        <w:ind w:left="0" w:right="0"/>
        <w:rPr>
          <w:rFonts w:eastAsia="Verdana" w:cs="Verdana"/>
          <w:szCs w:val="20"/>
          <w:u w:color="191919"/>
        </w:rPr>
      </w:pPr>
      <w:r w:rsidRPr="00091ABC">
        <w:rPr>
          <w:szCs w:val="20"/>
          <w:u w:color="191919"/>
        </w:rPr>
        <w:t xml:space="preserve">Patienter som har </w:t>
      </w:r>
      <w:r w:rsidRPr="00091ABC">
        <w:rPr>
          <w:b/>
          <w:bCs/>
          <w:szCs w:val="20"/>
          <w:u w:color="191919"/>
        </w:rPr>
        <w:t>kliniska tecken till sekundär hypertoni</w:t>
      </w:r>
      <w:r w:rsidRPr="00091ABC">
        <w:rPr>
          <w:szCs w:val="20"/>
          <w:u w:color="191919"/>
        </w:rPr>
        <w:t xml:space="preserve"> ska göra en mer extensiv utredning. Det är viktigt att ha kännedom om de kliniska </w:t>
      </w:r>
      <w:r w:rsidRPr="00091ABC">
        <w:rPr>
          <w:b/>
          <w:bCs/>
          <w:szCs w:val="20"/>
          <w:u w:color="191919"/>
        </w:rPr>
        <w:t>ledtrådarna</w:t>
      </w:r>
      <w:r w:rsidRPr="00091ABC">
        <w:rPr>
          <w:i/>
          <w:iCs/>
          <w:szCs w:val="20"/>
          <w:u w:color="191919"/>
        </w:rPr>
        <w:t xml:space="preserve"> </w:t>
      </w:r>
      <w:r w:rsidRPr="00091ABC">
        <w:rPr>
          <w:szCs w:val="20"/>
          <w:u w:color="191919"/>
        </w:rPr>
        <w:t>som bör väcka misstanke om sekundär hypertoni. Dessa kan delas in i tre grupper:</w:t>
      </w:r>
    </w:p>
    <w:p w14:paraId="1D5816FA" w14:textId="77777777" w:rsidR="00091ABC" w:rsidRPr="00091ABC" w:rsidRDefault="00091ABC" w:rsidP="00091ABC">
      <w:pPr>
        <w:keepNext/>
        <w:keepLines/>
        <w:numPr>
          <w:ilvl w:val="0"/>
          <w:numId w:val="22"/>
        </w:numPr>
        <w:spacing w:before="120" w:after="60" w:line="240" w:lineRule="auto"/>
        <w:ind w:right="0"/>
        <w:outlineLvl w:val="1"/>
        <w:rPr>
          <w:rFonts w:ascii="Calibri" w:eastAsia="Verdana" w:hAnsi="Verdana" w:cs="Verdana"/>
          <w:b/>
          <w:bCs/>
          <w:iCs/>
          <w:sz w:val="28"/>
          <w:szCs w:val="28"/>
        </w:rPr>
      </w:pPr>
      <w:r w:rsidRPr="00091ABC">
        <w:rPr>
          <w:rFonts w:ascii="Calibri" w:hAnsi="Calibri" w:cs="Arial"/>
          <w:b/>
          <w:bCs/>
          <w:iCs/>
          <w:sz w:val="28"/>
          <w:szCs w:val="28"/>
        </w:rPr>
        <w:t>Generella kliniska ledtr</w:t>
      </w:r>
      <w:r w:rsidRPr="00091ABC">
        <w:rPr>
          <w:rFonts w:ascii="Calibri" w:hAnsi="Arial Unicode MS" w:cs="Arial"/>
          <w:b/>
          <w:bCs/>
          <w:iCs/>
          <w:sz w:val="28"/>
          <w:szCs w:val="28"/>
        </w:rPr>
        <w:t>å</w:t>
      </w:r>
      <w:r w:rsidRPr="00091ABC">
        <w:rPr>
          <w:rFonts w:ascii="Calibri" w:hAnsi="Calibri" w:cs="Arial"/>
          <w:b/>
          <w:bCs/>
          <w:iCs/>
          <w:sz w:val="28"/>
          <w:szCs w:val="28"/>
        </w:rPr>
        <w:t>dar</w:t>
      </w:r>
    </w:p>
    <w:p w14:paraId="57763269" w14:textId="77777777" w:rsidR="00091ABC" w:rsidRPr="00091ABC" w:rsidRDefault="00091ABC" w:rsidP="00091ABC">
      <w:pPr>
        <w:numPr>
          <w:ilvl w:val="0"/>
          <w:numId w:val="21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2"/>
          <w:u w:color="191919"/>
          <w:lang w:eastAsia="en-US"/>
        </w:rPr>
      </w:pPr>
      <w:r w:rsidRPr="00091ABC">
        <w:rPr>
          <w:rFonts w:ascii="Garamond" w:eastAsia="Calibri" w:hAnsi="Garamond"/>
          <w:b/>
          <w:bCs/>
          <w:sz w:val="20"/>
          <w:szCs w:val="22"/>
          <w:u w:color="191919"/>
          <w:lang w:eastAsia="en-US"/>
        </w:rPr>
        <w:t>Svår eller terapiresistent hypertoni</w:t>
      </w: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t xml:space="preserve"> (Högt blodtryck trots intag av adekvat dosering av minst tre antihypertensiva varav en är diuretika).</w:t>
      </w:r>
    </w:p>
    <w:p w14:paraId="6C78CBD2" w14:textId="77777777" w:rsidR="00091ABC" w:rsidRPr="00091ABC" w:rsidRDefault="00091ABC" w:rsidP="00091ABC">
      <w:pPr>
        <w:numPr>
          <w:ilvl w:val="0"/>
          <w:numId w:val="21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2"/>
          <w:u w:color="191919"/>
          <w:lang w:eastAsia="en-US"/>
        </w:rPr>
      </w:pP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t xml:space="preserve">Akut </w:t>
      </w:r>
      <w:r w:rsidRPr="00091ABC">
        <w:rPr>
          <w:rFonts w:ascii="Garamond" w:eastAsia="Calibri" w:hAnsi="Garamond"/>
          <w:b/>
          <w:bCs/>
          <w:sz w:val="20"/>
          <w:szCs w:val="22"/>
          <w:u w:color="191919"/>
          <w:lang w:eastAsia="en-US"/>
        </w:rPr>
        <w:t>försämring</w:t>
      </w: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t xml:space="preserve"> av tidigare stabilt blodtryck.</w:t>
      </w:r>
    </w:p>
    <w:p w14:paraId="713023C8" w14:textId="77777777" w:rsidR="00091ABC" w:rsidRPr="00091ABC" w:rsidRDefault="00091ABC" w:rsidP="00091ABC">
      <w:pPr>
        <w:numPr>
          <w:ilvl w:val="0"/>
          <w:numId w:val="21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2"/>
          <w:u w:color="191919"/>
          <w:lang w:eastAsia="en-US"/>
        </w:rPr>
      </w:pPr>
      <w:r w:rsidRPr="00091ABC">
        <w:rPr>
          <w:rFonts w:ascii="Garamond" w:eastAsia="Calibri" w:hAnsi="Garamond"/>
          <w:b/>
          <w:bCs/>
          <w:sz w:val="20"/>
          <w:szCs w:val="22"/>
          <w:u w:color="191919"/>
          <w:lang w:eastAsia="en-US"/>
        </w:rPr>
        <w:t>Ålder &lt;30</w:t>
      </w: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t xml:space="preserve"> år och avsaknad av fetma och hereditet för hypertoni.</w:t>
      </w:r>
    </w:p>
    <w:p w14:paraId="5ED9B075" w14:textId="77777777" w:rsidR="00091ABC" w:rsidRPr="00091ABC" w:rsidRDefault="00091ABC" w:rsidP="00091ABC">
      <w:pPr>
        <w:numPr>
          <w:ilvl w:val="0"/>
          <w:numId w:val="21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2"/>
          <w:u w:color="191919"/>
          <w:lang w:eastAsia="en-US"/>
        </w:rPr>
      </w:pPr>
      <w:r w:rsidRPr="00091ABC">
        <w:rPr>
          <w:rFonts w:ascii="Garamond" w:eastAsia="Calibri" w:hAnsi="Garamond"/>
          <w:b/>
          <w:bCs/>
          <w:sz w:val="20"/>
          <w:szCs w:val="22"/>
          <w:u w:color="191919"/>
          <w:lang w:eastAsia="en-US"/>
        </w:rPr>
        <w:t>Svår hypertoni med tecken på organskada</w:t>
      </w: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t xml:space="preserve"> (Retinala blödningar, hjärtsvikt, neurologisk rubbning, akut njurskada)</w:t>
      </w:r>
    </w:p>
    <w:p w14:paraId="60535BA2" w14:textId="77777777" w:rsidR="00091ABC" w:rsidRPr="00091ABC" w:rsidRDefault="00091ABC" w:rsidP="00091ABC">
      <w:pPr>
        <w:numPr>
          <w:ilvl w:val="0"/>
          <w:numId w:val="21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2"/>
          <w:u w:color="191919"/>
          <w:lang w:eastAsia="en-US"/>
        </w:rPr>
      </w:pP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t>Debut före pubertet.</w:t>
      </w:r>
    </w:p>
    <w:p w14:paraId="78EF3B9A" w14:textId="77777777" w:rsidR="00091ABC" w:rsidRPr="00091ABC" w:rsidRDefault="00091ABC" w:rsidP="00091ABC">
      <w:pPr>
        <w:numPr>
          <w:ilvl w:val="0"/>
          <w:numId w:val="21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2"/>
          <w:u w:color="191919"/>
          <w:lang w:eastAsia="en-US"/>
        </w:rPr>
      </w:pP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t>Hypertoni och Sömnapné</w:t>
      </w:r>
    </w:p>
    <w:p w14:paraId="0CCE766A" w14:textId="77777777" w:rsidR="00091ABC" w:rsidRPr="00091ABC" w:rsidRDefault="00091ABC" w:rsidP="00091ABC">
      <w:pPr>
        <w:keepNext/>
        <w:keepLines/>
        <w:numPr>
          <w:ilvl w:val="0"/>
          <w:numId w:val="22"/>
        </w:numPr>
        <w:spacing w:before="120" w:after="60" w:line="240" w:lineRule="auto"/>
        <w:ind w:right="0"/>
        <w:outlineLvl w:val="1"/>
        <w:rPr>
          <w:rFonts w:ascii="Calibri" w:eastAsia="Verdana" w:hAnsi="Verdana" w:cs="Verdana"/>
          <w:b/>
          <w:bCs/>
          <w:iCs/>
          <w:sz w:val="28"/>
          <w:szCs w:val="28"/>
        </w:rPr>
      </w:pPr>
      <w:r w:rsidRPr="00091ABC">
        <w:rPr>
          <w:rFonts w:ascii="Calibri" w:hAnsi="Calibri" w:cs="Arial"/>
          <w:b/>
          <w:bCs/>
          <w:iCs/>
          <w:sz w:val="28"/>
          <w:szCs w:val="28"/>
        </w:rPr>
        <w:t>Kliniska ledtr</w:t>
      </w:r>
      <w:r w:rsidRPr="00091ABC">
        <w:rPr>
          <w:rFonts w:ascii="Calibri" w:hAnsi="Arial Unicode MS" w:cs="Arial"/>
          <w:b/>
          <w:bCs/>
          <w:iCs/>
          <w:sz w:val="28"/>
          <w:szCs w:val="28"/>
        </w:rPr>
        <w:t>å</w:t>
      </w:r>
      <w:r w:rsidRPr="00091ABC">
        <w:rPr>
          <w:rFonts w:ascii="Calibri" w:hAnsi="Calibri" w:cs="Arial"/>
          <w:b/>
          <w:bCs/>
          <w:iCs/>
          <w:sz w:val="28"/>
          <w:szCs w:val="28"/>
        </w:rPr>
        <w:t>dar f</w:t>
      </w:r>
      <w:r w:rsidRPr="00091ABC">
        <w:rPr>
          <w:rFonts w:ascii="Calibri" w:hAnsi="Arial Unicode MS" w:cs="Arial"/>
          <w:b/>
          <w:bCs/>
          <w:iCs/>
          <w:sz w:val="28"/>
          <w:szCs w:val="28"/>
        </w:rPr>
        <w:t>ö</w:t>
      </w:r>
      <w:r w:rsidRPr="00091ABC">
        <w:rPr>
          <w:rFonts w:ascii="Calibri" w:hAnsi="Calibri" w:cs="Arial"/>
          <w:b/>
          <w:bCs/>
          <w:iCs/>
          <w:sz w:val="28"/>
          <w:szCs w:val="28"/>
        </w:rPr>
        <w:t>r renovaskul</w:t>
      </w:r>
      <w:r w:rsidRPr="00091ABC">
        <w:rPr>
          <w:rFonts w:ascii="Calibri" w:hAnsi="Arial Unicode MS" w:cs="Arial"/>
          <w:b/>
          <w:bCs/>
          <w:iCs/>
          <w:sz w:val="28"/>
          <w:szCs w:val="28"/>
        </w:rPr>
        <w:t>ä</w:t>
      </w:r>
      <w:r w:rsidRPr="00091ABC">
        <w:rPr>
          <w:rFonts w:ascii="Calibri" w:hAnsi="Calibri" w:cs="Arial"/>
          <w:b/>
          <w:bCs/>
          <w:iCs/>
          <w:sz w:val="28"/>
          <w:szCs w:val="28"/>
        </w:rPr>
        <w:t>r hypertoni</w:t>
      </w:r>
    </w:p>
    <w:p w14:paraId="67A17089" w14:textId="77777777" w:rsidR="00091ABC" w:rsidRPr="00091ABC" w:rsidRDefault="00091ABC" w:rsidP="00091ABC">
      <w:pPr>
        <w:numPr>
          <w:ilvl w:val="0"/>
          <w:numId w:val="26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2"/>
          <w:u w:color="191919"/>
          <w:lang w:eastAsia="en-US"/>
        </w:rPr>
      </w:pP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t xml:space="preserve">Debut av </w:t>
      </w:r>
      <w:r w:rsidRPr="00091ABC">
        <w:rPr>
          <w:rFonts w:ascii="Garamond" w:eastAsia="Calibri" w:hAnsi="Garamond"/>
          <w:b/>
          <w:bCs/>
          <w:sz w:val="20"/>
          <w:szCs w:val="22"/>
          <w:u w:color="191919"/>
          <w:lang w:eastAsia="en-US"/>
        </w:rPr>
        <w:t>svår hypertoni</w:t>
      </w: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t xml:space="preserve"> (systoliskt &gt;180 mm Hg och/eller diastoliskt &gt;120 mm Hg) efter 55 års ålder.</w:t>
      </w:r>
    </w:p>
    <w:p w14:paraId="3767222B" w14:textId="77777777" w:rsidR="00091ABC" w:rsidRPr="00091ABC" w:rsidRDefault="00091ABC" w:rsidP="00091ABC">
      <w:pPr>
        <w:numPr>
          <w:ilvl w:val="0"/>
          <w:numId w:val="26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2"/>
          <w:u w:color="191919"/>
          <w:lang w:eastAsia="en-US"/>
        </w:rPr>
      </w:pP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t xml:space="preserve">Oförklarlig </w:t>
      </w:r>
      <w:r w:rsidRPr="00091ABC">
        <w:rPr>
          <w:rFonts w:ascii="Garamond" w:eastAsia="Calibri" w:hAnsi="Garamond"/>
          <w:b/>
          <w:bCs/>
          <w:sz w:val="20"/>
          <w:szCs w:val="22"/>
          <w:u w:color="191919"/>
          <w:lang w:eastAsia="en-US"/>
        </w:rPr>
        <w:t xml:space="preserve">försämring av njurfunktion </w:t>
      </w: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t>i form av kreatininförhöjning minst 30% efter insättning av ACE-hämmare eller ARB.</w:t>
      </w:r>
    </w:p>
    <w:p w14:paraId="0A96A2C4" w14:textId="77777777" w:rsidR="00091ABC" w:rsidRPr="00091ABC" w:rsidRDefault="00091ABC" w:rsidP="00091ABC">
      <w:pPr>
        <w:numPr>
          <w:ilvl w:val="0"/>
          <w:numId w:val="26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2"/>
          <w:u w:color="191919"/>
          <w:lang w:eastAsia="en-US"/>
        </w:rPr>
      </w:pP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t xml:space="preserve">Svår hypertoni hos patienter med </w:t>
      </w:r>
      <w:r w:rsidRPr="00091ABC">
        <w:rPr>
          <w:rFonts w:ascii="Garamond" w:eastAsia="Calibri" w:hAnsi="Garamond"/>
          <w:b/>
          <w:bCs/>
          <w:sz w:val="20"/>
          <w:szCs w:val="22"/>
          <w:u w:color="191919"/>
          <w:lang w:eastAsia="en-US"/>
        </w:rPr>
        <w:t>diffus ateroskleros</w:t>
      </w: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t xml:space="preserve"> särskild patienter äldre än 50 år.</w:t>
      </w:r>
    </w:p>
    <w:p w14:paraId="4FEEF632" w14:textId="77777777" w:rsidR="00091ABC" w:rsidRPr="00091ABC" w:rsidRDefault="00091ABC" w:rsidP="00091ABC">
      <w:pPr>
        <w:numPr>
          <w:ilvl w:val="0"/>
          <w:numId w:val="26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b/>
          <w:bCs/>
          <w:i/>
          <w:iCs/>
          <w:sz w:val="20"/>
          <w:szCs w:val="22"/>
          <w:u w:color="191919"/>
          <w:lang w:eastAsia="en-US"/>
        </w:rPr>
      </w:pP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t xml:space="preserve">Svår hypertoni hos en patient med </w:t>
      </w:r>
      <w:r w:rsidRPr="00091ABC">
        <w:rPr>
          <w:rFonts w:ascii="Garamond" w:eastAsia="Calibri" w:hAnsi="Garamond"/>
          <w:b/>
          <w:bCs/>
          <w:sz w:val="20"/>
          <w:szCs w:val="22"/>
          <w:u w:color="191919"/>
          <w:lang w:eastAsia="en-US"/>
        </w:rPr>
        <w:t>oförklarlig njuratrofi eller asymmetri</w:t>
      </w: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t xml:space="preserve"> av njurstorlek</w:t>
      </w:r>
    </w:p>
    <w:p w14:paraId="1D67B076" w14:textId="77777777" w:rsidR="00091ABC" w:rsidRPr="00091ABC" w:rsidRDefault="00091ABC" w:rsidP="00091ABC">
      <w:pPr>
        <w:numPr>
          <w:ilvl w:val="0"/>
          <w:numId w:val="26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b/>
          <w:bCs/>
          <w:sz w:val="20"/>
          <w:szCs w:val="22"/>
          <w:u w:color="191919"/>
          <w:lang w:eastAsia="en-US"/>
        </w:rPr>
      </w:pP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t xml:space="preserve">Medel till svår hypertoni hos patienter med </w:t>
      </w:r>
      <w:r w:rsidRPr="00091ABC">
        <w:rPr>
          <w:rFonts w:ascii="Garamond" w:eastAsia="Calibri" w:hAnsi="Garamond"/>
          <w:b/>
          <w:bCs/>
          <w:sz w:val="20"/>
          <w:szCs w:val="22"/>
          <w:u w:color="191919"/>
          <w:lang w:eastAsia="en-US"/>
        </w:rPr>
        <w:t xml:space="preserve">upprepade episoder av akut lungödem. </w:t>
      </w:r>
    </w:p>
    <w:p w14:paraId="2DE95F9B" w14:textId="77777777" w:rsidR="00091ABC" w:rsidRPr="00091ABC" w:rsidRDefault="00091ABC" w:rsidP="00091ABC">
      <w:pPr>
        <w:numPr>
          <w:ilvl w:val="0"/>
          <w:numId w:val="26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b/>
          <w:bCs/>
          <w:i/>
          <w:iCs/>
          <w:sz w:val="20"/>
          <w:szCs w:val="22"/>
          <w:u w:color="191919"/>
          <w:lang w:eastAsia="en-US"/>
        </w:rPr>
      </w:pPr>
      <w:r w:rsidRPr="00091ABC">
        <w:rPr>
          <w:rFonts w:ascii="Garamond" w:eastAsia="Calibri" w:hAnsi="Garamond"/>
          <w:b/>
          <w:bCs/>
          <w:sz w:val="20"/>
          <w:szCs w:val="22"/>
          <w:u w:color="191919"/>
          <w:lang w:eastAsia="en-US"/>
        </w:rPr>
        <w:t>Abdominalt blåsljud</w:t>
      </w:r>
    </w:p>
    <w:p w14:paraId="6D0594BF" w14:textId="77777777" w:rsidR="00091ABC" w:rsidRPr="00091ABC" w:rsidRDefault="00091ABC" w:rsidP="00091ABC">
      <w:pPr>
        <w:spacing w:after="0" w:line="240" w:lineRule="auto"/>
        <w:ind w:left="360" w:right="0"/>
        <w:rPr>
          <w:rFonts w:eastAsia="Verdana" w:cs="Verdana"/>
          <w:b/>
          <w:bCs/>
          <w:i/>
          <w:iCs/>
          <w:szCs w:val="20"/>
          <w:u w:color="191919"/>
        </w:rPr>
      </w:pPr>
      <w:r w:rsidRPr="00091ABC">
        <w:rPr>
          <w:b/>
          <w:bCs/>
          <w:szCs w:val="20"/>
          <w:u w:color="191919"/>
        </w:rPr>
        <w:t>Utredning</w:t>
      </w:r>
      <w:r w:rsidRPr="00091ABC">
        <w:rPr>
          <w:szCs w:val="20"/>
          <w:u w:color="191919"/>
        </w:rPr>
        <w:t>: Ultraljud njurartärer. Remiss skickas till Klin fys NÄL. Vid patologi ta kontakt med njurkonsult.</w:t>
      </w:r>
    </w:p>
    <w:p w14:paraId="0A28629E" w14:textId="77777777" w:rsidR="00091ABC" w:rsidRPr="00091ABC" w:rsidRDefault="00091ABC" w:rsidP="00091ABC">
      <w:pPr>
        <w:keepNext/>
        <w:spacing w:before="240" w:after="60" w:line="240" w:lineRule="auto"/>
        <w:ind w:left="0" w:right="0" w:firstLine="360"/>
        <w:outlineLvl w:val="1"/>
        <w:rPr>
          <w:rFonts w:ascii="Calibri" w:eastAsia="Verdana" w:hAnsi="Verdana" w:cs="Verdana"/>
          <w:b/>
          <w:bCs/>
          <w:iCs/>
          <w:sz w:val="28"/>
          <w:szCs w:val="28"/>
        </w:rPr>
      </w:pPr>
      <w:r w:rsidRPr="00091ABC">
        <w:rPr>
          <w:rFonts w:ascii="Calibri" w:hAnsi="Calibri" w:cs="Arial"/>
          <w:b/>
          <w:bCs/>
          <w:iCs/>
          <w:sz w:val="28"/>
          <w:szCs w:val="28"/>
        </w:rPr>
        <w:t>C. Kliniska ledtrådar f</w:t>
      </w:r>
      <w:r w:rsidRPr="00091ABC">
        <w:rPr>
          <w:rFonts w:ascii="Calibri" w:hAnsi="Arial Unicode MS" w:cs="Arial"/>
          <w:b/>
          <w:bCs/>
          <w:iCs/>
          <w:sz w:val="28"/>
          <w:szCs w:val="28"/>
        </w:rPr>
        <w:t>ö</w:t>
      </w:r>
      <w:r w:rsidRPr="00091ABC">
        <w:rPr>
          <w:rFonts w:ascii="Calibri" w:hAnsi="Calibri" w:cs="Arial"/>
          <w:b/>
          <w:bCs/>
          <w:iCs/>
          <w:sz w:val="28"/>
          <w:szCs w:val="28"/>
        </w:rPr>
        <w:t>r andra typer</w:t>
      </w:r>
    </w:p>
    <w:p w14:paraId="4A5C0B5C" w14:textId="77777777" w:rsidR="00091ABC" w:rsidRPr="00091ABC" w:rsidRDefault="00091ABC" w:rsidP="00091ABC">
      <w:pPr>
        <w:numPr>
          <w:ilvl w:val="0"/>
          <w:numId w:val="23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2"/>
          <w:u w:color="191919"/>
          <w:lang w:eastAsia="en-US"/>
        </w:rPr>
      </w:pPr>
      <w:r w:rsidRPr="00091ABC">
        <w:rPr>
          <w:rFonts w:ascii="Garamond" w:eastAsia="Calibri" w:hAnsi="Garamond"/>
          <w:b/>
          <w:bCs/>
          <w:sz w:val="20"/>
          <w:szCs w:val="22"/>
          <w:u w:color="191919"/>
          <w:lang w:eastAsia="en-US"/>
        </w:rPr>
        <w:t>Primär njursjukdom</w:t>
      </w: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t xml:space="preserve"> (Diabetesnefropati eller nefriter):</w:t>
      </w:r>
    </w:p>
    <w:p w14:paraId="482C9898" w14:textId="77777777" w:rsidR="00091ABC" w:rsidRPr="00091ABC" w:rsidRDefault="00091ABC" w:rsidP="00091ABC">
      <w:pPr>
        <w:spacing w:before="20" w:after="0" w:line="259" w:lineRule="auto"/>
        <w:ind w:left="720" w:right="0"/>
        <w:contextualSpacing/>
        <w:rPr>
          <w:rFonts w:ascii="Garamond" w:eastAsia="Verdana" w:hAnsi="Garamond" w:cs="Verdana"/>
          <w:sz w:val="20"/>
          <w:szCs w:val="22"/>
          <w:u w:color="191919"/>
          <w:lang w:eastAsia="en-US"/>
        </w:rPr>
      </w:pP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lastRenderedPageBreak/>
        <w:t>Utredning: Serum-kreatinin. Urinsticka. Alb/krea-kvot.</w:t>
      </w:r>
    </w:p>
    <w:p w14:paraId="71E6E6B1" w14:textId="77777777" w:rsidR="00091ABC" w:rsidRPr="00091ABC" w:rsidRDefault="00091ABC" w:rsidP="00091ABC">
      <w:pPr>
        <w:numPr>
          <w:ilvl w:val="0"/>
          <w:numId w:val="23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2"/>
          <w:u w:color="191919"/>
          <w:lang w:eastAsia="en-US"/>
        </w:rPr>
      </w:pPr>
      <w:r w:rsidRPr="00091ABC">
        <w:rPr>
          <w:rFonts w:ascii="Garamond" w:eastAsia="Calibri" w:hAnsi="Garamond"/>
          <w:b/>
          <w:bCs/>
          <w:sz w:val="20"/>
          <w:szCs w:val="22"/>
          <w:u w:color="191919"/>
          <w:lang w:eastAsia="en-US"/>
        </w:rPr>
        <w:t>Primär aldosteronism</w:t>
      </w:r>
    </w:p>
    <w:p w14:paraId="422D0E95" w14:textId="77777777" w:rsidR="00091ABC" w:rsidRPr="00091ABC" w:rsidRDefault="00091ABC" w:rsidP="00091ABC">
      <w:pPr>
        <w:spacing w:before="20" w:after="0" w:line="259" w:lineRule="auto"/>
        <w:ind w:left="720" w:right="0"/>
        <w:contextualSpacing/>
        <w:rPr>
          <w:rFonts w:ascii="Garamond" w:eastAsia="Verdana" w:hAnsi="Garamond" w:cs="Verdana"/>
          <w:sz w:val="20"/>
          <w:szCs w:val="22"/>
          <w:u w:color="191919"/>
          <w:lang w:eastAsia="en-US"/>
        </w:rPr>
      </w:pP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t xml:space="preserve">Hypokalemi bör leda till denna misstanke men många har kalium inom referensintervallet och hypertoni som enda manifestation. </w:t>
      </w:r>
    </w:p>
    <w:p w14:paraId="559554C0" w14:textId="77777777" w:rsidR="00091ABC" w:rsidRPr="00091ABC" w:rsidRDefault="00091ABC" w:rsidP="00091ABC">
      <w:pPr>
        <w:spacing w:before="20" w:after="0" w:line="259" w:lineRule="auto"/>
        <w:ind w:left="720" w:right="0"/>
        <w:contextualSpacing/>
        <w:rPr>
          <w:rFonts w:ascii="Garamond" w:eastAsia="Verdana" w:hAnsi="Garamond" w:cs="Verdana"/>
          <w:sz w:val="20"/>
          <w:szCs w:val="22"/>
          <w:u w:color="191919"/>
          <w:lang w:eastAsia="en-US"/>
        </w:rPr>
      </w:pPr>
      <w:r w:rsidRPr="00091ABC">
        <w:rPr>
          <w:rFonts w:ascii="Garamond" w:eastAsia="Calibri" w:hAnsi="Garamond"/>
          <w:sz w:val="20"/>
          <w:szCs w:val="22"/>
          <w:u w:color="191919"/>
          <w:lang w:eastAsia="en-US"/>
        </w:rPr>
        <w:t>Utredning: Aldosteron-renin kvot. När man tar första screeingen bör patienten vara normokalem! (Hypokalemi hämmar aldosteron) Man kan acceptera flertalet antihypertensiva vid screening förutom följande undantag: ß-blockerare (kan bibehållas vid första screening), däremot inga aldosteronantagonister vid första screeningen!(Spironolakton, Amilorid samt Eplerenon).</w:t>
      </w:r>
    </w:p>
    <w:p w14:paraId="5CE135CC" w14:textId="77777777" w:rsidR="00091ABC" w:rsidRPr="00091ABC" w:rsidRDefault="00091ABC" w:rsidP="00091ABC">
      <w:pPr>
        <w:spacing w:after="0" w:line="240" w:lineRule="auto"/>
        <w:ind w:left="720" w:right="0"/>
        <w:rPr>
          <w:szCs w:val="20"/>
          <w:u w:color="191919"/>
        </w:rPr>
      </w:pPr>
      <w:r w:rsidRPr="00091ABC">
        <w:rPr>
          <w:szCs w:val="20"/>
          <w:u w:color="191919"/>
        </w:rPr>
        <w:t xml:space="preserve">Viktigt! Ingen utredning om man anser patienten som ej aktuell för operativ behandling! I så fall symptomatisk behandling! </w:t>
      </w:r>
    </w:p>
    <w:p w14:paraId="46D9AA1A" w14:textId="77777777" w:rsidR="00091ABC" w:rsidRPr="00091ABC" w:rsidRDefault="00091ABC" w:rsidP="00091ABC">
      <w:pPr>
        <w:spacing w:before="20" w:after="0" w:line="259" w:lineRule="auto"/>
        <w:ind w:left="720" w:right="0"/>
        <w:contextualSpacing/>
        <w:rPr>
          <w:rFonts w:ascii="Garamond" w:eastAsia="Calibri" w:hAnsi="Garamond"/>
          <w:sz w:val="20"/>
          <w:szCs w:val="22"/>
          <w:lang w:eastAsia="en-US"/>
        </w:rPr>
      </w:pPr>
      <w:r w:rsidRPr="00091ABC">
        <w:rPr>
          <w:rFonts w:ascii="Garamond" w:eastAsia="Calibri" w:hAnsi="Garamond"/>
          <w:sz w:val="20"/>
          <w:szCs w:val="22"/>
          <w:lang w:eastAsia="en-US"/>
        </w:rPr>
        <w:t xml:space="preserve">En AR-kvot över 65 pmol/mU vid screening talar starkt för primär aldosteronism. För att öka specificiteten bör aldosteron samtidigt överstiga 400 pmol/L. Ett helt pressat Renin kan också vara tecken till PHA. </w:t>
      </w:r>
      <w:r w:rsidRPr="00091ABC">
        <w:rPr>
          <w:rFonts w:ascii="Garamond" w:eastAsia="Calibri" w:hAnsi="Garamond"/>
          <w:noProof/>
          <w:sz w:val="20"/>
          <w:szCs w:val="22"/>
        </w:rPr>
        <w:drawing>
          <wp:inline distT="0" distB="0" distL="0" distR="0" wp14:anchorId="007D6BB1" wp14:editId="6699194D">
            <wp:extent cx="3750733" cy="2167441"/>
            <wp:effectExtent l="0" t="0" r="0" b="0"/>
            <wp:docPr id="1" name="Bildobjekt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3710" cy="22096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5F7CDE" w14:textId="77777777" w:rsidR="00091ABC" w:rsidRPr="00091ABC" w:rsidRDefault="00091ABC" w:rsidP="00091ABC">
      <w:pPr>
        <w:spacing w:before="20" w:after="0" w:line="259" w:lineRule="auto"/>
        <w:ind w:left="720" w:right="0"/>
        <w:contextualSpacing/>
        <w:rPr>
          <w:rFonts w:ascii="Garamond" w:eastAsia="Calibri" w:hAnsi="Garamond"/>
          <w:sz w:val="20"/>
          <w:szCs w:val="20"/>
          <w:u w:color="191919"/>
          <w:lang w:eastAsia="en-US"/>
        </w:rPr>
      </w:pPr>
    </w:p>
    <w:p w14:paraId="154606D3" w14:textId="77777777" w:rsidR="00091ABC" w:rsidRPr="00091ABC" w:rsidRDefault="00091ABC" w:rsidP="00091ABC">
      <w:pPr>
        <w:numPr>
          <w:ilvl w:val="0"/>
          <w:numId w:val="23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0"/>
          <w:u w:color="191919"/>
          <w:lang w:eastAsia="en-US"/>
        </w:rPr>
      </w:pPr>
      <w:r w:rsidRPr="00091ABC">
        <w:rPr>
          <w:rFonts w:ascii="Garamond" w:eastAsia="Calibri" w:hAnsi="Garamond"/>
          <w:b/>
          <w:bCs/>
          <w:sz w:val="20"/>
          <w:szCs w:val="20"/>
          <w:u w:color="191919"/>
          <w:lang w:eastAsia="en-US"/>
        </w:rPr>
        <w:t>Cushings sjukdom och syndrom</w:t>
      </w:r>
      <w:r w:rsidRPr="00091ABC">
        <w:rPr>
          <w:rFonts w:ascii="Garamond" w:eastAsia="Calibri" w:hAnsi="Garamond"/>
          <w:sz w:val="20"/>
          <w:szCs w:val="20"/>
          <w:u w:color="191919"/>
          <w:lang w:eastAsia="en-US"/>
        </w:rPr>
        <w:t>: Cushingoid i ansikte, central fetma, Proximal muskelsvaghet, ecchymoser.</w:t>
      </w:r>
    </w:p>
    <w:p w14:paraId="3A808CA4" w14:textId="77777777" w:rsidR="00091ABC" w:rsidRPr="00091ABC" w:rsidRDefault="00091ABC" w:rsidP="00091ABC">
      <w:pPr>
        <w:spacing w:before="20" w:after="0" w:line="259" w:lineRule="auto"/>
        <w:ind w:left="720" w:right="0"/>
        <w:contextualSpacing/>
        <w:rPr>
          <w:rFonts w:ascii="Garamond" w:eastAsia="Verdana" w:hAnsi="Garamond" w:cs="Verdana"/>
          <w:i/>
          <w:iCs/>
          <w:sz w:val="20"/>
          <w:szCs w:val="20"/>
          <w:u w:color="191919"/>
          <w:lang w:eastAsia="en-US"/>
        </w:rPr>
      </w:pPr>
      <w:r w:rsidRPr="00091ABC">
        <w:rPr>
          <w:rFonts w:ascii="Garamond" w:eastAsia="Calibri" w:hAnsi="Garamond"/>
          <w:sz w:val="20"/>
          <w:szCs w:val="20"/>
          <w:u w:color="191919"/>
          <w:lang w:eastAsia="en-US"/>
        </w:rPr>
        <w:t>Utredning</w:t>
      </w:r>
      <w:r w:rsidRPr="00091ABC">
        <w:rPr>
          <w:rFonts w:ascii="Garamond" w:eastAsia="Calibri" w:hAnsi="Garamond"/>
          <w:b/>
          <w:bCs/>
          <w:sz w:val="20"/>
          <w:szCs w:val="20"/>
          <w:u w:color="191919"/>
          <w:lang w:eastAsia="en-US"/>
        </w:rPr>
        <w:t>:</w:t>
      </w:r>
      <w:r w:rsidRPr="00091ABC">
        <w:rPr>
          <w:rFonts w:ascii="Garamond" w:eastAsia="Calibri" w:hAnsi="Garamond"/>
          <w:sz w:val="20"/>
          <w:szCs w:val="20"/>
          <w:u w:color="191919"/>
          <w:lang w:eastAsia="en-US"/>
        </w:rPr>
        <w:t xml:space="preserve"> </w:t>
      </w:r>
      <w:r w:rsidRPr="00091ABC">
        <w:rPr>
          <w:rFonts w:ascii="Garamond" w:eastAsia="Calibri" w:hAnsi="Garamond"/>
          <w:b/>
          <w:bCs/>
          <w:sz w:val="20"/>
          <w:szCs w:val="20"/>
          <w:u w:color="191919"/>
          <w:lang w:eastAsia="en-US"/>
        </w:rPr>
        <w:t>Ej</w:t>
      </w:r>
      <w:r w:rsidRPr="00091ABC">
        <w:rPr>
          <w:rFonts w:ascii="Garamond" w:eastAsia="Calibri" w:hAnsi="Garamond"/>
          <w:sz w:val="20"/>
          <w:szCs w:val="20"/>
          <w:u w:color="191919"/>
          <w:lang w:eastAsia="en-US"/>
        </w:rPr>
        <w:t xml:space="preserve"> morgon S-kortisol</w:t>
      </w:r>
      <w:r w:rsidRPr="00091ABC">
        <w:rPr>
          <w:rFonts w:ascii="Garamond" w:eastAsia="Calibri" w:hAnsi="Garamond"/>
          <w:i/>
          <w:iCs/>
          <w:sz w:val="20"/>
          <w:szCs w:val="20"/>
          <w:u w:color="191919"/>
          <w:lang w:eastAsia="en-US"/>
        </w:rPr>
        <w:t>.</w:t>
      </w:r>
      <w:r w:rsidRPr="00091ABC">
        <w:rPr>
          <w:rFonts w:ascii="Garamond" w:eastAsia="Calibri" w:hAnsi="Garamond"/>
          <w:iCs/>
          <w:sz w:val="20"/>
          <w:szCs w:val="20"/>
          <w:u w:color="191919"/>
          <w:lang w:eastAsia="en-US"/>
        </w:rPr>
        <w:t xml:space="preserve"> </w:t>
      </w:r>
      <w:r w:rsidRPr="00091ABC">
        <w:rPr>
          <w:rFonts w:ascii="Garamond" w:eastAsia="Calibri" w:hAnsi="Garamond"/>
          <w:sz w:val="20"/>
          <w:szCs w:val="20"/>
          <w:lang w:eastAsia="en-US"/>
        </w:rPr>
        <w:t xml:space="preserve">Dexametasonhämningstest ges 1 mg </w:t>
      </w:r>
      <w:r w:rsidRPr="00091ABC">
        <w:rPr>
          <w:rFonts w:ascii="Garamond" w:eastAsia="Calibri" w:hAnsi="Garamond"/>
          <w:sz w:val="20"/>
          <w:szCs w:val="22"/>
          <w:lang w:eastAsia="en-US"/>
        </w:rPr>
        <w:t xml:space="preserve">dexametason </w:t>
      </w:r>
      <w:r w:rsidRPr="00091ABC">
        <w:rPr>
          <w:rFonts w:ascii="Garamond" w:eastAsia="Calibri" w:hAnsi="Garamond"/>
          <w:sz w:val="20"/>
          <w:szCs w:val="20"/>
          <w:lang w:eastAsia="en-US"/>
        </w:rPr>
        <w:t>kl 23. Ett serumkortisol över 50 nmol/L kl 08.00 följande morgon motiverar fortsatt utredning</w:t>
      </w:r>
      <w:r w:rsidRPr="00091ABC">
        <w:rPr>
          <w:rFonts w:ascii="Garamond" w:eastAsia="Calibri" w:hAnsi="Garamond"/>
          <w:iCs/>
          <w:sz w:val="20"/>
          <w:szCs w:val="20"/>
          <w:u w:color="191919"/>
          <w:lang w:eastAsia="en-US"/>
        </w:rPr>
        <w:t xml:space="preserve"> </w:t>
      </w:r>
    </w:p>
    <w:p w14:paraId="70A04E0F" w14:textId="77777777" w:rsidR="00091ABC" w:rsidRPr="00091ABC" w:rsidRDefault="00091ABC" w:rsidP="00091ABC">
      <w:pPr>
        <w:numPr>
          <w:ilvl w:val="0"/>
          <w:numId w:val="23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0"/>
          <w:u w:color="191919"/>
          <w:lang w:eastAsia="en-US"/>
        </w:rPr>
      </w:pPr>
      <w:r w:rsidRPr="00091ABC">
        <w:rPr>
          <w:rFonts w:ascii="Garamond" w:eastAsia="Calibri" w:hAnsi="Garamond"/>
          <w:b/>
          <w:bCs/>
          <w:sz w:val="20"/>
          <w:szCs w:val="20"/>
          <w:u w:color="191919"/>
          <w:lang w:eastAsia="en-US"/>
        </w:rPr>
        <w:t>Feokromocytom</w:t>
      </w:r>
      <w:r w:rsidRPr="00091ABC">
        <w:rPr>
          <w:rFonts w:ascii="Garamond" w:eastAsia="Calibri" w:hAnsi="Garamond"/>
          <w:sz w:val="20"/>
          <w:szCs w:val="20"/>
          <w:u w:color="191919"/>
          <w:lang w:eastAsia="en-US"/>
        </w:rPr>
        <w:t>: Triad av huvudvärk, palpitationer samt svettningar.</w:t>
      </w:r>
    </w:p>
    <w:p w14:paraId="50DF9786" w14:textId="77777777" w:rsidR="00091ABC" w:rsidRPr="00091ABC" w:rsidRDefault="00091ABC" w:rsidP="00091ABC">
      <w:pPr>
        <w:spacing w:before="20" w:after="0" w:line="259" w:lineRule="auto"/>
        <w:ind w:left="720" w:right="0"/>
        <w:contextualSpacing/>
        <w:rPr>
          <w:rFonts w:ascii="Garamond" w:eastAsia="Verdana" w:hAnsi="Garamond" w:cs="Verdana"/>
          <w:sz w:val="20"/>
          <w:szCs w:val="20"/>
          <w:u w:color="191919"/>
          <w:lang w:eastAsia="en-US"/>
        </w:rPr>
      </w:pPr>
      <w:r w:rsidRPr="00091ABC">
        <w:rPr>
          <w:rFonts w:ascii="Garamond" w:eastAsia="Calibri" w:hAnsi="Garamond"/>
          <w:sz w:val="20"/>
          <w:szCs w:val="20"/>
          <w:u w:color="191919"/>
          <w:lang w:eastAsia="en-US"/>
        </w:rPr>
        <w:t>Screening: p-metoxykatekolminer som är hög sensitiva men låg specificitet. Vid patologiskt fynd kompletteras med tU-metoxykatekolaminer</w:t>
      </w:r>
    </w:p>
    <w:p w14:paraId="2CC4D61C" w14:textId="77777777" w:rsidR="00091ABC" w:rsidRPr="00091ABC" w:rsidRDefault="00091ABC" w:rsidP="00091ABC">
      <w:pPr>
        <w:numPr>
          <w:ilvl w:val="0"/>
          <w:numId w:val="23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0"/>
          <w:u w:color="191919"/>
          <w:lang w:eastAsia="en-US"/>
        </w:rPr>
      </w:pPr>
      <w:r w:rsidRPr="00091ABC">
        <w:rPr>
          <w:rFonts w:ascii="Garamond" w:eastAsia="Calibri" w:hAnsi="Garamond"/>
          <w:b/>
          <w:bCs/>
          <w:sz w:val="20"/>
          <w:szCs w:val="20"/>
          <w:u w:color="191919"/>
          <w:lang w:eastAsia="en-US"/>
        </w:rPr>
        <w:t>Hypotyreos</w:t>
      </w:r>
      <w:r w:rsidRPr="00091ABC">
        <w:rPr>
          <w:rFonts w:ascii="Garamond" w:eastAsia="Calibri" w:hAnsi="Garamond"/>
          <w:sz w:val="20"/>
          <w:szCs w:val="20"/>
          <w:u w:color="191919"/>
          <w:lang w:eastAsia="en-US"/>
        </w:rPr>
        <w:t>: Symtom av hypotyreos.</w:t>
      </w:r>
    </w:p>
    <w:p w14:paraId="1656AF44" w14:textId="77777777" w:rsidR="00091ABC" w:rsidRPr="00091ABC" w:rsidRDefault="00091ABC" w:rsidP="00091ABC">
      <w:pPr>
        <w:spacing w:before="20" w:after="0" w:line="259" w:lineRule="auto"/>
        <w:ind w:left="720" w:right="0"/>
        <w:contextualSpacing/>
        <w:rPr>
          <w:rFonts w:ascii="Garamond" w:eastAsia="Verdana" w:hAnsi="Garamond" w:cs="Verdana"/>
          <w:sz w:val="20"/>
          <w:szCs w:val="20"/>
          <w:u w:color="191919"/>
          <w:lang w:eastAsia="en-US"/>
        </w:rPr>
      </w:pPr>
      <w:r w:rsidRPr="00091ABC">
        <w:rPr>
          <w:rFonts w:ascii="Garamond" w:eastAsia="Calibri" w:hAnsi="Garamond"/>
          <w:sz w:val="20"/>
          <w:szCs w:val="20"/>
          <w:u w:color="191919"/>
          <w:lang w:eastAsia="en-US"/>
        </w:rPr>
        <w:t>Utredning</w:t>
      </w:r>
      <w:r w:rsidRPr="00091ABC">
        <w:rPr>
          <w:rFonts w:ascii="Garamond" w:eastAsia="Calibri" w:hAnsi="Garamond"/>
          <w:b/>
          <w:bCs/>
          <w:sz w:val="20"/>
          <w:szCs w:val="20"/>
          <w:u w:color="191919"/>
          <w:lang w:eastAsia="en-US"/>
        </w:rPr>
        <w:t>:</w:t>
      </w:r>
      <w:r w:rsidRPr="00091ABC">
        <w:rPr>
          <w:rFonts w:ascii="Garamond" w:eastAsia="Calibri" w:hAnsi="Garamond"/>
          <w:sz w:val="20"/>
          <w:szCs w:val="20"/>
          <w:u w:color="191919"/>
          <w:lang w:eastAsia="en-US"/>
        </w:rPr>
        <w:t xml:space="preserve"> TSH.</w:t>
      </w:r>
    </w:p>
    <w:p w14:paraId="168E74EF" w14:textId="77777777" w:rsidR="00091ABC" w:rsidRPr="00091ABC" w:rsidRDefault="00091ABC" w:rsidP="00091ABC">
      <w:pPr>
        <w:numPr>
          <w:ilvl w:val="0"/>
          <w:numId w:val="23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0"/>
          <w:lang w:eastAsia="en-US"/>
        </w:rPr>
      </w:pPr>
      <w:hyperlink r:id="rId18" w:anchor="5" w:history="1">
        <w:r w:rsidRPr="00091ABC">
          <w:rPr>
            <w:rFonts w:ascii="Garamond" w:eastAsia="Calibri" w:hAnsi="Garamond"/>
            <w:bCs/>
            <w:sz w:val="20"/>
            <w:szCs w:val="20"/>
            <w:lang w:eastAsia="en-US"/>
          </w:rPr>
          <w:t>Hyperparathyroidism</w:t>
        </w:r>
      </w:hyperlink>
      <w:r w:rsidRPr="00091ABC">
        <w:rPr>
          <w:rFonts w:ascii="Garamond" w:eastAsia="Calibri" w:hAnsi="Garamond"/>
          <w:sz w:val="20"/>
          <w:szCs w:val="20"/>
          <w:lang w:eastAsia="en-US"/>
        </w:rPr>
        <w:t xml:space="preserve">: </w:t>
      </w:r>
    </w:p>
    <w:p w14:paraId="7228B543" w14:textId="77777777" w:rsidR="00091ABC" w:rsidRPr="00091ABC" w:rsidRDefault="00091ABC" w:rsidP="00091ABC">
      <w:pPr>
        <w:spacing w:before="20" w:after="0" w:line="259" w:lineRule="auto"/>
        <w:ind w:left="720" w:right="0"/>
        <w:contextualSpacing/>
        <w:rPr>
          <w:rFonts w:ascii="Garamond" w:eastAsia="Verdana" w:hAnsi="Garamond" w:cs="Verdana"/>
          <w:sz w:val="20"/>
          <w:szCs w:val="20"/>
          <w:lang w:eastAsia="en-US"/>
        </w:rPr>
      </w:pPr>
      <w:r w:rsidRPr="00091ABC">
        <w:rPr>
          <w:rFonts w:ascii="Garamond" w:eastAsia="Calibri" w:hAnsi="Garamond"/>
          <w:bCs/>
          <w:sz w:val="20"/>
          <w:szCs w:val="20"/>
          <w:u w:color="191919"/>
          <w:lang w:eastAsia="en-US"/>
        </w:rPr>
        <w:t>Utredning</w:t>
      </w:r>
      <w:r w:rsidRPr="00091ABC">
        <w:rPr>
          <w:rFonts w:ascii="Garamond" w:eastAsia="Calibri" w:hAnsi="Garamond"/>
          <w:b/>
          <w:bCs/>
          <w:sz w:val="20"/>
          <w:szCs w:val="20"/>
          <w:u w:color="191919"/>
          <w:lang w:eastAsia="en-US"/>
        </w:rPr>
        <w:t>:</w:t>
      </w:r>
      <w:r w:rsidRPr="00091ABC">
        <w:rPr>
          <w:rFonts w:ascii="Garamond" w:eastAsia="Calibri" w:hAnsi="Garamond"/>
          <w:sz w:val="20"/>
          <w:szCs w:val="20"/>
          <w:u w:color="191919"/>
          <w:lang w:eastAsia="en-US"/>
        </w:rPr>
        <w:t xml:space="preserve"> S-</w:t>
      </w:r>
      <w:r w:rsidRPr="00091ABC">
        <w:rPr>
          <w:rFonts w:ascii="Garamond" w:eastAsia="Calibri" w:hAnsi="Garamond"/>
          <w:sz w:val="20"/>
          <w:szCs w:val="20"/>
          <w:lang w:eastAsia="en-US"/>
        </w:rPr>
        <w:t>kalcium, albuminnormerat.</w:t>
      </w:r>
    </w:p>
    <w:p w14:paraId="1EBEAD46" w14:textId="77777777" w:rsidR="00091ABC" w:rsidRPr="00091ABC" w:rsidRDefault="00091ABC" w:rsidP="00091ABC">
      <w:pPr>
        <w:numPr>
          <w:ilvl w:val="0"/>
          <w:numId w:val="23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b/>
          <w:bCs/>
          <w:sz w:val="20"/>
          <w:szCs w:val="20"/>
          <w:lang w:eastAsia="en-US"/>
        </w:rPr>
      </w:pPr>
      <w:r w:rsidRPr="00091ABC">
        <w:rPr>
          <w:rFonts w:ascii="Garamond" w:eastAsia="Calibri" w:hAnsi="Garamond"/>
          <w:b/>
          <w:bCs/>
          <w:sz w:val="20"/>
          <w:szCs w:val="20"/>
          <w:lang w:eastAsia="en-US"/>
        </w:rPr>
        <w:t xml:space="preserve">Akromegali: </w:t>
      </w:r>
      <w:r w:rsidRPr="00091ABC">
        <w:rPr>
          <w:rFonts w:ascii="Garamond" w:eastAsia="Calibri" w:hAnsi="Garamond"/>
          <w:bCs/>
          <w:sz w:val="20"/>
          <w:szCs w:val="20"/>
          <w:lang w:eastAsia="en-US"/>
        </w:rPr>
        <w:t>Ej vanlig orsak. Vid klinisk misstanke ta kontakt med endokrinkonsult.</w:t>
      </w:r>
      <w:r w:rsidRPr="00091ABC">
        <w:rPr>
          <w:rFonts w:ascii="Garamond" w:eastAsia="Calibri" w:hAnsi="Garamond"/>
          <w:b/>
          <w:bCs/>
          <w:sz w:val="20"/>
          <w:szCs w:val="20"/>
          <w:lang w:eastAsia="en-US"/>
        </w:rPr>
        <w:t xml:space="preserve"> </w:t>
      </w:r>
    </w:p>
    <w:p w14:paraId="140A197E" w14:textId="77777777" w:rsidR="00091ABC" w:rsidRPr="00091ABC" w:rsidRDefault="00091ABC" w:rsidP="00091ABC">
      <w:pPr>
        <w:numPr>
          <w:ilvl w:val="0"/>
          <w:numId w:val="23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0"/>
          <w:lang w:eastAsia="en-US"/>
        </w:rPr>
      </w:pPr>
      <w:r w:rsidRPr="00091ABC">
        <w:rPr>
          <w:rFonts w:ascii="Garamond" w:eastAsia="Calibri" w:hAnsi="Garamond"/>
          <w:b/>
          <w:sz w:val="20"/>
          <w:szCs w:val="20"/>
          <w:lang w:eastAsia="en-US"/>
        </w:rPr>
        <w:t>Läkemedel</w:t>
      </w:r>
      <w:r w:rsidRPr="00091ABC">
        <w:rPr>
          <w:rFonts w:ascii="Garamond" w:eastAsia="Calibri" w:hAnsi="Garamond"/>
          <w:sz w:val="20"/>
          <w:szCs w:val="20"/>
          <w:lang w:eastAsia="en-US"/>
        </w:rPr>
        <w:t>:</w:t>
      </w:r>
      <w:r w:rsidRPr="00091ABC">
        <w:rPr>
          <w:rFonts w:ascii="Garamond" w:eastAsia="Verdana" w:hAnsi="Garamond" w:cs="Verdana"/>
          <w:sz w:val="20"/>
          <w:szCs w:val="20"/>
          <w:lang w:eastAsia="en-US"/>
        </w:rPr>
        <w:t xml:space="preserve"> </w:t>
      </w:r>
    </w:p>
    <w:p w14:paraId="6280C00D" w14:textId="77777777" w:rsidR="00091ABC" w:rsidRPr="00091ABC" w:rsidRDefault="00091ABC" w:rsidP="00091ABC">
      <w:pPr>
        <w:numPr>
          <w:ilvl w:val="0"/>
          <w:numId w:val="24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0"/>
          <w:lang w:eastAsia="en-US"/>
        </w:rPr>
      </w:pPr>
      <w:r w:rsidRPr="00091ABC">
        <w:rPr>
          <w:rFonts w:ascii="Garamond" w:eastAsia="Verdana" w:hAnsi="Garamond" w:cs="Verdana"/>
          <w:sz w:val="20"/>
          <w:szCs w:val="20"/>
          <w:lang w:eastAsia="en-US"/>
        </w:rPr>
        <w:t>P-piller.</w:t>
      </w:r>
    </w:p>
    <w:p w14:paraId="0054A54B" w14:textId="77777777" w:rsidR="00091ABC" w:rsidRPr="00091ABC" w:rsidRDefault="00091ABC" w:rsidP="00091ABC">
      <w:pPr>
        <w:numPr>
          <w:ilvl w:val="0"/>
          <w:numId w:val="24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0"/>
          <w:lang w:val="en-US" w:eastAsia="en-US"/>
        </w:rPr>
      </w:pPr>
      <w:r w:rsidRPr="00091ABC">
        <w:rPr>
          <w:rFonts w:ascii="Garamond" w:eastAsia="Calibri" w:hAnsi="Garamond" w:cs="Arial"/>
          <w:sz w:val="20"/>
          <w:szCs w:val="20"/>
          <w:lang w:val="en-US" w:eastAsia="en-US"/>
        </w:rPr>
        <w:t>Nonsteroidal anti-inflammatory agents (NSAIDs).</w:t>
      </w:r>
    </w:p>
    <w:p w14:paraId="4A55D74E" w14:textId="77777777" w:rsidR="00091ABC" w:rsidRPr="00091ABC" w:rsidRDefault="00091ABC" w:rsidP="00091ABC">
      <w:pPr>
        <w:numPr>
          <w:ilvl w:val="0"/>
          <w:numId w:val="24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0"/>
          <w:lang w:eastAsia="en-US"/>
        </w:rPr>
      </w:pPr>
      <w:r w:rsidRPr="00091ABC">
        <w:rPr>
          <w:rFonts w:ascii="Garamond" w:eastAsia="Verdana" w:hAnsi="Garamond" w:cs="Verdana"/>
          <w:sz w:val="20"/>
          <w:szCs w:val="20"/>
          <w:lang w:eastAsia="en-US"/>
        </w:rPr>
        <w:t xml:space="preserve">Antidepressiva inklusiv </w:t>
      </w:r>
      <w:r w:rsidRPr="00091ABC">
        <w:rPr>
          <w:rFonts w:ascii="Garamond" w:eastAsia="Calibri" w:hAnsi="Garamond" w:cs="Arial"/>
          <w:sz w:val="20"/>
          <w:szCs w:val="20"/>
          <w:lang w:eastAsia="en-US"/>
        </w:rPr>
        <w:t>tricyclic antidepressants</w:t>
      </w:r>
      <w:r w:rsidRPr="00091ABC">
        <w:rPr>
          <w:rFonts w:ascii="Garamond" w:eastAsia="Verdana" w:hAnsi="Garamond" w:cs="Verdana"/>
          <w:sz w:val="20"/>
          <w:szCs w:val="20"/>
          <w:lang w:eastAsia="en-US"/>
        </w:rPr>
        <w:t>, SSRI.</w:t>
      </w:r>
    </w:p>
    <w:p w14:paraId="5A31B9DB" w14:textId="77777777" w:rsidR="00091ABC" w:rsidRPr="00091ABC" w:rsidRDefault="00091ABC" w:rsidP="00091ABC">
      <w:pPr>
        <w:numPr>
          <w:ilvl w:val="0"/>
          <w:numId w:val="24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0"/>
          <w:lang w:eastAsia="en-US"/>
        </w:rPr>
      </w:pPr>
      <w:r w:rsidRPr="00091ABC">
        <w:rPr>
          <w:rFonts w:ascii="Garamond" w:eastAsia="Verdana" w:hAnsi="Garamond" w:cs="Verdana"/>
          <w:sz w:val="20"/>
          <w:szCs w:val="20"/>
          <w:lang w:eastAsia="en-US"/>
        </w:rPr>
        <w:t>Glucokorticoids.</w:t>
      </w:r>
    </w:p>
    <w:p w14:paraId="40B3EBB6" w14:textId="77777777" w:rsidR="00091ABC" w:rsidRPr="00091ABC" w:rsidRDefault="00091ABC" w:rsidP="00091ABC">
      <w:pPr>
        <w:numPr>
          <w:ilvl w:val="0"/>
          <w:numId w:val="24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0"/>
          <w:lang w:eastAsia="en-US"/>
        </w:rPr>
      </w:pPr>
      <w:r w:rsidRPr="00091ABC">
        <w:rPr>
          <w:rFonts w:ascii="Garamond" w:eastAsia="Verdana" w:hAnsi="Garamond" w:cs="Verdana"/>
          <w:sz w:val="20"/>
          <w:szCs w:val="20"/>
          <w:lang w:eastAsia="en-US"/>
        </w:rPr>
        <w:t>Avsvällande (Pseudoephedrin)</w:t>
      </w:r>
    </w:p>
    <w:p w14:paraId="51668733" w14:textId="77777777" w:rsidR="00091ABC" w:rsidRPr="00091ABC" w:rsidRDefault="00091ABC" w:rsidP="00091ABC">
      <w:pPr>
        <w:numPr>
          <w:ilvl w:val="0"/>
          <w:numId w:val="24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0"/>
          <w:lang w:eastAsia="en-US"/>
        </w:rPr>
      </w:pPr>
      <w:r w:rsidRPr="00091ABC">
        <w:rPr>
          <w:rFonts w:ascii="Garamond" w:eastAsia="Verdana" w:hAnsi="Garamond" w:cs="Verdana"/>
          <w:sz w:val="20"/>
          <w:szCs w:val="20"/>
          <w:lang w:eastAsia="en-US"/>
        </w:rPr>
        <w:t>Viktminskningsmediciner.</w:t>
      </w:r>
    </w:p>
    <w:p w14:paraId="655D8073" w14:textId="77777777" w:rsidR="00091ABC" w:rsidRPr="00091ABC" w:rsidRDefault="00091ABC" w:rsidP="00091ABC">
      <w:pPr>
        <w:numPr>
          <w:ilvl w:val="0"/>
          <w:numId w:val="24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0"/>
          <w:lang w:eastAsia="en-US"/>
        </w:rPr>
      </w:pPr>
      <w:r w:rsidRPr="00091ABC">
        <w:rPr>
          <w:rFonts w:ascii="Garamond" w:eastAsia="Verdana" w:hAnsi="Garamond" w:cs="Verdana"/>
          <w:sz w:val="20"/>
          <w:szCs w:val="20"/>
          <w:lang w:eastAsia="en-US"/>
        </w:rPr>
        <w:t>Erythropoieten.</w:t>
      </w:r>
    </w:p>
    <w:p w14:paraId="4F159C36" w14:textId="77777777" w:rsidR="00091ABC" w:rsidRPr="00091ABC" w:rsidRDefault="00091ABC" w:rsidP="00091ABC">
      <w:pPr>
        <w:numPr>
          <w:ilvl w:val="0"/>
          <w:numId w:val="24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0"/>
          <w:lang w:eastAsia="en-US"/>
        </w:rPr>
      </w:pPr>
      <w:r w:rsidRPr="00091ABC">
        <w:rPr>
          <w:rFonts w:ascii="Garamond" w:eastAsia="Verdana" w:hAnsi="Garamond" w:cs="Verdana"/>
          <w:sz w:val="20"/>
          <w:szCs w:val="20"/>
          <w:lang w:eastAsia="en-US"/>
        </w:rPr>
        <w:t>Cyclosporin.</w:t>
      </w:r>
    </w:p>
    <w:p w14:paraId="0B1694B1" w14:textId="77777777" w:rsidR="00091ABC" w:rsidRPr="00091ABC" w:rsidRDefault="00091ABC" w:rsidP="00091ABC">
      <w:pPr>
        <w:numPr>
          <w:ilvl w:val="0"/>
          <w:numId w:val="24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0"/>
          <w:lang w:eastAsia="en-US"/>
        </w:rPr>
      </w:pPr>
      <w:r w:rsidRPr="00091ABC">
        <w:rPr>
          <w:rFonts w:ascii="Garamond" w:eastAsia="Verdana" w:hAnsi="Garamond" w:cs="Verdana"/>
          <w:sz w:val="20"/>
          <w:szCs w:val="20"/>
          <w:lang w:eastAsia="en-US"/>
        </w:rPr>
        <w:lastRenderedPageBreak/>
        <w:t>Stimulantia inklusiv methylphenidate, amfetamin.</w:t>
      </w:r>
    </w:p>
    <w:p w14:paraId="7C53124E" w14:textId="77777777" w:rsidR="00091ABC" w:rsidRPr="00091ABC" w:rsidRDefault="00091ABC" w:rsidP="00091ABC">
      <w:pPr>
        <w:numPr>
          <w:ilvl w:val="0"/>
          <w:numId w:val="23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b/>
          <w:bCs/>
          <w:sz w:val="20"/>
          <w:szCs w:val="20"/>
          <w:lang w:eastAsia="en-US"/>
        </w:rPr>
      </w:pPr>
      <w:r w:rsidRPr="00091ABC">
        <w:rPr>
          <w:rFonts w:ascii="Garamond" w:eastAsia="Calibri" w:hAnsi="Garamond"/>
          <w:b/>
          <w:bCs/>
          <w:sz w:val="20"/>
          <w:szCs w:val="20"/>
          <w:lang w:eastAsia="en-US"/>
        </w:rPr>
        <w:t xml:space="preserve">Sömnapnésyndrom: </w:t>
      </w:r>
      <w:r w:rsidRPr="00091ABC">
        <w:rPr>
          <w:rFonts w:ascii="Garamond" w:eastAsia="Calibri" w:hAnsi="Garamond"/>
          <w:sz w:val="20"/>
          <w:szCs w:val="20"/>
          <w:lang w:eastAsia="en-US"/>
        </w:rPr>
        <w:t>Dagtid trötthet, sömnighet, morgonkonfusion, anhöriga berättar ev om andningsuppehåll.</w:t>
      </w:r>
    </w:p>
    <w:p w14:paraId="19F22988" w14:textId="77777777" w:rsidR="00091ABC" w:rsidRPr="00091ABC" w:rsidRDefault="00091ABC" w:rsidP="00091ABC">
      <w:pPr>
        <w:spacing w:before="20" w:after="0" w:line="259" w:lineRule="auto"/>
        <w:ind w:left="720" w:right="0"/>
        <w:contextualSpacing/>
        <w:rPr>
          <w:rFonts w:ascii="Garamond" w:eastAsia="Verdana" w:hAnsi="Garamond" w:cs="Verdana"/>
          <w:sz w:val="20"/>
          <w:szCs w:val="20"/>
          <w:lang w:eastAsia="en-US"/>
        </w:rPr>
      </w:pPr>
      <w:r w:rsidRPr="00091ABC">
        <w:rPr>
          <w:rFonts w:ascii="Garamond" w:eastAsia="Calibri" w:hAnsi="Garamond"/>
          <w:sz w:val="20"/>
          <w:szCs w:val="20"/>
          <w:lang w:eastAsia="en-US"/>
        </w:rPr>
        <w:t>Utredning: Remiss ART för sömnregistrering.</w:t>
      </w:r>
    </w:p>
    <w:p w14:paraId="7A300F29" w14:textId="77777777" w:rsidR="00091ABC" w:rsidRPr="00091ABC" w:rsidRDefault="00091ABC" w:rsidP="00091ABC">
      <w:pPr>
        <w:numPr>
          <w:ilvl w:val="0"/>
          <w:numId w:val="23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b/>
          <w:bCs/>
          <w:sz w:val="20"/>
          <w:szCs w:val="20"/>
          <w:lang w:eastAsia="en-US"/>
        </w:rPr>
      </w:pPr>
      <w:r w:rsidRPr="00091ABC">
        <w:rPr>
          <w:rFonts w:ascii="Garamond" w:eastAsia="Calibri" w:hAnsi="Garamond"/>
          <w:b/>
          <w:bCs/>
          <w:sz w:val="20"/>
          <w:szCs w:val="20"/>
          <w:lang w:eastAsia="en-US"/>
        </w:rPr>
        <w:t xml:space="preserve">Coarctatio aortaa: </w:t>
      </w:r>
      <w:r w:rsidRPr="00091ABC">
        <w:rPr>
          <w:rFonts w:ascii="Garamond" w:eastAsia="Calibri" w:hAnsi="Garamond"/>
          <w:sz w:val="20"/>
          <w:szCs w:val="20"/>
          <w:lang w:eastAsia="en-US"/>
        </w:rPr>
        <w:t>misstänk bl a vid bicuspid aortaklaff, hypertoni hos yngre</w:t>
      </w:r>
    </w:p>
    <w:p w14:paraId="20C2800C" w14:textId="77777777" w:rsidR="00091ABC" w:rsidRPr="00091ABC" w:rsidRDefault="00091ABC" w:rsidP="00091ABC">
      <w:pPr>
        <w:spacing w:before="20" w:after="0" w:line="259" w:lineRule="auto"/>
        <w:ind w:left="720" w:right="0"/>
        <w:contextualSpacing/>
        <w:rPr>
          <w:rFonts w:ascii="Garamond" w:eastAsia="Verdana" w:hAnsi="Garamond" w:cs="Verdana"/>
          <w:sz w:val="20"/>
          <w:szCs w:val="20"/>
          <w:lang w:eastAsia="en-US"/>
        </w:rPr>
      </w:pPr>
      <w:r w:rsidRPr="00091ABC">
        <w:rPr>
          <w:rFonts w:ascii="Garamond" w:eastAsia="Calibri" w:hAnsi="Garamond"/>
          <w:sz w:val="20"/>
          <w:szCs w:val="20"/>
          <w:lang w:eastAsia="en-US"/>
        </w:rPr>
        <w:t>Utredning: screening med blodtryck i båda armar och ankelblodtryck, femoralispulspalpation</w:t>
      </w:r>
    </w:p>
    <w:p w14:paraId="60B7126A" w14:textId="77777777" w:rsidR="00091ABC" w:rsidRPr="00091ABC" w:rsidRDefault="00091ABC" w:rsidP="00091ABC">
      <w:pPr>
        <w:keepNext/>
        <w:spacing w:before="240" w:after="60" w:line="240" w:lineRule="auto"/>
        <w:ind w:left="0" w:right="0"/>
        <w:outlineLvl w:val="1"/>
        <w:rPr>
          <w:rFonts w:ascii="Calibri" w:eastAsia="Verdana" w:hAnsi="Calibri" w:cs="Arial"/>
          <w:b/>
          <w:bCs/>
          <w:iCs/>
          <w:sz w:val="28"/>
          <w:szCs w:val="28"/>
        </w:rPr>
      </w:pPr>
      <w:r w:rsidRPr="00091ABC">
        <w:rPr>
          <w:rFonts w:ascii="Calibri" w:eastAsia="Verdana" w:hAnsi="Calibri" w:cs="Arial"/>
          <w:b/>
          <w:bCs/>
          <w:iCs/>
          <w:sz w:val="28"/>
          <w:szCs w:val="28"/>
        </w:rPr>
        <w:t>Lathund till den initiala utredningen</w:t>
      </w:r>
    </w:p>
    <w:p w14:paraId="6A4A6657" w14:textId="77777777" w:rsidR="00091ABC" w:rsidRPr="00091ABC" w:rsidRDefault="00091ABC" w:rsidP="00091ABC">
      <w:pPr>
        <w:numPr>
          <w:ilvl w:val="0"/>
          <w:numId w:val="25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0"/>
          <w:u w:color="191919"/>
          <w:lang w:eastAsia="en-US"/>
        </w:rPr>
      </w:pPr>
      <w:r w:rsidRPr="00091ABC">
        <w:rPr>
          <w:rFonts w:ascii="Garamond" w:eastAsia="Verdana" w:hAnsi="Garamond" w:cs="Verdana"/>
          <w:sz w:val="20"/>
          <w:szCs w:val="20"/>
          <w:u w:color="191919"/>
          <w:lang w:eastAsia="en-US"/>
        </w:rPr>
        <w:t>Gå genom medicinlista. Finns det någon medicin som kan förklara hypertoni?</w:t>
      </w:r>
    </w:p>
    <w:p w14:paraId="4344FEC8" w14:textId="77777777" w:rsidR="00091ABC" w:rsidRPr="00091ABC" w:rsidRDefault="00091ABC" w:rsidP="00091ABC">
      <w:pPr>
        <w:numPr>
          <w:ilvl w:val="0"/>
          <w:numId w:val="25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0"/>
          <w:u w:color="191919"/>
          <w:lang w:eastAsia="en-US"/>
        </w:rPr>
      </w:pPr>
      <w:r w:rsidRPr="00091ABC">
        <w:rPr>
          <w:rFonts w:ascii="Garamond" w:eastAsia="Verdana" w:hAnsi="Garamond" w:cs="Verdana"/>
          <w:sz w:val="20"/>
          <w:szCs w:val="20"/>
          <w:u w:color="191919"/>
          <w:lang w:eastAsia="en-US"/>
        </w:rPr>
        <w:t xml:space="preserve">P4: Framför allt kreatinin, kalium samt kalcium. Vid njurpåverkan ultraljud njurar </w:t>
      </w:r>
      <w:r w:rsidRPr="00091ABC">
        <w:rPr>
          <w:rFonts w:ascii="Wingdings" w:eastAsia="Calibri" w:hAnsi="Wingdings"/>
          <w:sz w:val="20"/>
          <w:szCs w:val="22"/>
          <w:u w:color="191919"/>
          <w:lang w:eastAsia="en-US"/>
        </w:rPr>
        <w:sym w:font="Wingdings" w:char="F0E8"/>
      </w:r>
      <w:r w:rsidRPr="00091ABC">
        <w:rPr>
          <w:rFonts w:ascii="Garamond" w:eastAsia="Verdana" w:hAnsi="Garamond" w:cs="Verdana"/>
          <w:sz w:val="20"/>
          <w:szCs w:val="20"/>
          <w:u w:color="191919"/>
          <w:lang w:eastAsia="en-US"/>
        </w:rPr>
        <w:t xml:space="preserve"> Njurkonsult.</w:t>
      </w:r>
    </w:p>
    <w:p w14:paraId="48EF1D11" w14:textId="77777777" w:rsidR="00091ABC" w:rsidRPr="00091ABC" w:rsidRDefault="00091ABC" w:rsidP="00091ABC">
      <w:pPr>
        <w:numPr>
          <w:ilvl w:val="0"/>
          <w:numId w:val="25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0"/>
          <w:u w:color="191919"/>
          <w:lang w:eastAsia="en-US"/>
        </w:rPr>
      </w:pPr>
      <w:r w:rsidRPr="00091ABC">
        <w:rPr>
          <w:rFonts w:ascii="Garamond" w:eastAsia="Verdana" w:hAnsi="Garamond" w:cs="Verdana"/>
          <w:sz w:val="20"/>
          <w:szCs w:val="20"/>
          <w:u w:color="191919"/>
          <w:lang w:eastAsia="en-US"/>
        </w:rPr>
        <w:t xml:space="preserve">Ultraljud njurartärer. Vid avvikande fynd </w:t>
      </w:r>
      <w:r w:rsidRPr="00091ABC">
        <w:rPr>
          <w:rFonts w:ascii="Wingdings" w:eastAsia="Calibri" w:hAnsi="Wingdings"/>
          <w:sz w:val="20"/>
          <w:szCs w:val="22"/>
          <w:u w:color="191919"/>
          <w:lang w:eastAsia="en-US"/>
        </w:rPr>
        <w:sym w:font="Wingdings" w:char="F0E8"/>
      </w:r>
      <w:r w:rsidRPr="00091ABC">
        <w:rPr>
          <w:rFonts w:ascii="Garamond" w:eastAsia="Verdana" w:hAnsi="Garamond" w:cs="Verdana"/>
          <w:sz w:val="20"/>
          <w:szCs w:val="20"/>
          <w:u w:color="191919"/>
          <w:lang w:eastAsia="en-US"/>
        </w:rPr>
        <w:t xml:space="preserve"> Njurkonsult.</w:t>
      </w:r>
    </w:p>
    <w:p w14:paraId="183AE9EC" w14:textId="77777777" w:rsidR="00091ABC" w:rsidRPr="00091ABC" w:rsidRDefault="00091ABC" w:rsidP="00091ABC">
      <w:pPr>
        <w:numPr>
          <w:ilvl w:val="0"/>
          <w:numId w:val="25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0"/>
          <w:u w:color="191919"/>
          <w:lang w:eastAsia="en-US"/>
        </w:rPr>
      </w:pPr>
      <w:r w:rsidRPr="00091ABC">
        <w:rPr>
          <w:rFonts w:ascii="Garamond" w:eastAsia="Verdana" w:hAnsi="Garamond" w:cs="Verdana"/>
          <w:sz w:val="20"/>
          <w:szCs w:val="20"/>
          <w:u w:color="191919"/>
          <w:lang w:eastAsia="en-US"/>
        </w:rPr>
        <w:t>TSH, T4</w:t>
      </w:r>
    </w:p>
    <w:p w14:paraId="272CC6EC" w14:textId="77777777" w:rsidR="00091ABC" w:rsidRPr="00091ABC" w:rsidRDefault="00091ABC" w:rsidP="00091ABC">
      <w:pPr>
        <w:numPr>
          <w:ilvl w:val="0"/>
          <w:numId w:val="25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0"/>
          <w:u w:color="191919"/>
          <w:lang w:eastAsia="en-US"/>
        </w:rPr>
      </w:pPr>
      <w:r w:rsidRPr="00091ABC">
        <w:rPr>
          <w:rFonts w:ascii="Garamond" w:eastAsia="Verdana" w:hAnsi="Garamond" w:cs="Verdana"/>
          <w:sz w:val="20"/>
          <w:szCs w:val="20"/>
          <w:u w:color="191919"/>
          <w:lang w:eastAsia="en-US"/>
        </w:rPr>
        <w:t xml:space="preserve">Aldo/Renin kvot </w:t>
      </w:r>
    </w:p>
    <w:p w14:paraId="7BD80A72" w14:textId="77777777" w:rsidR="00091ABC" w:rsidRPr="00091ABC" w:rsidRDefault="00091ABC" w:rsidP="00091ABC">
      <w:pPr>
        <w:numPr>
          <w:ilvl w:val="0"/>
          <w:numId w:val="25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0"/>
          <w:u w:color="191919"/>
          <w:lang w:eastAsia="en-US"/>
        </w:rPr>
      </w:pPr>
      <w:r w:rsidRPr="00091ABC">
        <w:rPr>
          <w:rFonts w:ascii="Garamond" w:eastAsia="Calibri" w:hAnsi="Garamond"/>
          <w:sz w:val="20"/>
          <w:szCs w:val="20"/>
          <w:u w:color="191919"/>
          <w:lang w:eastAsia="en-US"/>
        </w:rPr>
        <w:t>P-metoxykatekolminer</w:t>
      </w:r>
    </w:p>
    <w:p w14:paraId="2A15B8E4" w14:textId="77777777" w:rsidR="00091ABC" w:rsidRPr="00091ABC" w:rsidRDefault="00091ABC" w:rsidP="00091ABC">
      <w:pPr>
        <w:numPr>
          <w:ilvl w:val="0"/>
          <w:numId w:val="25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0"/>
          <w:u w:color="191919"/>
          <w:lang w:eastAsia="en-US"/>
        </w:rPr>
      </w:pPr>
      <w:r w:rsidRPr="00091ABC">
        <w:rPr>
          <w:rFonts w:ascii="Garamond" w:eastAsia="Calibri" w:hAnsi="Garamond"/>
          <w:sz w:val="20"/>
          <w:szCs w:val="20"/>
          <w:lang w:eastAsia="en-US"/>
        </w:rPr>
        <w:t>Dexametasonhämningstest</w:t>
      </w:r>
    </w:p>
    <w:p w14:paraId="1E62D7E0" w14:textId="77777777" w:rsidR="00091ABC" w:rsidRPr="00091ABC" w:rsidRDefault="00091ABC" w:rsidP="00091ABC">
      <w:pPr>
        <w:numPr>
          <w:ilvl w:val="0"/>
          <w:numId w:val="25"/>
        </w:numPr>
        <w:spacing w:before="20" w:after="0" w:line="259" w:lineRule="auto"/>
        <w:ind w:right="0"/>
        <w:contextualSpacing/>
        <w:rPr>
          <w:rFonts w:ascii="Garamond" w:eastAsia="Verdana" w:hAnsi="Garamond" w:cs="Verdana"/>
          <w:sz w:val="20"/>
          <w:szCs w:val="20"/>
          <w:u w:color="191919"/>
          <w:lang w:eastAsia="en-US"/>
        </w:rPr>
      </w:pPr>
      <w:r w:rsidRPr="00091ABC">
        <w:rPr>
          <w:rFonts w:ascii="Garamond" w:eastAsia="Calibri" w:hAnsi="Garamond"/>
          <w:sz w:val="20"/>
          <w:szCs w:val="20"/>
          <w:lang w:eastAsia="en-US"/>
        </w:rPr>
        <w:t xml:space="preserve">Vid patologi 4-7 </w:t>
      </w:r>
      <w:r w:rsidRPr="00091ABC">
        <w:rPr>
          <w:rFonts w:ascii="Wingdings" w:eastAsia="Calibri" w:hAnsi="Wingdings"/>
          <w:sz w:val="20"/>
          <w:szCs w:val="22"/>
          <w:u w:color="191919"/>
          <w:lang w:eastAsia="en-US"/>
        </w:rPr>
        <w:sym w:font="Wingdings" w:char="F0E8"/>
      </w:r>
      <w:r w:rsidRPr="00091ABC">
        <w:rPr>
          <w:rFonts w:ascii="Garamond" w:eastAsia="Verdana" w:hAnsi="Garamond" w:cs="Verdana"/>
          <w:sz w:val="20"/>
          <w:szCs w:val="20"/>
          <w:u w:color="191919"/>
          <w:lang w:eastAsia="en-US"/>
        </w:rPr>
        <w:t xml:space="preserve"> Endokrinkonsult.  </w:t>
      </w:r>
    </w:p>
    <w:p w14:paraId="51006612" w14:textId="77777777" w:rsidR="00091ABC" w:rsidRPr="00091ABC" w:rsidRDefault="00091ABC" w:rsidP="00091ABC">
      <w:pPr>
        <w:spacing w:after="0" w:line="240" w:lineRule="auto"/>
        <w:ind w:left="0" w:right="0"/>
        <w:rPr>
          <w:rFonts w:eastAsia="Verdana" w:cs="Verdana"/>
          <w:szCs w:val="20"/>
          <w:u w:color="191919"/>
        </w:rPr>
      </w:pPr>
    </w:p>
    <w:p w14:paraId="17589523" w14:textId="77777777" w:rsidR="00091ABC" w:rsidRPr="00091ABC" w:rsidRDefault="00091ABC" w:rsidP="00091ABC">
      <w:pPr>
        <w:spacing w:after="0" w:line="240" w:lineRule="auto"/>
        <w:ind w:left="0" w:right="0"/>
        <w:rPr>
          <w:szCs w:val="20"/>
        </w:rPr>
      </w:pPr>
    </w:p>
    <w:p w14:paraId="3C5E15F7" w14:textId="77777777" w:rsidR="00091ABC" w:rsidRPr="00091ABC" w:rsidRDefault="00091ABC" w:rsidP="00091ABC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91AB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52E497D"/>
    <w:multiLevelType w:val="hybridMultilevel"/>
    <w:tmpl w:val="5B8A58FE"/>
    <w:lvl w:ilvl="0" w:tplc="C9C2B4A0">
      <w:start w:val="1"/>
      <w:numFmt w:val="upperLetter"/>
      <w:lvlText w:val="%1."/>
      <w:lvlJc w:val="left"/>
      <w:pPr>
        <w:ind w:left="720" w:hanging="360"/>
      </w:pPr>
      <w:rPr>
        <w:rFonts w:eastAsia="Times New Roman" w:hAnsi="Arial" w:cs="Times New Roman" w:hint="default"/>
      </w:rPr>
    </w:lvl>
    <w:lvl w:ilvl="1" w:tplc="FBF21E1C" w:tentative="1">
      <w:start w:val="1"/>
      <w:numFmt w:val="lowerLetter"/>
      <w:lvlText w:val="%2."/>
      <w:lvlJc w:val="left"/>
      <w:pPr>
        <w:ind w:left="1440" w:hanging="360"/>
      </w:pPr>
    </w:lvl>
    <w:lvl w:ilvl="2" w:tplc="9476DDFC" w:tentative="1">
      <w:start w:val="1"/>
      <w:numFmt w:val="lowerRoman"/>
      <w:lvlText w:val="%3."/>
      <w:lvlJc w:val="right"/>
      <w:pPr>
        <w:ind w:left="2160" w:hanging="180"/>
      </w:pPr>
    </w:lvl>
    <w:lvl w:ilvl="3" w:tplc="955EA888" w:tentative="1">
      <w:start w:val="1"/>
      <w:numFmt w:val="decimal"/>
      <w:lvlText w:val="%4."/>
      <w:lvlJc w:val="left"/>
      <w:pPr>
        <w:ind w:left="2880" w:hanging="360"/>
      </w:pPr>
    </w:lvl>
    <w:lvl w:ilvl="4" w:tplc="FAE02F74" w:tentative="1">
      <w:start w:val="1"/>
      <w:numFmt w:val="lowerLetter"/>
      <w:lvlText w:val="%5."/>
      <w:lvlJc w:val="left"/>
      <w:pPr>
        <w:ind w:left="3600" w:hanging="360"/>
      </w:pPr>
    </w:lvl>
    <w:lvl w:ilvl="5" w:tplc="D92C2180" w:tentative="1">
      <w:start w:val="1"/>
      <w:numFmt w:val="lowerRoman"/>
      <w:lvlText w:val="%6."/>
      <w:lvlJc w:val="right"/>
      <w:pPr>
        <w:ind w:left="4320" w:hanging="180"/>
      </w:pPr>
    </w:lvl>
    <w:lvl w:ilvl="6" w:tplc="6C8A7962" w:tentative="1">
      <w:start w:val="1"/>
      <w:numFmt w:val="decimal"/>
      <w:lvlText w:val="%7."/>
      <w:lvlJc w:val="left"/>
      <w:pPr>
        <w:ind w:left="5040" w:hanging="360"/>
      </w:pPr>
    </w:lvl>
    <w:lvl w:ilvl="7" w:tplc="37D43448" w:tentative="1">
      <w:start w:val="1"/>
      <w:numFmt w:val="lowerLetter"/>
      <w:lvlText w:val="%8."/>
      <w:lvlJc w:val="left"/>
      <w:pPr>
        <w:ind w:left="5760" w:hanging="360"/>
      </w:pPr>
    </w:lvl>
    <w:lvl w:ilvl="8" w:tplc="38AA224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F716E3"/>
    <w:multiLevelType w:val="hybridMultilevel"/>
    <w:tmpl w:val="739CA130"/>
    <w:lvl w:ilvl="0" w:tplc="3FF038D0">
      <w:start w:val="1"/>
      <w:numFmt w:val="bullet"/>
      <w:lvlText w:val=""/>
      <w:lvlJc w:val="left"/>
      <w:pPr>
        <w:ind w:left="-708" w:hanging="360"/>
      </w:pPr>
      <w:rPr>
        <w:rFonts w:ascii="Symbol" w:hAnsi="Symbol" w:hint="default"/>
      </w:rPr>
    </w:lvl>
    <w:lvl w:ilvl="1" w:tplc="01FC900C" w:tentative="1">
      <w:start w:val="1"/>
      <w:numFmt w:val="bullet"/>
      <w:lvlText w:val="o"/>
      <w:lvlJc w:val="left"/>
      <w:pPr>
        <w:ind w:left="12" w:hanging="360"/>
      </w:pPr>
      <w:rPr>
        <w:rFonts w:ascii="Courier New" w:hAnsi="Courier New" w:cs="Courier New" w:hint="default"/>
      </w:rPr>
    </w:lvl>
    <w:lvl w:ilvl="2" w:tplc="981C0C52" w:tentative="1">
      <w:start w:val="1"/>
      <w:numFmt w:val="bullet"/>
      <w:lvlText w:val=""/>
      <w:lvlJc w:val="left"/>
      <w:pPr>
        <w:ind w:left="732" w:hanging="360"/>
      </w:pPr>
      <w:rPr>
        <w:rFonts w:ascii="Wingdings" w:hAnsi="Wingdings" w:hint="default"/>
      </w:rPr>
    </w:lvl>
    <w:lvl w:ilvl="3" w:tplc="1D64E1B8" w:tentative="1">
      <w:start w:val="1"/>
      <w:numFmt w:val="bullet"/>
      <w:lvlText w:val=""/>
      <w:lvlJc w:val="left"/>
      <w:pPr>
        <w:ind w:left="1452" w:hanging="360"/>
      </w:pPr>
      <w:rPr>
        <w:rFonts w:ascii="Symbol" w:hAnsi="Symbol" w:hint="default"/>
      </w:rPr>
    </w:lvl>
    <w:lvl w:ilvl="4" w:tplc="D32CE04A" w:tentative="1">
      <w:start w:val="1"/>
      <w:numFmt w:val="bullet"/>
      <w:lvlText w:val="o"/>
      <w:lvlJc w:val="left"/>
      <w:pPr>
        <w:ind w:left="2172" w:hanging="360"/>
      </w:pPr>
      <w:rPr>
        <w:rFonts w:ascii="Courier New" w:hAnsi="Courier New" w:cs="Courier New" w:hint="default"/>
      </w:rPr>
    </w:lvl>
    <w:lvl w:ilvl="5" w:tplc="1F20531C" w:tentative="1">
      <w:start w:val="1"/>
      <w:numFmt w:val="bullet"/>
      <w:lvlText w:val=""/>
      <w:lvlJc w:val="left"/>
      <w:pPr>
        <w:ind w:left="2892" w:hanging="360"/>
      </w:pPr>
      <w:rPr>
        <w:rFonts w:ascii="Wingdings" w:hAnsi="Wingdings" w:hint="default"/>
      </w:rPr>
    </w:lvl>
    <w:lvl w:ilvl="6" w:tplc="ABDCB95E" w:tentative="1">
      <w:start w:val="1"/>
      <w:numFmt w:val="bullet"/>
      <w:lvlText w:val=""/>
      <w:lvlJc w:val="left"/>
      <w:pPr>
        <w:ind w:left="3612" w:hanging="360"/>
      </w:pPr>
      <w:rPr>
        <w:rFonts w:ascii="Symbol" w:hAnsi="Symbol" w:hint="default"/>
      </w:rPr>
    </w:lvl>
    <w:lvl w:ilvl="7" w:tplc="EB64210C" w:tentative="1">
      <w:start w:val="1"/>
      <w:numFmt w:val="bullet"/>
      <w:lvlText w:val="o"/>
      <w:lvlJc w:val="left"/>
      <w:pPr>
        <w:ind w:left="4332" w:hanging="360"/>
      </w:pPr>
      <w:rPr>
        <w:rFonts w:ascii="Courier New" w:hAnsi="Courier New" w:cs="Courier New" w:hint="default"/>
      </w:rPr>
    </w:lvl>
    <w:lvl w:ilvl="8" w:tplc="1CFAFD86" w:tentative="1">
      <w:start w:val="1"/>
      <w:numFmt w:val="bullet"/>
      <w:lvlText w:val=""/>
      <w:lvlJc w:val="left"/>
      <w:pPr>
        <w:ind w:left="505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972B73"/>
    <w:multiLevelType w:val="hybridMultilevel"/>
    <w:tmpl w:val="44062A82"/>
    <w:lvl w:ilvl="0" w:tplc="13F86D8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3BCA51E" w:tentative="1">
      <w:start w:val="1"/>
      <w:numFmt w:val="lowerLetter"/>
      <w:lvlText w:val="%2."/>
      <w:lvlJc w:val="left"/>
      <w:pPr>
        <w:ind w:left="1440" w:hanging="360"/>
      </w:pPr>
    </w:lvl>
    <w:lvl w:ilvl="2" w:tplc="FA7C1A44" w:tentative="1">
      <w:start w:val="1"/>
      <w:numFmt w:val="lowerRoman"/>
      <w:lvlText w:val="%3."/>
      <w:lvlJc w:val="right"/>
      <w:pPr>
        <w:ind w:left="2160" w:hanging="180"/>
      </w:pPr>
    </w:lvl>
    <w:lvl w:ilvl="3" w:tplc="ECBCAC4C" w:tentative="1">
      <w:start w:val="1"/>
      <w:numFmt w:val="decimal"/>
      <w:lvlText w:val="%4."/>
      <w:lvlJc w:val="left"/>
      <w:pPr>
        <w:ind w:left="2880" w:hanging="360"/>
      </w:pPr>
    </w:lvl>
    <w:lvl w:ilvl="4" w:tplc="81A03806" w:tentative="1">
      <w:start w:val="1"/>
      <w:numFmt w:val="lowerLetter"/>
      <w:lvlText w:val="%5."/>
      <w:lvlJc w:val="left"/>
      <w:pPr>
        <w:ind w:left="3600" w:hanging="360"/>
      </w:pPr>
    </w:lvl>
    <w:lvl w:ilvl="5" w:tplc="BF360144" w:tentative="1">
      <w:start w:val="1"/>
      <w:numFmt w:val="lowerRoman"/>
      <w:lvlText w:val="%6."/>
      <w:lvlJc w:val="right"/>
      <w:pPr>
        <w:ind w:left="4320" w:hanging="180"/>
      </w:pPr>
    </w:lvl>
    <w:lvl w:ilvl="6" w:tplc="C616DD64" w:tentative="1">
      <w:start w:val="1"/>
      <w:numFmt w:val="decimal"/>
      <w:lvlText w:val="%7."/>
      <w:lvlJc w:val="left"/>
      <w:pPr>
        <w:ind w:left="5040" w:hanging="360"/>
      </w:pPr>
    </w:lvl>
    <w:lvl w:ilvl="7" w:tplc="D4AEC814" w:tentative="1">
      <w:start w:val="1"/>
      <w:numFmt w:val="lowerLetter"/>
      <w:lvlText w:val="%8."/>
      <w:lvlJc w:val="left"/>
      <w:pPr>
        <w:ind w:left="5760" w:hanging="360"/>
      </w:pPr>
    </w:lvl>
    <w:lvl w:ilvl="8" w:tplc="60423D6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1BE4C16"/>
    <w:multiLevelType w:val="hybridMultilevel"/>
    <w:tmpl w:val="3114120E"/>
    <w:lvl w:ilvl="0" w:tplc="45A2DDBC">
      <w:start w:val="1"/>
      <w:numFmt w:val="decimal"/>
      <w:lvlText w:val="%1."/>
      <w:lvlJc w:val="left"/>
      <w:pPr>
        <w:ind w:left="720" w:hanging="360"/>
      </w:pPr>
    </w:lvl>
    <w:lvl w:ilvl="1" w:tplc="38FC734C" w:tentative="1">
      <w:start w:val="1"/>
      <w:numFmt w:val="lowerLetter"/>
      <w:lvlText w:val="%2."/>
      <w:lvlJc w:val="left"/>
      <w:pPr>
        <w:ind w:left="1440" w:hanging="360"/>
      </w:pPr>
    </w:lvl>
    <w:lvl w:ilvl="2" w:tplc="920A174A" w:tentative="1">
      <w:start w:val="1"/>
      <w:numFmt w:val="lowerRoman"/>
      <w:lvlText w:val="%3."/>
      <w:lvlJc w:val="right"/>
      <w:pPr>
        <w:ind w:left="2160" w:hanging="180"/>
      </w:pPr>
    </w:lvl>
    <w:lvl w:ilvl="3" w:tplc="E7F2C0A4" w:tentative="1">
      <w:start w:val="1"/>
      <w:numFmt w:val="decimal"/>
      <w:lvlText w:val="%4."/>
      <w:lvlJc w:val="left"/>
      <w:pPr>
        <w:ind w:left="2880" w:hanging="360"/>
      </w:pPr>
    </w:lvl>
    <w:lvl w:ilvl="4" w:tplc="0C54380A" w:tentative="1">
      <w:start w:val="1"/>
      <w:numFmt w:val="lowerLetter"/>
      <w:lvlText w:val="%5."/>
      <w:lvlJc w:val="left"/>
      <w:pPr>
        <w:ind w:left="3600" w:hanging="360"/>
      </w:pPr>
    </w:lvl>
    <w:lvl w:ilvl="5" w:tplc="565209DA" w:tentative="1">
      <w:start w:val="1"/>
      <w:numFmt w:val="lowerRoman"/>
      <w:lvlText w:val="%6."/>
      <w:lvlJc w:val="right"/>
      <w:pPr>
        <w:ind w:left="4320" w:hanging="180"/>
      </w:pPr>
    </w:lvl>
    <w:lvl w:ilvl="6" w:tplc="6DC2306C" w:tentative="1">
      <w:start w:val="1"/>
      <w:numFmt w:val="decimal"/>
      <w:lvlText w:val="%7."/>
      <w:lvlJc w:val="left"/>
      <w:pPr>
        <w:ind w:left="5040" w:hanging="360"/>
      </w:pPr>
    </w:lvl>
    <w:lvl w:ilvl="7" w:tplc="2E54A84C" w:tentative="1">
      <w:start w:val="1"/>
      <w:numFmt w:val="lowerLetter"/>
      <w:lvlText w:val="%8."/>
      <w:lvlJc w:val="left"/>
      <w:pPr>
        <w:ind w:left="5760" w:hanging="360"/>
      </w:pPr>
    </w:lvl>
    <w:lvl w:ilvl="8" w:tplc="D79AC8C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205368"/>
    <w:multiLevelType w:val="hybridMultilevel"/>
    <w:tmpl w:val="153024B2"/>
    <w:lvl w:ilvl="0" w:tplc="6C94FB6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D638BD72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5624FF7E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51801062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346DF32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6602494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CB147660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9C585D92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E763880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0B5709A"/>
    <w:multiLevelType w:val="hybridMultilevel"/>
    <w:tmpl w:val="1F882276"/>
    <w:lvl w:ilvl="0" w:tplc="2CC29CFA">
      <w:start w:val="1"/>
      <w:numFmt w:val="decimal"/>
      <w:lvlText w:val="%1."/>
      <w:lvlJc w:val="left"/>
      <w:pPr>
        <w:ind w:left="720" w:hanging="360"/>
      </w:pPr>
    </w:lvl>
    <w:lvl w:ilvl="1" w:tplc="D2D86386" w:tentative="1">
      <w:start w:val="1"/>
      <w:numFmt w:val="lowerLetter"/>
      <w:lvlText w:val="%2."/>
      <w:lvlJc w:val="left"/>
      <w:pPr>
        <w:ind w:left="1440" w:hanging="360"/>
      </w:pPr>
    </w:lvl>
    <w:lvl w:ilvl="2" w:tplc="8410FA0A" w:tentative="1">
      <w:start w:val="1"/>
      <w:numFmt w:val="lowerRoman"/>
      <w:lvlText w:val="%3."/>
      <w:lvlJc w:val="right"/>
      <w:pPr>
        <w:ind w:left="2160" w:hanging="180"/>
      </w:pPr>
    </w:lvl>
    <w:lvl w:ilvl="3" w:tplc="0E762DBC" w:tentative="1">
      <w:start w:val="1"/>
      <w:numFmt w:val="decimal"/>
      <w:lvlText w:val="%4."/>
      <w:lvlJc w:val="left"/>
      <w:pPr>
        <w:ind w:left="2880" w:hanging="360"/>
      </w:pPr>
    </w:lvl>
    <w:lvl w:ilvl="4" w:tplc="D2F6AF2E" w:tentative="1">
      <w:start w:val="1"/>
      <w:numFmt w:val="lowerLetter"/>
      <w:lvlText w:val="%5."/>
      <w:lvlJc w:val="left"/>
      <w:pPr>
        <w:ind w:left="3600" w:hanging="360"/>
      </w:pPr>
    </w:lvl>
    <w:lvl w:ilvl="5" w:tplc="1160E794" w:tentative="1">
      <w:start w:val="1"/>
      <w:numFmt w:val="lowerRoman"/>
      <w:lvlText w:val="%6."/>
      <w:lvlJc w:val="right"/>
      <w:pPr>
        <w:ind w:left="4320" w:hanging="180"/>
      </w:pPr>
    </w:lvl>
    <w:lvl w:ilvl="6" w:tplc="CD42F404" w:tentative="1">
      <w:start w:val="1"/>
      <w:numFmt w:val="decimal"/>
      <w:lvlText w:val="%7."/>
      <w:lvlJc w:val="left"/>
      <w:pPr>
        <w:ind w:left="5040" w:hanging="360"/>
      </w:pPr>
    </w:lvl>
    <w:lvl w:ilvl="7" w:tplc="05BC6726" w:tentative="1">
      <w:start w:val="1"/>
      <w:numFmt w:val="lowerLetter"/>
      <w:lvlText w:val="%8."/>
      <w:lvlJc w:val="left"/>
      <w:pPr>
        <w:ind w:left="5760" w:hanging="360"/>
      </w:pPr>
    </w:lvl>
    <w:lvl w:ilvl="8" w:tplc="776A90D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F3B7CE2"/>
    <w:multiLevelType w:val="hybridMultilevel"/>
    <w:tmpl w:val="88A212B8"/>
    <w:lvl w:ilvl="0" w:tplc="C12EA3F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4248FBA" w:tentative="1">
      <w:start w:val="1"/>
      <w:numFmt w:val="lowerLetter"/>
      <w:lvlText w:val="%2."/>
      <w:lvlJc w:val="left"/>
      <w:pPr>
        <w:ind w:left="1440" w:hanging="360"/>
      </w:pPr>
    </w:lvl>
    <w:lvl w:ilvl="2" w:tplc="7FBE2EE2" w:tentative="1">
      <w:start w:val="1"/>
      <w:numFmt w:val="lowerRoman"/>
      <w:lvlText w:val="%3."/>
      <w:lvlJc w:val="right"/>
      <w:pPr>
        <w:ind w:left="2160" w:hanging="180"/>
      </w:pPr>
    </w:lvl>
    <w:lvl w:ilvl="3" w:tplc="0DD61208" w:tentative="1">
      <w:start w:val="1"/>
      <w:numFmt w:val="decimal"/>
      <w:lvlText w:val="%4."/>
      <w:lvlJc w:val="left"/>
      <w:pPr>
        <w:ind w:left="2880" w:hanging="360"/>
      </w:pPr>
    </w:lvl>
    <w:lvl w:ilvl="4" w:tplc="08DAF400" w:tentative="1">
      <w:start w:val="1"/>
      <w:numFmt w:val="lowerLetter"/>
      <w:lvlText w:val="%5."/>
      <w:lvlJc w:val="left"/>
      <w:pPr>
        <w:ind w:left="3600" w:hanging="360"/>
      </w:pPr>
    </w:lvl>
    <w:lvl w:ilvl="5" w:tplc="4EA6BEEC" w:tentative="1">
      <w:start w:val="1"/>
      <w:numFmt w:val="lowerRoman"/>
      <w:lvlText w:val="%6."/>
      <w:lvlJc w:val="right"/>
      <w:pPr>
        <w:ind w:left="4320" w:hanging="180"/>
      </w:pPr>
    </w:lvl>
    <w:lvl w:ilvl="6" w:tplc="DBB664DA" w:tentative="1">
      <w:start w:val="1"/>
      <w:numFmt w:val="decimal"/>
      <w:lvlText w:val="%7."/>
      <w:lvlJc w:val="left"/>
      <w:pPr>
        <w:ind w:left="5040" w:hanging="360"/>
      </w:pPr>
    </w:lvl>
    <w:lvl w:ilvl="7" w:tplc="658C2992" w:tentative="1">
      <w:start w:val="1"/>
      <w:numFmt w:val="lowerLetter"/>
      <w:lvlText w:val="%8."/>
      <w:lvlJc w:val="left"/>
      <w:pPr>
        <w:ind w:left="5760" w:hanging="360"/>
      </w:pPr>
    </w:lvl>
    <w:lvl w:ilvl="8" w:tplc="22E02C7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27071035">
    <w:abstractNumId w:val="24"/>
  </w:num>
  <w:num w:numId="2" w16cid:durableId="452141206">
    <w:abstractNumId w:val="20"/>
  </w:num>
  <w:num w:numId="3" w16cid:durableId="372123506">
    <w:abstractNumId w:val="0"/>
  </w:num>
  <w:num w:numId="4" w16cid:durableId="1169827655">
    <w:abstractNumId w:val="8"/>
  </w:num>
  <w:num w:numId="5" w16cid:durableId="1253779422">
    <w:abstractNumId w:val="22"/>
  </w:num>
  <w:num w:numId="6" w16cid:durableId="1340422353">
    <w:abstractNumId w:val="2"/>
  </w:num>
  <w:num w:numId="7" w16cid:durableId="2033610511">
    <w:abstractNumId w:val="15"/>
  </w:num>
  <w:num w:numId="8" w16cid:durableId="833180856">
    <w:abstractNumId w:val="11"/>
  </w:num>
  <w:num w:numId="9" w16cid:durableId="310597104">
    <w:abstractNumId w:val="1"/>
  </w:num>
  <w:num w:numId="10" w16cid:durableId="879517269">
    <w:abstractNumId w:val="1"/>
  </w:num>
  <w:num w:numId="11" w16cid:durableId="487522882">
    <w:abstractNumId w:val="3"/>
  </w:num>
  <w:num w:numId="12" w16cid:durableId="378749640">
    <w:abstractNumId w:val="4"/>
  </w:num>
  <w:num w:numId="13" w16cid:durableId="1333797139">
    <w:abstractNumId w:val="19"/>
  </w:num>
  <w:num w:numId="14" w16cid:durableId="1262450662">
    <w:abstractNumId w:val="12"/>
  </w:num>
  <w:num w:numId="15" w16cid:durableId="561210722">
    <w:abstractNumId w:val="9"/>
  </w:num>
  <w:num w:numId="16" w16cid:durableId="1858495786">
    <w:abstractNumId w:val="18"/>
  </w:num>
  <w:num w:numId="17" w16cid:durableId="1874732284">
    <w:abstractNumId w:val="5"/>
  </w:num>
  <w:num w:numId="18" w16cid:durableId="1311593946">
    <w:abstractNumId w:val="13"/>
  </w:num>
  <w:num w:numId="19" w16cid:durableId="1874877564">
    <w:abstractNumId w:val="23"/>
  </w:num>
  <w:num w:numId="20" w16cid:durableId="586573010">
    <w:abstractNumId w:val="7"/>
  </w:num>
  <w:num w:numId="21" w16cid:durableId="143008876">
    <w:abstractNumId w:val="17"/>
  </w:num>
  <w:num w:numId="22" w16cid:durableId="214051736">
    <w:abstractNumId w:val="6"/>
  </w:num>
  <w:num w:numId="23" w16cid:durableId="770246631">
    <w:abstractNumId w:val="14"/>
  </w:num>
  <w:num w:numId="24" w16cid:durableId="1194683666">
    <w:abstractNumId w:val="16"/>
  </w:num>
  <w:num w:numId="25" w16cid:durableId="560486364">
    <w:abstractNumId w:val="21"/>
  </w:num>
  <w:num w:numId="26" w16cid:durableId="135738774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1AB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internetmedicin.se/page.aspx?id=1317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4.xml><?xml version="1.0" encoding="utf-8"?>
<ds:datastoreItem xmlns:ds="http://schemas.openxmlformats.org/officeDocument/2006/customXml" ds:itemID="{938201C9-E0BF-43DF-B9B1-4596869D9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3</Pages>
  <Words>726</Words>
  <Characters>3854</Characters>
  <Application>Microsoft Office Word</Application>
  <DocSecurity>0</DocSecurity>
  <Lines>32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4571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Hypertoni - sekundär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2022-05-04T03:36:00.0000000Z</dcterms:created>
  <dcterms:modified xsi:type="dcterms:W3CDTF">2022-05-04T03:36:00.0000000Z</dcterms:modified>
</coreProperties>
</file>