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3FCDC" w14:textId="77777777" w:rsidR="004F2694" w:rsidRDefault="004F2694" w:rsidP="00F35B05">
      <w:pPr>
        <w:pStyle w:val="Heading2"/>
        <w:sectPr w:rsidR="004F2694" w:rsidSect="004F269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01862B4" w14:textId="77777777" w:rsidR="004F2694" w:rsidRPr="004F2694" w:rsidRDefault="004F2694" w:rsidP="004F2694">
      <w:pPr>
        <w:keepNext/>
        <w:pBdr>
          <w:bottom w:val="single" w:sz="4" w:space="1" w:color="auto"/>
        </w:pBdr>
        <w:spacing w:after="0" w:line="240" w:lineRule="auto"/>
        <w:ind w:left="0" w:right="0"/>
        <w:outlineLvl w:val="0"/>
        <w:rPr>
          <w:rFonts w:ascii="Calibri" w:hAnsi="Calibri" w:cs="Calibri"/>
          <w:b/>
          <w:bCs/>
          <w:kern w:val="32"/>
          <w:sz w:val="36"/>
          <w:szCs w:val="36"/>
        </w:rPr>
      </w:pPr>
      <w:bookmarkStart w:id="1" w:name="_Toc8726177"/>
      <w:r w:rsidRPr="004F2694">
        <w:rPr>
          <w:rFonts w:ascii="Calibri" w:hAnsi="Calibri" w:cs="Calibri"/>
          <w:b/>
          <w:bCs/>
          <w:kern w:val="32"/>
          <w:sz w:val="36"/>
          <w:szCs w:val="36"/>
        </w:rPr>
        <w:t>Arytmi</w:t>
      </w:r>
      <w:bookmarkEnd w:id="1"/>
      <w:r w:rsidRPr="004F2694">
        <w:rPr>
          <w:rFonts w:ascii="Calibri" w:hAnsi="Calibri" w:cs="Calibri"/>
          <w:b/>
          <w:bCs/>
          <w:kern w:val="32"/>
          <w:sz w:val="36"/>
          <w:szCs w:val="36"/>
        </w:rPr>
        <w:t xml:space="preserve"> – allmänt om arytmier</w:t>
      </w:r>
    </w:p>
    <w:p w14:paraId="728F8AF9" w14:textId="77777777" w:rsidR="004F2694" w:rsidRPr="004F2694" w:rsidRDefault="004F2694" w:rsidP="004F2694">
      <w:pPr>
        <w:keepNext/>
        <w:spacing w:before="240" w:after="60" w:line="240" w:lineRule="auto"/>
        <w:ind w:left="0" w:right="0"/>
        <w:outlineLvl w:val="1"/>
        <w:rPr>
          <w:rFonts w:ascii="Calibri" w:hAnsi="Calibri" w:cs="Arial"/>
          <w:b/>
          <w:bCs/>
          <w:iCs/>
          <w:sz w:val="28"/>
          <w:szCs w:val="28"/>
        </w:rPr>
      </w:pPr>
      <w:bookmarkStart w:id="2" w:name="_Toc452108620"/>
      <w:bookmarkStart w:id="3" w:name="_Toc8726178"/>
      <w:r w:rsidRPr="004F2694">
        <w:rPr>
          <w:rFonts w:ascii="Calibri" w:hAnsi="Calibri" w:cs="Arial"/>
          <w:b/>
          <w:bCs/>
          <w:iCs/>
          <w:sz w:val="28"/>
          <w:szCs w:val="28"/>
        </w:rPr>
        <w:t>Minnesregler</w:t>
      </w:r>
      <w:bookmarkEnd w:id="2"/>
      <w:bookmarkEnd w:id="3"/>
      <w:r w:rsidRPr="004F2694">
        <w:rPr>
          <w:rFonts w:ascii="Calibri" w:hAnsi="Calibri" w:cs="Arial"/>
          <w:b/>
          <w:bCs/>
          <w:iCs/>
          <w:sz w:val="28"/>
          <w:szCs w:val="28"/>
        </w:rPr>
        <w:fldChar w:fldCharType="begin"/>
      </w:r>
      <w:r w:rsidRPr="004F2694">
        <w:rPr>
          <w:rFonts w:ascii="Calibri" w:hAnsi="Calibri" w:cs="Arial"/>
          <w:b/>
          <w:bCs/>
          <w:iCs/>
          <w:sz w:val="28"/>
          <w:szCs w:val="28"/>
        </w:rPr>
        <w:instrText xml:space="preserve"> XE "Minnesregler arytmier" </w:instrText>
      </w:r>
      <w:r w:rsidRPr="004F2694">
        <w:rPr>
          <w:rFonts w:ascii="Calibri" w:hAnsi="Calibri" w:cs="Arial"/>
          <w:b/>
          <w:bCs/>
          <w:iCs/>
          <w:sz w:val="28"/>
          <w:szCs w:val="28"/>
        </w:rPr>
        <w:fldChar w:fldCharType="end"/>
      </w:r>
    </w:p>
    <w:p w14:paraId="07D36EC4" w14:textId="77777777" w:rsidR="004F2694" w:rsidRPr="004F2694" w:rsidRDefault="004F2694" w:rsidP="004F2694">
      <w:pPr>
        <w:numPr>
          <w:ilvl w:val="0"/>
          <w:numId w:val="21"/>
        </w:numPr>
        <w:spacing w:before="60" w:after="0" w:line="240" w:lineRule="auto"/>
        <w:ind w:left="357" w:right="0" w:hanging="357"/>
        <w:rPr>
          <w:szCs w:val="20"/>
        </w:rPr>
      </w:pPr>
      <w:r w:rsidRPr="004F2694">
        <w:rPr>
          <w:szCs w:val="20"/>
        </w:rPr>
        <w:t>Diskutera med mer erfaren kollega om du är osäker på diagnos eller behandling.</w:t>
      </w:r>
    </w:p>
    <w:p w14:paraId="554D15DE" w14:textId="77777777" w:rsidR="004F2694" w:rsidRPr="004F2694" w:rsidRDefault="004F2694" w:rsidP="004F2694">
      <w:pPr>
        <w:numPr>
          <w:ilvl w:val="0"/>
          <w:numId w:val="21"/>
        </w:numPr>
        <w:spacing w:before="60" w:after="0" w:line="240" w:lineRule="auto"/>
        <w:ind w:left="357" w:right="0" w:hanging="357"/>
        <w:rPr>
          <w:szCs w:val="20"/>
        </w:rPr>
      </w:pPr>
      <w:r w:rsidRPr="004F2694">
        <w:rPr>
          <w:szCs w:val="20"/>
        </w:rPr>
        <w:t>Elkonvertera akut om patienten är hemodynamiskt påverkad av takyarytmi!</w:t>
      </w:r>
    </w:p>
    <w:p w14:paraId="094CB620" w14:textId="77777777" w:rsidR="004F2694" w:rsidRPr="004F2694" w:rsidRDefault="004F2694" w:rsidP="004F2694">
      <w:pPr>
        <w:numPr>
          <w:ilvl w:val="0"/>
          <w:numId w:val="21"/>
        </w:numPr>
        <w:spacing w:before="60" w:after="0" w:line="240" w:lineRule="auto"/>
        <w:ind w:left="357" w:right="0" w:hanging="357"/>
        <w:rPr>
          <w:szCs w:val="20"/>
        </w:rPr>
      </w:pPr>
      <w:r w:rsidRPr="004F2694">
        <w:rPr>
          <w:szCs w:val="20"/>
        </w:rPr>
        <w:t>Är diagnosen klar? Finns 12-avlednings-EKG och ev esofagus-EKG?</w:t>
      </w:r>
    </w:p>
    <w:p w14:paraId="5EF3A03F" w14:textId="77777777" w:rsidR="004F2694" w:rsidRPr="004F2694" w:rsidRDefault="004F2694" w:rsidP="004F2694">
      <w:pPr>
        <w:numPr>
          <w:ilvl w:val="0"/>
          <w:numId w:val="21"/>
        </w:numPr>
        <w:spacing w:before="60" w:after="0" w:line="240" w:lineRule="auto"/>
        <w:ind w:left="357" w:right="0" w:hanging="357"/>
        <w:rPr>
          <w:szCs w:val="20"/>
        </w:rPr>
      </w:pPr>
      <w:r w:rsidRPr="004F2694">
        <w:rPr>
          <w:szCs w:val="20"/>
        </w:rPr>
        <w:t>85% av alla breddökade takykardier är ventrikeltakykardier (VT)! Betrakta breda takykardier som VT tills motsatsen är bevisad.</w:t>
      </w:r>
    </w:p>
    <w:p w14:paraId="43577AB0" w14:textId="77777777" w:rsidR="004F2694" w:rsidRPr="004F2694" w:rsidRDefault="004F2694" w:rsidP="004F2694">
      <w:pPr>
        <w:numPr>
          <w:ilvl w:val="0"/>
          <w:numId w:val="21"/>
        </w:numPr>
        <w:spacing w:before="60" w:after="0" w:line="240" w:lineRule="auto"/>
        <w:ind w:left="357" w:right="0" w:hanging="357"/>
        <w:rPr>
          <w:szCs w:val="20"/>
        </w:rPr>
      </w:pPr>
      <w:r w:rsidRPr="004F2694">
        <w:rPr>
          <w:szCs w:val="20"/>
        </w:rPr>
        <w:t>Om icke-bråskande elkonvertering ska göras eller om antiarytmika ska ges: Finns svar på S-kalium? Behövs ej vid injektion av metoprolol eller adenosin.</w:t>
      </w:r>
    </w:p>
    <w:p w14:paraId="0E0A77B3" w14:textId="77777777" w:rsidR="004F2694" w:rsidRPr="004F2694" w:rsidRDefault="004F2694" w:rsidP="004F2694">
      <w:pPr>
        <w:numPr>
          <w:ilvl w:val="0"/>
          <w:numId w:val="21"/>
        </w:numPr>
        <w:spacing w:before="60" w:after="0" w:line="240" w:lineRule="auto"/>
        <w:ind w:left="357" w:right="0" w:hanging="357"/>
        <w:rPr>
          <w:szCs w:val="20"/>
        </w:rPr>
      </w:pPr>
      <w:r w:rsidRPr="004F2694">
        <w:rPr>
          <w:szCs w:val="20"/>
        </w:rPr>
        <w:t>Ha defibrillator i närheten när antiarytmika ges iv.</w:t>
      </w:r>
    </w:p>
    <w:p w14:paraId="429EC5A0" w14:textId="77777777" w:rsidR="004F2694" w:rsidRPr="004F2694" w:rsidRDefault="004F2694" w:rsidP="004F2694">
      <w:pPr>
        <w:numPr>
          <w:ilvl w:val="0"/>
          <w:numId w:val="21"/>
        </w:numPr>
        <w:spacing w:before="60" w:after="0" w:line="240" w:lineRule="auto"/>
        <w:ind w:left="357" w:right="0" w:hanging="357"/>
        <w:rPr>
          <w:szCs w:val="20"/>
        </w:rPr>
      </w:pPr>
      <w:r w:rsidRPr="004F2694">
        <w:rPr>
          <w:szCs w:val="20"/>
        </w:rPr>
        <w:t>Undvik polyfarmaci.</w:t>
      </w:r>
    </w:p>
    <w:p w14:paraId="60105C6C" w14:textId="77777777" w:rsidR="004F2694" w:rsidRPr="004F2694" w:rsidRDefault="004F2694" w:rsidP="004F2694">
      <w:pPr>
        <w:numPr>
          <w:ilvl w:val="0"/>
          <w:numId w:val="21"/>
        </w:numPr>
        <w:spacing w:before="60" w:after="0" w:line="240" w:lineRule="auto"/>
        <w:ind w:left="357" w:right="0" w:hanging="357"/>
        <w:rPr>
          <w:szCs w:val="20"/>
        </w:rPr>
      </w:pPr>
      <w:r w:rsidRPr="004F2694">
        <w:rPr>
          <w:szCs w:val="20"/>
        </w:rPr>
        <w:t>Ta fullständigt EKG efter att takykardi har brutits.</w:t>
      </w:r>
    </w:p>
    <w:p w14:paraId="6EB67825" w14:textId="77777777" w:rsidR="004F2694" w:rsidRPr="004F2694" w:rsidRDefault="004F2694" w:rsidP="004F2694">
      <w:pPr>
        <w:numPr>
          <w:ilvl w:val="0"/>
          <w:numId w:val="21"/>
        </w:numPr>
        <w:spacing w:before="60" w:after="0" w:line="240" w:lineRule="auto"/>
        <w:ind w:left="357" w:right="0" w:hanging="357"/>
        <w:rPr>
          <w:szCs w:val="20"/>
        </w:rPr>
      </w:pPr>
      <w:r w:rsidRPr="004F2694">
        <w:rPr>
          <w:szCs w:val="20"/>
        </w:rPr>
        <w:t>Diskutera med kardiolog innan tyngre antiarytmika ges som disopyramid, amiodaron, sotalol, flekainid, dronedaron mm.</w:t>
      </w:r>
    </w:p>
    <w:p w14:paraId="692C0645" w14:textId="77777777" w:rsidR="004F2694" w:rsidRPr="004F2694" w:rsidRDefault="004F2694" w:rsidP="004F2694">
      <w:pPr>
        <w:keepNext/>
        <w:spacing w:before="240" w:after="60" w:line="240" w:lineRule="auto"/>
        <w:ind w:left="0" w:right="0"/>
        <w:outlineLvl w:val="1"/>
        <w:rPr>
          <w:rFonts w:ascii="Calibri" w:hAnsi="Calibri" w:cs="Arial"/>
          <w:b/>
          <w:bCs/>
          <w:iCs/>
          <w:sz w:val="28"/>
          <w:szCs w:val="28"/>
        </w:rPr>
      </w:pPr>
      <w:bookmarkStart w:id="4" w:name="_Toc388453888"/>
      <w:bookmarkStart w:id="5" w:name="_Toc419272659"/>
      <w:bookmarkStart w:id="6" w:name="_Toc452108621"/>
      <w:bookmarkStart w:id="7" w:name="_Toc8726179"/>
      <w:r w:rsidRPr="004F2694">
        <w:rPr>
          <w:rFonts w:ascii="Calibri" w:hAnsi="Calibri" w:cs="Arial"/>
          <w:b/>
          <w:bCs/>
          <w:iCs/>
          <w:sz w:val="28"/>
          <w:szCs w:val="28"/>
        </w:rPr>
        <w:t>Allmänt om arytmier</w:t>
      </w:r>
      <w:bookmarkEnd w:id="4"/>
      <w:bookmarkEnd w:id="5"/>
      <w:bookmarkEnd w:id="6"/>
      <w:bookmarkEnd w:id="7"/>
    </w:p>
    <w:p w14:paraId="58F97562"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r w:rsidRPr="004F2694">
        <w:rPr>
          <w:b/>
          <w:bCs/>
          <w:szCs w:val="20"/>
        </w:rPr>
        <w:t>Arytmisymtom</w:t>
      </w:r>
      <w:r w:rsidRPr="004F2694">
        <w:rPr>
          <w:szCs w:val="20"/>
        </w:rPr>
        <w:t xml:space="preserve"> kan vara palpitationer, bröstsmärta, hjärtsvikt, trötthet, matthet, yrsel, svimning eller inga alls.</w:t>
      </w:r>
    </w:p>
    <w:p w14:paraId="75191527"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r w:rsidRPr="004F2694">
        <w:rPr>
          <w:b/>
          <w:bCs/>
          <w:szCs w:val="20"/>
        </w:rPr>
        <w:t>Behandlingsmål</w:t>
      </w:r>
      <w:r w:rsidRPr="004F2694">
        <w:rPr>
          <w:szCs w:val="20"/>
        </w:rPr>
        <w:t xml:space="preserve"> bör vara att minska eller ta bort symtom, minska risken för komplikationer av arytmi och förlänga livet.</w:t>
      </w:r>
    </w:p>
    <w:p w14:paraId="5E4D703A" w14:textId="77777777" w:rsidR="004F2694" w:rsidRPr="004F2694" w:rsidRDefault="004F2694" w:rsidP="004F2694">
      <w:pPr>
        <w:keepNext/>
        <w:spacing w:before="240" w:after="60" w:line="240" w:lineRule="auto"/>
        <w:ind w:left="0" w:right="0"/>
        <w:outlineLvl w:val="1"/>
        <w:rPr>
          <w:rFonts w:ascii="Calibri" w:hAnsi="Calibri" w:cs="Arial"/>
          <w:b/>
          <w:bCs/>
          <w:iCs/>
          <w:sz w:val="28"/>
          <w:szCs w:val="28"/>
        </w:rPr>
      </w:pPr>
      <w:r w:rsidRPr="004F2694">
        <w:rPr>
          <w:rFonts w:ascii="Calibri" w:hAnsi="Calibri" w:cs="Arial"/>
          <w:b/>
          <w:bCs/>
          <w:iCs/>
          <w:sz w:val="28"/>
          <w:szCs w:val="28"/>
        </w:rPr>
        <w:t>Diagnostik</w:t>
      </w:r>
    </w:p>
    <w:p w14:paraId="5BD75309"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r w:rsidRPr="004F2694">
        <w:rPr>
          <w:szCs w:val="20"/>
        </w:rPr>
        <w:t>Vid oklara arytmier rekommenderas alltid fullständigt 12-avlednings-EKG och i utvalda fall också esofagus-EKG. Efter återgång till sinusrytm ska också fullständigt EKG registreras.</w:t>
      </w:r>
    </w:p>
    <w:p w14:paraId="6E9964AC"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r w:rsidRPr="004F2694">
        <w:rPr>
          <w:szCs w:val="20"/>
        </w:rPr>
        <w:t>Andra hjälpmedel:</w:t>
      </w:r>
    </w:p>
    <w:p w14:paraId="0DB8039D" w14:textId="77777777" w:rsidR="004F2694" w:rsidRPr="004F2694" w:rsidRDefault="004F2694" w:rsidP="004F2694">
      <w:pPr>
        <w:numPr>
          <w:ilvl w:val="0"/>
          <w:numId w:val="20"/>
        </w:numPr>
        <w:tabs>
          <w:tab w:val="left" w:pos="-4140"/>
          <w:tab w:val="left" w:pos="0"/>
          <w:tab w:val="left" w:pos="7776"/>
          <w:tab w:val="left" w:pos="9072"/>
          <w:tab w:val="left" w:pos="10368"/>
        </w:tabs>
        <w:autoSpaceDE w:val="0"/>
        <w:spacing w:before="20" w:after="0" w:line="240" w:lineRule="auto"/>
        <w:ind w:left="357" w:right="0" w:hanging="357"/>
        <w:rPr>
          <w:szCs w:val="20"/>
        </w:rPr>
      </w:pPr>
      <w:r w:rsidRPr="004F2694">
        <w:rPr>
          <w:szCs w:val="20"/>
        </w:rPr>
        <w:t>I akutskedet av en arytmi kan man ha hjälp av karotistryck för att öka vaguspåslaget och därmed åstadkomma ett kortvarigt AV-block. Kan användas för att detektera förmaksfladder eller ektopisk förmakstakykardi. Adenosin kan användas för samma syfte och i vissa fall också för att påvisa effekt på P-vågor under breddökad takykardi.</w:t>
      </w:r>
    </w:p>
    <w:p w14:paraId="676F4B84" w14:textId="77777777" w:rsidR="004F2694" w:rsidRPr="004F2694" w:rsidRDefault="004F2694" w:rsidP="004F2694">
      <w:pPr>
        <w:numPr>
          <w:ilvl w:val="0"/>
          <w:numId w:val="20"/>
        </w:numPr>
        <w:tabs>
          <w:tab w:val="left" w:pos="-4140"/>
          <w:tab w:val="left" w:pos="7776"/>
          <w:tab w:val="left" w:pos="9072"/>
          <w:tab w:val="left" w:pos="10368"/>
        </w:tabs>
        <w:autoSpaceDE w:val="0"/>
        <w:spacing w:before="20" w:after="0" w:line="240" w:lineRule="auto"/>
        <w:ind w:left="357" w:right="0" w:hanging="357"/>
        <w:rPr>
          <w:szCs w:val="20"/>
        </w:rPr>
      </w:pPr>
      <w:r w:rsidRPr="004F2694">
        <w:rPr>
          <w:szCs w:val="20"/>
        </w:rPr>
        <w:t>Holter - bandspelar-EKG, 24 eller 48 timmar, upp till 7 dygn i följd.</w:t>
      </w:r>
    </w:p>
    <w:p w14:paraId="33B0EA9C" w14:textId="77777777" w:rsidR="004F2694" w:rsidRPr="004F2694" w:rsidRDefault="004F2694" w:rsidP="004F2694">
      <w:pPr>
        <w:numPr>
          <w:ilvl w:val="0"/>
          <w:numId w:val="20"/>
        </w:numPr>
        <w:tabs>
          <w:tab w:val="left" w:pos="-4140"/>
          <w:tab w:val="left" w:pos="7776"/>
          <w:tab w:val="left" w:pos="9072"/>
          <w:tab w:val="left" w:pos="10368"/>
        </w:tabs>
        <w:autoSpaceDE w:val="0"/>
        <w:spacing w:before="20" w:after="0" w:line="240" w:lineRule="auto"/>
        <w:ind w:left="357" w:right="0" w:hanging="357"/>
        <w:rPr>
          <w:szCs w:val="20"/>
        </w:rPr>
      </w:pPr>
      <w:r w:rsidRPr="004F2694">
        <w:rPr>
          <w:szCs w:val="20"/>
        </w:rPr>
        <w:t>Telemetriövervakning på HIA eller MAVA.</w:t>
      </w:r>
    </w:p>
    <w:p w14:paraId="25252C7A" w14:textId="77777777" w:rsidR="004F2694" w:rsidRPr="004F2694" w:rsidRDefault="004F2694" w:rsidP="004F2694">
      <w:pPr>
        <w:numPr>
          <w:ilvl w:val="0"/>
          <w:numId w:val="20"/>
        </w:numPr>
        <w:tabs>
          <w:tab w:val="left" w:pos="-4140"/>
          <w:tab w:val="left" w:pos="7776"/>
          <w:tab w:val="left" w:pos="9072"/>
          <w:tab w:val="left" w:pos="10368"/>
        </w:tabs>
        <w:autoSpaceDE w:val="0"/>
        <w:spacing w:before="20" w:after="0" w:line="240" w:lineRule="auto"/>
        <w:ind w:left="357" w:right="0" w:hanging="357"/>
        <w:rPr>
          <w:szCs w:val="20"/>
        </w:rPr>
      </w:pPr>
      <w:r w:rsidRPr="004F2694">
        <w:rPr>
          <w:szCs w:val="20"/>
        </w:rPr>
        <w:t>Tum-EKG - för patient med glesa arytmisymtom där patienten kan hinna registerera arytmin med tum-EKG. Registreras i 2-3 veckor.</w:t>
      </w:r>
    </w:p>
    <w:p w14:paraId="1E281AF1" w14:textId="77777777" w:rsidR="004F2694" w:rsidRPr="004F2694" w:rsidRDefault="004F2694" w:rsidP="004F2694">
      <w:pPr>
        <w:numPr>
          <w:ilvl w:val="0"/>
          <w:numId w:val="20"/>
        </w:numPr>
        <w:tabs>
          <w:tab w:val="left" w:pos="-4140"/>
          <w:tab w:val="left" w:pos="7776"/>
          <w:tab w:val="left" w:pos="9072"/>
          <w:tab w:val="left" w:pos="10368"/>
        </w:tabs>
        <w:autoSpaceDE w:val="0"/>
        <w:spacing w:before="20" w:after="0" w:line="240" w:lineRule="auto"/>
        <w:ind w:left="357" w:right="0" w:hanging="357"/>
        <w:rPr>
          <w:szCs w:val="20"/>
        </w:rPr>
      </w:pPr>
      <w:r w:rsidRPr="004F2694">
        <w:rPr>
          <w:szCs w:val="20"/>
        </w:rPr>
        <w:t>R-test – händelseregistrering vanligen 2-3 veckor upp till 4 veckor. Arytmier lagras och patienten kan själv aktivera lagring av EKG vid symtom.</w:t>
      </w:r>
    </w:p>
    <w:p w14:paraId="039E4222" w14:textId="77777777" w:rsidR="004F2694" w:rsidRPr="004F2694" w:rsidRDefault="004F2694" w:rsidP="004F2694">
      <w:pPr>
        <w:numPr>
          <w:ilvl w:val="0"/>
          <w:numId w:val="20"/>
        </w:numPr>
        <w:tabs>
          <w:tab w:val="left" w:pos="-4140"/>
          <w:tab w:val="left" w:pos="7776"/>
          <w:tab w:val="left" w:pos="9072"/>
          <w:tab w:val="left" w:pos="10368"/>
        </w:tabs>
        <w:autoSpaceDE w:val="0"/>
        <w:spacing w:before="20" w:after="0" w:line="240" w:lineRule="auto"/>
        <w:ind w:left="357" w:right="0" w:hanging="357"/>
        <w:rPr>
          <w:szCs w:val="20"/>
        </w:rPr>
      </w:pPr>
      <w:r w:rsidRPr="004F2694">
        <w:rPr>
          <w:szCs w:val="20"/>
        </w:rPr>
        <w:lastRenderedPageBreak/>
        <w:t>Invasiv elektrofysiologisk undersökning: kateterburen stimulering av hjärtat i första hand för diagnostik av ventrikulär takyarytmi och överledningstider vid bifascikulärt block och oklar svimning. Undersökningen görs på SU eller Skövde.</w:t>
      </w:r>
    </w:p>
    <w:p w14:paraId="695BB6C4" w14:textId="77777777" w:rsidR="004F2694" w:rsidRPr="004F2694" w:rsidRDefault="004F2694" w:rsidP="004F2694">
      <w:pPr>
        <w:numPr>
          <w:ilvl w:val="0"/>
          <w:numId w:val="20"/>
        </w:numPr>
        <w:tabs>
          <w:tab w:val="left" w:pos="-4140"/>
          <w:tab w:val="left" w:pos="7776"/>
          <w:tab w:val="left" w:pos="9072"/>
          <w:tab w:val="left" w:pos="10368"/>
        </w:tabs>
        <w:autoSpaceDE w:val="0"/>
        <w:spacing w:before="20" w:after="0" w:line="240" w:lineRule="auto"/>
        <w:ind w:left="357" w:right="0" w:hanging="357"/>
        <w:rPr>
          <w:szCs w:val="20"/>
        </w:rPr>
      </w:pPr>
      <w:r w:rsidRPr="004F2694">
        <w:rPr>
          <w:szCs w:val="20"/>
        </w:rPr>
        <w:t>ILR – implantable loop recorder. Liten dosa som opereras in under huden och lagrar EKG kontinuerligt i loop. Kan bäras ca 3 år och kan användas vid oklara svimningar där man gjort extensiv övrig utredning.</w:t>
      </w:r>
    </w:p>
    <w:p w14:paraId="7E7F61AE" w14:textId="77777777" w:rsidR="004F2694" w:rsidRPr="004F2694" w:rsidRDefault="004F2694" w:rsidP="004F2694">
      <w:pPr>
        <w:keepNext/>
        <w:spacing w:before="240" w:after="60" w:line="240" w:lineRule="auto"/>
        <w:ind w:left="0" w:right="0"/>
        <w:outlineLvl w:val="1"/>
        <w:rPr>
          <w:rFonts w:ascii="Calibri" w:hAnsi="Calibri" w:cs="Arial"/>
          <w:b/>
          <w:bCs/>
          <w:iCs/>
          <w:sz w:val="28"/>
          <w:szCs w:val="28"/>
        </w:rPr>
      </w:pPr>
      <w:r w:rsidRPr="004F2694">
        <w:rPr>
          <w:rFonts w:ascii="Calibri" w:hAnsi="Calibri" w:cs="Arial"/>
          <w:b/>
          <w:bCs/>
          <w:iCs/>
          <w:sz w:val="28"/>
          <w:szCs w:val="28"/>
        </w:rPr>
        <w:t>Behandlingsalternativ</w:t>
      </w:r>
    </w:p>
    <w:p w14:paraId="77D3404D" w14:textId="77777777" w:rsidR="004F2694" w:rsidRPr="004F2694" w:rsidRDefault="004F2694" w:rsidP="004F2694">
      <w:pPr>
        <w:keepNext/>
        <w:spacing w:before="240" w:after="60" w:line="240" w:lineRule="auto"/>
        <w:ind w:left="0" w:right="0"/>
        <w:outlineLvl w:val="2"/>
        <w:rPr>
          <w:rFonts w:ascii="Calibri" w:hAnsi="Calibri" w:cs="Arial"/>
          <w:b/>
          <w:bCs/>
          <w:szCs w:val="26"/>
        </w:rPr>
      </w:pPr>
      <w:r w:rsidRPr="004F2694">
        <w:rPr>
          <w:rFonts w:ascii="Calibri" w:hAnsi="Calibri" w:cs="Arial"/>
          <w:b/>
          <w:bCs/>
          <w:szCs w:val="26"/>
        </w:rPr>
        <w:t>Ingen/icke-farmakologisk behandling</w:t>
      </w:r>
    </w:p>
    <w:p w14:paraId="7E56BFFB"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r w:rsidRPr="004F2694">
        <w:rPr>
          <w:szCs w:val="20"/>
        </w:rPr>
        <w:t>Många arytmier är ofarliga och kommer så sällan att behandling inte behövs. Vissa arytmier kan bli bättre av livsstilsförändringar som minskning av tobak, kaffe och alkohol, som troligen kan utlösa extraslag och därmed provocera arytmi. En del supraventrikulära takykardier kan brytas av Valsalvamanöver eller karotistryck.</w:t>
      </w:r>
    </w:p>
    <w:p w14:paraId="611003AE" w14:textId="77777777" w:rsidR="004F2694" w:rsidRPr="004F2694" w:rsidRDefault="004F2694" w:rsidP="004F2694">
      <w:pPr>
        <w:keepNext/>
        <w:spacing w:before="240" w:after="60" w:line="240" w:lineRule="auto"/>
        <w:ind w:left="0" w:right="0"/>
        <w:outlineLvl w:val="2"/>
        <w:rPr>
          <w:rFonts w:ascii="Calibri" w:hAnsi="Calibri" w:cs="Arial"/>
          <w:b/>
          <w:bCs/>
          <w:szCs w:val="26"/>
        </w:rPr>
      </w:pPr>
      <w:r w:rsidRPr="004F2694">
        <w:rPr>
          <w:rFonts w:ascii="Calibri" w:hAnsi="Calibri" w:cs="Arial"/>
          <w:b/>
          <w:bCs/>
          <w:szCs w:val="26"/>
        </w:rPr>
        <w:t>Läkemedel</w:t>
      </w:r>
    </w:p>
    <w:p w14:paraId="3E6A2206"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r w:rsidRPr="004F2694">
        <w:rPr>
          <w:szCs w:val="20"/>
        </w:rPr>
        <w:t>Antiarytmika indelas i olika klasser efter sin elektrofysiologiska verkan på myokardcellens aktionspotential. Många preparat har flera olika klasseffekter, t.ex. sotalol som både har klass 2- och 3-effekt och amiodaron som förutom klass 3 även har klass 2- och 1-effekter. Den enda grupp som har en visad gynnsam effekt på överlevnad är betablockerare. Man bör ha en restriktiv hållning till övriga antiarytmika. Medlen har ofta god effekt på symtom, men flera studier har visat att prognosen för överlevnad försämras. Alla medel (undantag klass 2 och 4) har proarytmiska egenskaper och kan provocera torsade de pointes.</w:t>
      </w:r>
    </w:p>
    <w:p w14:paraId="08A804AB"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r w:rsidRPr="004F2694">
        <w:rPr>
          <w:szCs w:val="20"/>
        </w:rPr>
        <w:t>En viktig princip vid läkemedelsbehandling är att använda ett preparat fullt ut innan man byter och i möjligaste mån undvika polyfarmaci.</w:t>
      </w:r>
    </w:p>
    <w:p w14:paraId="30C7C859" w14:textId="77777777" w:rsidR="004F2694" w:rsidRPr="004F2694" w:rsidRDefault="004F2694" w:rsidP="004F2694">
      <w:pPr>
        <w:keepNext/>
        <w:spacing w:before="240" w:after="60" w:line="240" w:lineRule="auto"/>
        <w:ind w:left="0" w:right="0"/>
        <w:outlineLvl w:val="2"/>
        <w:rPr>
          <w:rFonts w:ascii="Calibri" w:hAnsi="Calibri" w:cs="Arial"/>
          <w:b/>
          <w:bCs/>
          <w:szCs w:val="26"/>
        </w:rPr>
      </w:pPr>
      <w:r w:rsidRPr="004F2694">
        <w:rPr>
          <w:rFonts w:ascii="Calibri" w:hAnsi="Calibri" w:cs="Arial"/>
          <w:b/>
          <w:bCs/>
          <w:szCs w:val="26"/>
        </w:rPr>
        <w:t>Klassindelning av antiarytmika</w:t>
      </w:r>
      <w:r w:rsidRPr="004F2694">
        <w:rPr>
          <w:rFonts w:ascii="Calibri" w:hAnsi="Calibri" w:cs="Arial"/>
          <w:b/>
          <w:bCs/>
          <w:szCs w:val="26"/>
        </w:rPr>
        <w:fldChar w:fldCharType="begin"/>
      </w:r>
      <w:r w:rsidRPr="004F2694">
        <w:rPr>
          <w:rFonts w:ascii="Calibri" w:hAnsi="Calibri" w:cs="Arial"/>
          <w:b/>
          <w:bCs/>
          <w:szCs w:val="26"/>
        </w:rPr>
        <w:instrText xml:space="preserve"> XE "Klassindelning av antiarytmika" </w:instrText>
      </w:r>
      <w:r w:rsidRPr="004F2694">
        <w:rPr>
          <w:rFonts w:ascii="Calibri" w:hAnsi="Calibri" w:cs="Arial"/>
          <w:b/>
          <w:bCs/>
          <w:szCs w:val="26"/>
        </w:rPr>
        <w:fldChar w:fldCharType="end"/>
      </w:r>
    </w:p>
    <w:tbl>
      <w:tblPr>
        <w:tblW w:w="8760" w:type="dxa"/>
        <w:tblInd w:w="70" w:type="dxa"/>
        <w:tblLayout w:type="fixed"/>
        <w:tblCellMar>
          <w:left w:w="70" w:type="dxa"/>
          <w:right w:w="70" w:type="dxa"/>
        </w:tblCellMar>
        <w:tblLook w:val="0000" w:firstRow="0" w:lastRow="0" w:firstColumn="0" w:lastColumn="0" w:noHBand="0" w:noVBand="0"/>
      </w:tblPr>
      <w:tblGrid>
        <w:gridCol w:w="1310"/>
        <w:gridCol w:w="2429"/>
        <w:gridCol w:w="2777"/>
        <w:gridCol w:w="2244"/>
      </w:tblGrid>
      <w:tr w:rsidR="004F2694" w:rsidRPr="004F2694" w14:paraId="0227209C" w14:textId="77777777" w:rsidTr="00FA0017">
        <w:trPr>
          <w:trHeight w:val="556"/>
        </w:trPr>
        <w:tc>
          <w:tcPr>
            <w:tcW w:w="1310" w:type="dxa"/>
            <w:tcBorders>
              <w:top w:val="single" w:sz="4" w:space="0" w:color="000000"/>
              <w:left w:val="single" w:sz="4" w:space="0" w:color="000000"/>
              <w:bottom w:val="single" w:sz="4" w:space="0" w:color="000000"/>
            </w:tcBorders>
          </w:tcPr>
          <w:p w14:paraId="7B5DC8F5" w14:textId="77777777" w:rsidR="004F2694" w:rsidRPr="004F2694" w:rsidRDefault="004F2694" w:rsidP="004F2694">
            <w:pPr>
              <w:autoSpaceDE w:val="0"/>
              <w:snapToGrid w:val="0"/>
              <w:spacing w:after="0" w:line="240" w:lineRule="auto"/>
              <w:ind w:left="0" w:right="0"/>
              <w:rPr>
                <w:b/>
                <w:bCs/>
                <w:szCs w:val="20"/>
              </w:rPr>
            </w:pPr>
            <w:r w:rsidRPr="004F2694">
              <w:rPr>
                <w:b/>
                <w:bCs/>
                <w:szCs w:val="20"/>
              </w:rPr>
              <w:t>KLASS</w:t>
            </w:r>
          </w:p>
        </w:tc>
        <w:tc>
          <w:tcPr>
            <w:tcW w:w="2429" w:type="dxa"/>
            <w:tcBorders>
              <w:top w:val="single" w:sz="4" w:space="0" w:color="000000"/>
              <w:left w:val="single" w:sz="4" w:space="0" w:color="000000"/>
              <w:bottom w:val="single" w:sz="4" w:space="0" w:color="000000"/>
            </w:tcBorders>
          </w:tcPr>
          <w:p w14:paraId="57F35BE9" w14:textId="77777777" w:rsidR="004F2694" w:rsidRPr="004F2694" w:rsidRDefault="004F2694" w:rsidP="004F2694">
            <w:pPr>
              <w:autoSpaceDE w:val="0"/>
              <w:snapToGrid w:val="0"/>
              <w:spacing w:after="0" w:line="240" w:lineRule="auto"/>
              <w:ind w:left="0" w:right="0"/>
              <w:rPr>
                <w:b/>
                <w:bCs/>
                <w:szCs w:val="20"/>
              </w:rPr>
            </w:pPr>
            <w:r w:rsidRPr="004F2694">
              <w:rPr>
                <w:b/>
                <w:bCs/>
                <w:szCs w:val="20"/>
              </w:rPr>
              <w:t>Generika</w:t>
            </w:r>
          </w:p>
        </w:tc>
        <w:tc>
          <w:tcPr>
            <w:tcW w:w="2776" w:type="dxa"/>
            <w:tcBorders>
              <w:top w:val="single" w:sz="4" w:space="0" w:color="000000"/>
              <w:left w:val="single" w:sz="4" w:space="0" w:color="000000"/>
              <w:bottom w:val="single" w:sz="4" w:space="0" w:color="000000"/>
              <w:right w:val="single" w:sz="4" w:space="0" w:color="000000"/>
            </w:tcBorders>
          </w:tcPr>
          <w:p w14:paraId="2E19CBB1" w14:textId="77777777" w:rsidR="004F2694" w:rsidRPr="004F2694" w:rsidRDefault="004F2694" w:rsidP="004F2694">
            <w:pPr>
              <w:autoSpaceDE w:val="0"/>
              <w:snapToGrid w:val="0"/>
              <w:spacing w:after="0" w:line="240" w:lineRule="auto"/>
              <w:ind w:left="0" w:right="0"/>
              <w:rPr>
                <w:b/>
                <w:bCs/>
                <w:szCs w:val="20"/>
              </w:rPr>
            </w:pPr>
            <w:r w:rsidRPr="004F2694">
              <w:rPr>
                <w:b/>
                <w:bCs/>
                <w:szCs w:val="20"/>
              </w:rPr>
              <w:t>Farmakologisk specialitet</w:t>
            </w:r>
          </w:p>
        </w:tc>
        <w:tc>
          <w:tcPr>
            <w:tcW w:w="2244" w:type="dxa"/>
            <w:tcBorders>
              <w:top w:val="single" w:sz="4" w:space="0" w:color="000000"/>
              <w:left w:val="single" w:sz="4" w:space="0" w:color="000000"/>
              <w:bottom w:val="single" w:sz="4" w:space="0" w:color="000000"/>
              <w:right w:val="single" w:sz="4" w:space="0" w:color="000000"/>
            </w:tcBorders>
          </w:tcPr>
          <w:p w14:paraId="2EA81B2C" w14:textId="77777777" w:rsidR="004F2694" w:rsidRPr="004F2694" w:rsidRDefault="004F2694" w:rsidP="004F2694">
            <w:pPr>
              <w:autoSpaceDE w:val="0"/>
              <w:snapToGrid w:val="0"/>
              <w:spacing w:after="0" w:line="240" w:lineRule="auto"/>
              <w:ind w:left="0" w:right="0"/>
              <w:rPr>
                <w:b/>
                <w:bCs/>
                <w:szCs w:val="20"/>
              </w:rPr>
            </w:pPr>
            <w:r w:rsidRPr="004F2694">
              <w:rPr>
                <w:b/>
                <w:bCs/>
                <w:szCs w:val="20"/>
              </w:rPr>
              <w:t>Klinisk använding NÄL</w:t>
            </w:r>
          </w:p>
        </w:tc>
      </w:tr>
      <w:tr w:rsidR="004F2694" w:rsidRPr="004F2694" w14:paraId="74648701" w14:textId="77777777" w:rsidTr="00FA0017">
        <w:trPr>
          <w:trHeight w:val="278"/>
        </w:trPr>
        <w:tc>
          <w:tcPr>
            <w:tcW w:w="1310" w:type="dxa"/>
            <w:tcBorders>
              <w:top w:val="single" w:sz="4" w:space="0" w:color="000000"/>
              <w:left w:val="single" w:sz="4" w:space="0" w:color="000000"/>
              <w:bottom w:val="single" w:sz="4" w:space="0" w:color="000000"/>
            </w:tcBorders>
          </w:tcPr>
          <w:p w14:paraId="321AA7EF" w14:textId="77777777" w:rsidR="004F2694" w:rsidRPr="004F2694" w:rsidRDefault="004F2694" w:rsidP="004F2694">
            <w:pPr>
              <w:autoSpaceDE w:val="0"/>
              <w:snapToGrid w:val="0"/>
              <w:spacing w:after="0" w:line="240" w:lineRule="auto"/>
              <w:ind w:left="0" w:right="0"/>
              <w:rPr>
                <w:szCs w:val="20"/>
                <w:lang w:val="fi-FI"/>
              </w:rPr>
            </w:pPr>
            <w:r w:rsidRPr="004F2694">
              <w:rPr>
                <w:szCs w:val="20"/>
                <w:lang w:val="fi-FI"/>
              </w:rPr>
              <w:t>IA</w:t>
            </w:r>
          </w:p>
        </w:tc>
        <w:tc>
          <w:tcPr>
            <w:tcW w:w="2429" w:type="dxa"/>
            <w:tcBorders>
              <w:top w:val="single" w:sz="4" w:space="0" w:color="000000"/>
              <w:left w:val="single" w:sz="4" w:space="0" w:color="000000"/>
              <w:bottom w:val="single" w:sz="4" w:space="0" w:color="000000"/>
            </w:tcBorders>
          </w:tcPr>
          <w:p w14:paraId="43A95C8F" w14:textId="77777777" w:rsidR="004F2694" w:rsidRPr="004F2694" w:rsidRDefault="004F2694" w:rsidP="004F2694">
            <w:pPr>
              <w:autoSpaceDE w:val="0"/>
              <w:snapToGrid w:val="0"/>
              <w:spacing w:after="0" w:line="240" w:lineRule="auto"/>
              <w:ind w:left="0" w:right="0"/>
              <w:rPr>
                <w:szCs w:val="20"/>
                <w:lang w:val="fi-FI"/>
              </w:rPr>
            </w:pPr>
            <w:r w:rsidRPr="004F2694">
              <w:rPr>
                <w:szCs w:val="20"/>
                <w:lang w:val="fi-FI"/>
              </w:rPr>
              <w:t>Kinidin</w:t>
            </w:r>
          </w:p>
        </w:tc>
        <w:tc>
          <w:tcPr>
            <w:tcW w:w="2776" w:type="dxa"/>
            <w:tcBorders>
              <w:top w:val="single" w:sz="4" w:space="0" w:color="000000"/>
              <w:left w:val="single" w:sz="4" w:space="0" w:color="000000"/>
              <w:bottom w:val="single" w:sz="4" w:space="0" w:color="000000"/>
              <w:right w:val="single" w:sz="4" w:space="0" w:color="000000"/>
            </w:tcBorders>
          </w:tcPr>
          <w:p w14:paraId="5350B789" w14:textId="77777777" w:rsidR="004F2694" w:rsidRPr="004F2694" w:rsidRDefault="004F2694" w:rsidP="004F2694">
            <w:pPr>
              <w:autoSpaceDE w:val="0"/>
              <w:snapToGrid w:val="0"/>
              <w:spacing w:after="0" w:line="240" w:lineRule="auto"/>
              <w:ind w:left="0" w:right="0"/>
              <w:rPr>
                <w:szCs w:val="20"/>
                <w:lang w:val="fi-FI"/>
              </w:rPr>
            </w:pPr>
            <w:r w:rsidRPr="004F2694">
              <w:rPr>
                <w:szCs w:val="20"/>
                <w:lang w:val="fi-FI"/>
              </w:rPr>
              <w:t>Kinidin</w:t>
            </w:r>
          </w:p>
        </w:tc>
        <w:tc>
          <w:tcPr>
            <w:tcW w:w="2244" w:type="dxa"/>
            <w:tcBorders>
              <w:top w:val="single" w:sz="4" w:space="0" w:color="000000"/>
              <w:left w:val="single" w:sz="4" w:space="0" w:color="000000"/>
              <w:bottom w:val="single" w:sz="4" w:space="0" w:color="000000"/>
              <w:right w:val="single" w:sz="4" w:space="0" w:color="000000"/>
            </w:tcBorders>
          </w:tcPr>
          <w:p w14:paraId="5A9DD796" w14:textId="77777777" w:rsidR="004F2694" w:rsidRPr="004F2694" w:rsidRDefault="004F2694" w:rsidP="004F2694">
            <w:pPr>
              <w:autoSpaceDE w:val="0"/>
              <w:snapToGrid w:val="0"/>
              <w:spacing w:after="0" w:line="240" w:lineRule="auto"/>
              <w:ind w:left="0" w:right="0"/>
              <w:rPr>
                <w:szCs w:val="20"/>
                <w:lang w:val="fi-FI"/>
              </w:rPr>
            </w:pPr>
          </w:p>
        </w:tc>
      </w:tr>
      <w:tr w:rsidR="004F2694" w:rsidRPr="004F2694" w14:paraId="05B2A98A" w14:textId="77777777" w:rsidTr="00FA0017">
        <w:trPr>
          <w:trHeight w:val="266"/>
        </w:trPr>
        <w:tc>
          <w:tcPr>
            <w:tcW w:w="1310" w:type="dxa"/>
            <w:tcBorders>
              <w:top w:val="single" w:sz="4" w:space="0" w:color="000000"/>
              <w:left w:val="single" w:sz="4" w:space="0" w:color="000000"/>
              <w:bottom w:val="single" w:sz="4" w:space="0" w:color="000000"/>
            </w:tcBorders>
          </w:tcPr>
          <w:p w14:paraId="4F9C38AF" w14:textId="77777777" w:rsidR="004F2694" w:rsidRPr="004F2694" w:rsidRDefault="004F2694" w:rsidP="004F2694">
            <w:pPr>
              <w:autoSpaceDE w:val="0"/>
              <w:snapToGrid w:val="0"/>
              <w:spacing w:after="0" w:line="240" w:lineRule="auto"/>
              <w:ind w:left="0" w:right="0"/>
              <w:rPr>
                <w:szCs w:val="20"/>
                <w:lang w:val="fi-FI"/>
              </w:rPr>
            </w:pPr>
          </w:p>
        </w:tc>
        <w:tc>
          <w:tcPr>
            <w:tcW w:w="2429" w:type="dxa"/>
            <w:tcBorders>
              <w:top w:val="single" w:sz="4" w:space="0" w:color="000000"/>
              <w:left w:val="single" w:sz="4" w:space="0" w:color="000000"/>
              <w:bottom w:val="single" w:sz="4" w:space="0" w:color="000000"/>
            </w:tcBorders>
          </w:tcPr>
          <w:p w14:paraId="37376D36" w14:textId="77777777" w:rsidR="004F2694" w:rsidRPr="004F2694" w:rsidRDefault="004F2694" w:rsidP="004F2694">
            <w:pPr>
              <w:autoSpaceDE w:val="0"/>
              <w:snapToGrid w:val="0"/>
              <w:spacing w:after="0" w:line="240" w:lineRule="auto"/>
              <w:ind w:left="0" w:right="0"/>
              <w:rPr>
                <w:szCs w:val="20"/>
                <w:lang w:val="fi-FI"/>
              </w:rPr>
            </w:pPr>
            <w:r w:rsidRPr="004F2694">
              <w:rPr>
                <w:szCs w:val="20"/>
                <w:lang w:val="fi-FI"/>
              </w:rPr>
              <w:t>Disopyramid</w:t>
            </w:r>
          </w:p>
        </w:tc>
        <w:tc>
          <w:tcPr>
            <w:tcW w:w="2776" w:type="dxa"/>
            <w:tcBorders>
              <w:top w:val="single" w:sz="4" w:space="0" w:color="000000"/>
              <w:left w:val="single" w:sz="4" w:space="0" w:color="000000"/>
              <w:bottom w:val="single" w:sz="4" w:space="0" w:color="000000"/>
              <w:right w:val="single" w:sz="4" w:space="0" w:color="000000"/>
            </w:tcBorders>
          </w:tcPr>
          <w:p w14:paraId="64659013" w14:textId="77777777" w:rsidR="004F2694" w:rsidRPr="004F2694" w:rsidRDefault="004F2694" w:rsidP="004F2694">
            <w:pPr>
              <w:autoSpaceDE w:val="0"/>
              <w:snapToGrid w:val="0"/>
              <w:spacing w:after="0" w:line="240" w:lineRule="auto"/>
              <w:ind w:left="0" w:right="0"/>
              <w:rPr>
                <w:szCs w:val="20"/>
                <w:lang w:val="fi-FI"/>
              </w:rPr>
            </w:pPr>
            <w:r w:rsidRPr="004F2694">
              <w:rPr>
                <w:szCs w:val="20"/>
                <w:lang w:val="fi-FI"/>
              </w:rPr>
              <w:t>Durbis</w:t>
            </w:r>
          </w:p>
        </w:tc>
        <w:tc>
          <w:tcPr>
            <w:tcW w:w="2244" w:type="dxa"/>
            <w:tcBorders>
              <w:top w:val="single" w:sz="4" w:space="0" w:color="000000"/>
              <w:left w:val="single" w:sz="4" w:space="0" w:color="000000"/>
              <w:bottom w:val="single" w:sz="4" w:space="0" w:color="000000"/>
              <w:right w:val="single" w:sz="4" w:space="0" w:color="000000"/>
            </w:tcBorders>
          </w:tcPr>
          <w:p w14:paraId="2755127A" w14:textId="77777777" w:rsidR="004F2694" w:rsidRPr="004F2694" w:rsidRDefault="004F2694" w:rsidP="004F2694">
            <w:pPr>
              <w:autoSpaceDE w:val="0"/>
              <w:snapToGrid w:val="0"/>
              <w:spacing w:after="0" w:line="240" w:lineRule="auto"/>
              <w:ind w:left="0" w:right="0"/>
              <w:rPr>
                <w:szCs w:val="20"/>
                <w:lang w:val="fi-FI"/>
              </w:rPr>
            </w:pPr>
            <w:r w:rsidRPr="004F2694">
              <w:rPr>
                <w:sz w:val="14"/>
                <w:szCs w:val="20"/>
                <w:lang w:val="fi-FI"/>
              </w:rPr>
              <w:t>X</w:t>
            </w:r>
          </w:p>
        </w:tc>
      </w:tr>
      <w:tr w:rsidR="004F2694" w:rsidRPr="004F2694" w14:paraId="61164D3C" w14:textId="77777777" w:rsidTr="00FA0017">
        <w:trPr>
          <w:trHeight w:val="278"/>
        </w:trPr>
        <w:tc>
          <w:tcPr>
            <w:tcW w:w="1310" w:type="dxa"/>
            <w:tcBorders>
              <w:top w:val="single" w:sz="4" w:space="0" w:color="000000"/>
              <w:left w:val="single" w:sz="4" w:space="0" w:color="000000"/>
              <w:bottom w:val="single" w:sz="4" w:space="0" w:color="000000"/>
            </w:tcBorders>
          </w:tcPr>
          <w:p w14:paraId="321ED718" w14:textId="77777777" w:rsidR="004F2694" w:rsidRPr="004F2694" w:rsidRDefault="004F2694" w:rsidP="004F2694">
            <w:pPr>
              <w:autoSpaceDE w:val="0"/>
              <w:snapToGrid w:val="0"/>
              <w:spacing w:after="0" w:line="240" w:lineRule="auto"/>
              <w:ind w:left="0" w:right="0"/>
              <w:rPr>
                <w:szCs w:val="20"/>
                <w:lang w:val="fi-FI"/>
              </w:rPr>
            </w:pPr>
            <w:r w:rsidRPr="004F2694">
              <w:rPr>
                <w:szCs w:val="20"/>
                <w:lang w:val="fi-FI"/>
              </w:rPr>
              <w:t>IB</w:t>
            </w:r>
          </w:p>
        </w:tc>
        <w:tc>
          <w:tcPr>
            <w:tcW w:w="2429" w:type="dxa"/>
            <w:tcBorders>
              <w:top w:val="single" w:sz="4" w:space="0" w:color="000000"/>
              <w:left w:val="single" w:sz="4" w:space="0" w:color="000000"/>
              <w:bottom w:val="single" w:sz="4" w:space="0" w:color="000000"/>
            </w:tcBorders>
          </w:tcPr>
          <w:p w14:paraId="642E83E4" w14:textId="77777777" w:rsidR="004F2694" w:rsidRPr="004F2694" w:rsidRDefault="004F2694" w:rsidP="004F2694">
            <w:pPr>
              <w:autoSpaceDE w:val="0"/>
              <w:snapToGrid w:val="0"/>
              <w:spacing w:after="0" w:line="240" w:lineRule="auto"/>
              <w:ind w:left="0" w:right="0"/>
              <w:rPr>
                <w:szCs w:val="20"/>
                <w:lang w:val="fi-FI"/>
              </w:rPr>
            </w:pPr>
            <w:r w:rsidRPr="004F2694">
              <w:rPr>
                <w:szCs w:val="20"/>
                <w:lang w:val="fi-FI"/>
              </w:rPr>
              <w:t>Lidokain</w:t>
            </w:r>
          </w:p>
        </w:tc>
        <w:tc>
          <w:tcPr>
            <w:tcW w:w="2776" w:type="dxa"/>
            <w:tcBorders>
              <w:top w:val="single" w:sz="4" w:space="0" w:color="000000"/>
              <w:left w:val="single" w:sz="4" w:space="0" w:color="000000"/>
              <w:bottom w:val="single" w:sz="4" w:space="0" w:color="000000"/>
              <w:right w:val="single" w:sz="4" w:space="0" w:color="000000"/>
            </w:tcBorders>
          </w:tcPr>
          <w:p w14:paraId="6786A94D" w14:textId="77777777" w:rsidR="004F2694" w:rsidRPr="004F2694" w:rsidRDefault="004F2694" w:rsidP="004F2694">
            <w:pPr>
              <w:autoSpaceDE w:val="0"/>
              <w:snapToGrid w:val="0"/>
              <w:spacing w:after="0" w:line="240" w:lineRule="auto"/>
              <w:ind w:left="0" w:right="0"/>
              <w:rPr>
                <w:szCs w:val="20"/>
                <w:lang w:val="en-GB"/>
              </w:rPr>
            </w:pPr>
            <w:r w:rsidRPr="004F2694">
              <w:rPr>
                <w:szCs w:val="20"/>
                <w:lang w:val="en-GB"/>
              </w:rPr>
              <w:t>Xylocard</w:t>
            </w:r>
          </w:p>
        </w:tc>
        <w:tc>
          <w:tcPr>
            <w:tcW w:w="2244" w:type="dxa"/>
            <w:tcBorders>
              <w:top w:val="single" w:sz="4" w:space="0" w:color="000000"/>
              <w:left w:val="single" w:sz="4" w:space="0" w:color="000000"/>
              <w:bottom w:val="single" w:sz="4" w:space="0" w:color="000000"/>
              <w:right w:val="single" w:sz="4" w:space="0" w:color="000000"/>
            </w:tcBorders>
          </w:tcPr>
          <w:p w14:paraId="3419E942" w14:textId="77777777" w:rsidR="004F2694" w:rsidRPr="004F2694" w:rsidRDefault="004F2694" w:rsidP="004F2694">
            <w:pPr>
              <w:autoSpaceDE w:val="0"/>
              <w:snapToGrid w:val="0"/>
              <w:spacing w:after="0" w:line="240" w:lineRule="auto"/>
              <w:ind w:left="0" w:right="0"/>
              <w:rPr>
                <w:szCs w:val="20"/>
                <w:lang w:val="en-GB"/>
              </w:rPr>
            </w:pPr>
          </w:p>
        </w:tc>
      </w:tr>
      <w:tr w:rsidR="004F2694" w:rsidRPr="004F2694" w14:paraId="77A9A76F" w14:textId="77777777" w:rsidTr="00FA0017">
        <w:trPr>
          <w:trHeight w:val="278"/>
        </w:trPr>
        <w:tc>
          <w:tcPr>
            <w:tcW w:w="1310" w:type="dxa"/>
            <w:tcBorders>
              <w:top w:val="single" w:sz="4" w:space="0" w:color="000000"/>
              <w:left w:val="single" w:sz="4" w:space="0" w:color="000000"/>
              <w:bottom w:val="single" w:sz="4" w:space="0" w:color="000000"/>
            </w:tcBorders>
          </w:tcPr>
          <w:p w14:paraId="2F9DE2D8" w14:textId="77777777" w:rsidR="004F2694" w:rsidRPr="004F2694" w:rsidRDefault="004F2694" w:rsidP="004F2694">
            <w:pPr>
              <w:autoSpaceDE w:val="0"/>
              <w:snapToGrid w:val="0"/>
              <w:spacing w:after="0" w:line="240" w:lineRule="auto"/>
              <w:ind w:left="0" w:right="0"/>
              <w:rPr>
                <w:szCs w:val="20"/>
                <w:lang w:val="en-GB"/>
              </w:rPr>
            </w:pPr>
          </w:p>
        </w:tc>
        <w:tc>
          <w:tcPr>
            <w:tcW w:w="2429" w:type="dxa"/>
            <w:tcBorders>
              <w:top w:val="single" w:sz="4" w:space="0" w:color="000000"/>
              <w:left w:val="single" w:sz="4" w:space="0" w:color="000000"/>
              <w:bottom w:val="single" w:sz="4" w:space="0" w:color="000000"/>
            </w:tcBorders>
          </w:tcPr>
          <w:p w14:paraId="57144F76" w14:textId="77777777" w:rsidR="004F2694" w:rsidRPr="004F2694" w:rsidRDefault="004F2694" w:rsidP="004F2694">
            <w:pPr>
              <w:autoSpaceDE w:val="0"/>
              <w:snapToGrid w:val="0"/>
              <w:spacing w:after="0" w:line="240" w:lineRule="auto"/>
              <w:ind w:left="0" w:right="0"/>
              <w:rPr>
                <w:szCs w:val="20"/>
                <w:lang w:val="en-GB"/>
              </w:rPr>
            </w:pPr>
            <w:r w:rsidRPr="004F2694">
              <w:rPr>
                <w:szCs w:val="20"/>
                <w:lang w:val="en-GB"/>
              </w:rPr>
              <w:t>Mexiletin</w:t>
            </w:r>
          </w:p>
        </w:tc>
        <w:tc>
          <w:tcPr>
            <w:tcW w:w="2776" w:type="dxa"/>
            <w:tcBorders>
              <w:top w:val="single" w:sz="4" w:space="0" w:color="000000"/>
              <w:left w:val="single" w:sz="4" w:space="0" w:color="000000"/>
              <w:bottom w:val="single" w:sz="4" w:space="0" w:color="000000"/>
              <w:right w:val="single" w:sz="4" w:space="0" w:color="000000"/>
            </w:tcBorders>
          </w:tcPr>
          <w:p w14:paraId="41393749" w14:textId="77777777" w:rsidR="004F2694" w:rsidRPr="004F2694" w:rsidRDefault="004F2694" w:rsidP="004F2694">
            <w:pPr>
              <w:autoSpaceDE w:val="0"/>
              <w:snapToGrid w:val="0"/>
              <w:spacing w:after="0" w:line="240" w:lineRule="auto"/>
              <w:ind w:left="0" w:right="0"/>
              <w:rPr>
                <w:szCs w:val="20"/>
                <w:lang w:val="en-GB"/>
              </w:rPr>
            </w:pPr>
            <w:r w:rsidRPr="004F2694">
              <w:rPr>
                <w:szCs w:val="20"/>
                <w:lang w:val="en-GB"/>
              </w:rPr>
              <w:t>Mexitil (licens)</w:t>
            </w:r>
          </w:p>
        </w:tc>
        <w:tc>
          <w:tcPr>
            <w:tcW w:w="2244" w:type="dxa"/>
            <w:tcBorders>
              <w:top w:val="single" w:sz="4" w:space="0" w:color="000000"/>
              <w:left w:val="single" w:sz="4" w:space="0" w:color="000000"/>
              <w:bottom w:val="single" w:sz="4" w:space="0" w:color="000000"/>
              <w:right w:val="single" w:sz="4" w:space="0" w:color="000000"/>
            </w:tcBorders>
          </w:tcPr>
          <w:p w14:paraId="4B0AC80E" w14:textId="77777777" w:rsidR="004F2694" w:rsidRPr="004F2694" w:rsidRDefault="004F2694" w:rsidP="004F2694">
            <w:pPr>
              <w:autoSpaceDE w:val="0"/>
              <w:snapToGrid w:val="0"/>
              <w:spacing w:after="0" w:line="240" w:lineRule="auto"/>
              <w:ind w:left="0" w:right="0"/>
              <w:rPr>
                <w:szCs w:val="20"/>
                <w:lang w:val="en-GB"/>
              </w:rPr>
            </w:pPr>
          </w:p>
        </w:tc>
      </w:tr>
      <w:tr w:rsidR="004F2694" w:rsidRPr="004F2694" w14:paraId="6B3E63FE" w14:textId="77777777" w:rsidTr="00FA0017">
        <w:trPr>
          <w:trHeight w:val="278"/>
        </w:trPr>
        <w:tc>
          <w:tcPr>
            <w:tcW w:w="1310" w:type="dxa"/>
            <w:tcBorders>
              <w:top w:val="single" w:sz="4" w:space="0" w:color="000000"/>
              <w:left w:val="single" w:sz="4" w:space="0" w:color="000000"/>
              <w:bottom w:val="single" w:sz="4" w:space="0" w:color="000000"/>
            </w:tcBorders>
          </w:tcPr>
          <w:p w14:paraId="4289522C" w14:textId="77777777" w:rsidR="004F2694" w:rsidRPr="004F2694" w:rsidRDefault="004F2694" w:rsidP="004F2694">
            <w:pPr>
              <w:autoSpaceDE w:val="0"/>
              <w:snapToGrid w:val="0"/>
              <w:spacing w:after="0" w:line="240" w:lineRule="auto"/>
              <w:ind w:left="0" w:right="0"/>
              <w:rPr>
                <w:szCs w:val="20"/>
                <w:lang w:val="en-GB"/>
              </w:rPr>
            </w:pPr>
            <w:r w:rsidRPr="004F2694">
              <w:rPr>
                <w:szCs w:val="20"/>
                <w:lang w:val="en-GB"/>
              </w:rPr>
              <w:t>IC</w:t>
            </w:r>
          </w:p>
        </w:tc>
        <w:tc>
          <w:tcPr>
            <w:tcW w:w="2429" w:type="dxa"/>
            <w:tcBorders>
              <w:top w:val="single" w:sz="4" w:space="0" w:color="000000"/>
              <w:left w:val="single" w:sz="4" w:space="0" w:color="000000"/>
              <w:bottom w:val="single" w:sz="4" w:space="0" w:color="000000"/>
            </w:tcBorders>
          </w:tcPr>
          <w:p w14:paraId="29223DC6" w14:textId="77777777" w:rsidR="004F2694" w:rsidRPr="004F2694" w:rsidRDefault="004F2694" w:rsidP="004F2694">
            <w:pPr>
              <w:autoSpaceDE w:val="0"/>
              <w:snapToGrid w:val="0"/>
              <w:spacing w:after="0" w:line="240" w:lineRule="auto"/>
              <w:ind w:left="0" w:right="0"/>
              <w:rPr>
                <w:szCs w:val="20"/>
                <w:lang w:val="en-GB"/>
              </w:rPr>
            </w:pPr>
            <w:r w:rsidRPr="004F2694">
              <w:rPr>
                <w:szCs w:val="20"/>
                <w:lang w:val="en-GB"/>
              </w:rPr>
              <w:t>Flekainid</w:t>
            </w:r>
          </w:p>
        </w:tc>
        <w:tc>
          <w:tcPr>
            <w:tcW w:w="2776" w:type="dxa"/>
            <w:tcBorders>
              <w:top w:val="single" w:sz="4" w:space="0" w:color="000000"/>
              <w:left w:val="single" w:sz="4" w:space="0" w:color="000000"/>
              <w:bottom w:val="single" w:sz="4" w:space="0" w:color="000000"/>
              <w:right w:val="single" w:sz="4" w:space="0" w:color="000000"/>
            </w:tcBorders>
          </w:tcPr>
          <w:p w14:paraId="21A89BF7" w14:textId="77777777" w:rsidR="004F2694" w:rsidRPr="004F2694" w:rsidRDefault="004F2694" w:rsidP="004F2694">
            <w:pPr>
              <w:autoSpaceDE w:val="0"/>
              <w:snapToGrid w:val="0"/>
              <w:spacing w:after="0" w:line="240" w:lineRule="auto"/>
              <w:ind w:left="0" w:right="0"/>
              <w:rPr>
                <w:szCs w:val="20"/>
                <w:lang w:val="en-GB"/>
              </w:rPr>
            </w:pPr>
            <w:r w:rsidRPr="004F2694">
              <w:rPr>
                <w:szCs w:val="20"/>
                <w:lang w:val="en-GB"/>
              </w:rPr>
              <w:t>Tambocor</w:t>
            </w:r>
          </w:p>
        </w:tc>
        <w:tc>
          <w:tcPr>
            <w:tcW w:w="2244" w:type="dxa"/>
            <w:tcBorders>
              <w:top w:val="single" w:sz="4" w:space="0" w:color="000000"/>
              <w:left w:val="single" w:sz="4" w:space="0" w:color="000000"/>
              <w:bottom w:val="single" w:sz="4" w:space="0" w:color="000000"/>
              <w:right w:val="single" w:sz="4" w:space="0" w:color="000000"/>
            </w:tcBorders>
          </w:tcPr>
          <w:p w14:paraId="5C740DB3" w14:textId="77777777" w:rsidR="004F2694" w:rsidRPr="004F2694" w:rsidRDefault="004F2694" w:rsidP="004F2694">
            <w:pPr>
              <w:autoSpaceDE w:val="0"/>
              <w:snapToGrid w:val="0"/>
              <w:spacing w:after="0" w:line="240" w:lineRule="auto"/>
              <w:ind w:left="0" w:right="0"/>
              <w:rPr>
                <w:szCs w:val="20"/>
              </w:rPr>
            </w:pPr>
            <w:r w:rsidRPr="004F2694">
              <w:rPr>
                <w:szCs w:val="20"/>
              </w:rPr>
              <w:t>x</w:t>
            </w:r>
          </w:p>
        </w:tc>
      </w:tr>
      <w:tr w:rsidR="004F2694" w:rsidRPr="004F2694" w14:paraId="05231313" w14:textId="77777777" w:rsidTr="00FA0017">
        <w:trPr>
          <w:trHeight w:val="278"/>
        </w:trPr>
        <w:tc>
          <w:tcPr>
            <w:tcW w:w="1310" w:type="dxa"/>
            <w:tcBorders>
              <w:top w:val="single" w:sz="4" w:space="0" w:color="000000"/>
              <w:left w:val="single" w:sz="4" w:space="0" w:color="000000"/>
              <w:bottom w:val="single" w:sz="4" w:space="0" w:color="000000"/>
            </w:tcBorders>
          </w:tcPr>
          <w:p w14:paraId="538EEA8D" w14:textId="77777777" w:rsidR="004F2694" w:rsidRPr="004F2694" w:rsidRDefault="004F2694" w:rsidP="004F2694">
            <w:pPr>
              <w:autoSpaceDE w:val="0"/>
              <w:snapToGrid w:val="0"/>
              <w:spacing w:after="0" w:line="240" w:lineRule="auto"/>
              <w:ind w:left="0" w:right="0"/>
              <w:rPr>
                <w:szCs w:val="20"/>
              </w:rPr>
            </w:pPr>
          </w:p>
        </w:tc>
        <w:tc>
          <w:tcPr>
            <w:tcW w:w="2429" w:type="dxa"/>
            <w:tcBorders>
              <w:top w:val="single" w:sz="4" w:space="0" w:color="000000"/>
              <w:left w:val="single" w:sz="4" w:space="0" w:color="000000"/>
              <w:bottom w:val="single" w:sz="4" w:space="0" w:color="000000"/>
            </w:tcBorders>
          </w:tcPr>
          <w:p w14:paraId="2CC916FD" w14:textId="77777777" w:rsidR="004F2694" w:rsidRPr="004F2694" w:rsidRDefault="004F2694" w:rsidP="004F2694">
            <w:pPr>
              <w:autoSpaceDE w:val="0"/>
              <w:snapToGrid w:val="0"/>
              <w:spacing w:after="0" w:line="240" w:lineRule="auto"/>
              <w:ind w:left="0" w:right="0"/>
              <w:rPr>
                <w:szCs w:val="20"/>
              </w:rPr>
            </w:pPr>
            <w:r w:rsidRPr="004F2694">
              <w:rPr>
                <w:szCs w:val="20"/>
              </w:rPr>
              <w:t>Propafenon</w:t>
            </w:r>
          </w:p>
        </w:tc>
        <w:tc>
          <w:tcPr>
            <w:tcW w:w="2776" w:type="dxa"/>
            <w:tcBorders>
              <w:top w:val="single" w:sz="4" w:space="0" w:color="000000"/>
              <w:left w:val="single" w:sz="4" w:space="0" w:color="000000"/>
              <w:bottom w:val="single" w:sz="4" w:space="0" w:color="000000"/>
              <w:right w:val="single" w:sz="4" w:space="0" w:color="000000"/>
            </w:tcBorders>
          </w:tcPr>
          <w:p w14:paraId="3983B3BD" w14:textId="77777777" w:rsidR="004F2694" w:rsidRPr="004F2694" w:rsidRDefault="004F2694" w:rsidP="004F2694">
            <w:pPr>
              <w:autoSpaceDE w:val="0"/>
              <w:snapToGrid w:val="0"/>
              <w:spacing w:after="0" w:line="240" w:lineRule="auto"/>
              <w:ind w:left="0" w:right="0"/>
              <w:rPr>
                <w:szCs w:val="20"/>
              </w:rPr>
            </w:pPr>
            <w:r w:rsidRPr="004F2694">
              <w:rPr>
                <w:szCs w:val="20"/>
              </w:rPr>
              <w:t>Rytmonorm</w:t>
            </w:r>
          </w:p>
        </w:tc>
        <w:tc>
          <w:tcPr>
            <w:tcW w:w="2244" w:type="dxa"/>
            <w:tcBorders>
              <w:top w:val="single" w:sz="4" w:space="0" w:color="000000"/>
              <w:left w:val="single" w:sz="4" w:space="0" w:color="000000"/>
              <w:bottom w:val="single" w:sz="4" w:space="0" w:color="000000"/>
              <w:right w:val="single" w:sz="4" w:space="0" w:color="000000"/>
            </w:tcBorders>
          </w:tcPr>
          <w:p w14:paraId="0C932C9C" w14:textId="77777777" w:rsidR="004F2694" w:rsidRPr="004F2694" w:rsidRDefault="004F2694" w:rsidP="004F2694">
            <w:pPr>
              <w:autoSpaceDE w:val="0"/>
              <w:snapToGrid w:val="0"/>
              <w:spacing w:after="0" w:line="240" w:lineRule="auto"/>
              <w:ind w:left="0" w:right="0"/>
              <w:rPr>
                <w:szCs w:val="20"/>
              </w:rPr>
            </w:pPr>
          </w:p>
        </w:tc>
      </w:tr>
      <w:tr w:rsidR="004F2694" w:rsidRPr="004F2694" w14:paraId="061601B0" w14:textId="77777777" w:rsidTr="00FA0017">
        <w:trPr>
          <w:trHeight w:val="556"/>
        </w:trPr>
        <w:tc>
          <w:tcPr>
            <w:tcW w:w="1310" w:type="dxa"/>
            <w:tcBorders>
              <w:top w:val="single" w:sz="4" w:space="0" w:color="000000"/>
              <w:left w:val="single" w:sz="4" w:space="0" w:color="000000"/>
              <w:bottom w:val="single" w:sz="4" w:space="0" w:color="000000"/>
            </w:tcBorders>
          </w:tcPr>
          <w:p w14:paraId="2D9F6E6F" w14:textId="77777777" w:rsidR="004F2694" w:rsidRPr="004F2694" w:rsidRDefault="004F2694" w:rsidP="004F2694">
            <w:pPr>
              <w:autoSpaceDE w:val="0"/>
              <w:snapToGrid w:val="0"/>
              <w:spacing w:after="0" w:line="240" w:lineRule="auto"/>
              <w:ind w:left="0" w:right="0"/>
              <w:rPr>
                <w:szCs w:val="20"/>
              </w:rPr>
            </w:pPr>
            <w:r w:rsidRPr="004F2694">
              <w:rPr>
                <w:szCs w:val="20"/>
              </w:rPr>
              <w:t>II</w:t>
            </w:r>
          </w:p>
        </w:tc>
        <w:tc>
          <w:tcPr>
            <w:tcW w:w="2429" w:type="dxa"/>
            <w:tcBorders>
              <w:top w:val="single" w:sz="4" w:space="0" w:color="000000"/>
              <w:left w:val="single" w:sz="4" w:space="0" w:color="000000"/>
              <w:bottom w:val="single" w:sz="4" w:space="0" w:color="000000"/>
            </w:tcBorders>
          </w:tcPr>
          <w:p w14:paraId="585C6A72" w14:textId="77777777" w:rsidR="004F2694" w:rsidRPr="004F2694" w:rsidRDefault="004F2694" w:rsidP="004F2694">
            <w:pPr>
              <w:autoSpaceDE w:val="0"/>
              <w:snapToGrid w:val="0"/>
              <w:spacing w:after="0" w:line="240" w:lineRule="auto"/>
              <w:ind w:left="0" w:right="0"/>
              <w:rPr>
                <w:szCs w:val="20"/>
              </w:rPr>
            </w:pPr>
            <w:r w:rsidRPr="004F2694">
              <w:rPr>
                <w:szCs w:val="20"/>
              </w:rPr>
              <w:t>Betablockerare</w:t>
            </w:r>
          </w:p>
        </w:tc>
        <w:tc>
          <w:tcPr>
            <w:tcW w:w="2776" w:type="dxa"/>
            <w:tcBorders>
              <w:top w:val="single" w:sz="4" w:space="0" w:color="000000"/>
              <w:left w:val="single" w:sz="4" w:space="0" w:color="000000"/>
              <w:bottom w:val="single" w:sz="4" w:space="0" w:color="000000"/>
              <w:right w:val="single" w:sz="4" w:space="0" w:color="000000"/>
            </w:tcBorders>
          </w:tcPr>
          <w:p w14:paraId="6C6C743F" w14:textId="77777777" w:rsidR="004F2694" w:rsidRPr="004F2694" w:rsidRDefault="004F2694" w:rsidP="004F2694">
            <w:pPr>
              <w:autoSpaceDE w:val="0"/>
              <w:snapToGrid w:val="0"/>
              <w:spacing w:after="0" w:line="240" w:lineRule="auto"/>
              <w:ind w:left="0" w:right="0"/>
              <w:rPr>
                <w:szCs w:val="20"/>
              </w:rPr>
            </w:pPr>
            <w:r w:rsidRPr="004F2694">
              <w:rPr>
                <w:szCs w:val="20"/>
              </w:rPr>
              <w:t>Metoprolol, Atenolol, Bisoprolol</w:t>
            </w:r>
          </w:p>
        </w:tc>
        <w:tc>
          <w:tcPr>
            <w:tcW w:w="2244" w:type="dxa"/>
            <w:tcBorders>
              <w:top w:val="single" w:sz="4" w:space="0" w:color="000000"/>
              <w:left w:val="single" w:sz="4" w:space="0" w:color="000000"/>
              <w:bottom w:val="single" w:sz="4" w:space="0" w:color="000000"/>
              <w:right w:val="single" w:sz="4" w:space="0" w:color="000000"/>
            </w:tcBorders>
          </w:tcPr>
          <w:p w14:paraId="17B4971D" w14:textId="77777777" w:rsidR="004F2694" w:rsidRPr="004F2694" w:rsidRDefault="004F2694" w:rsidP="004F2694">
            <w:pPr>
              <w:autoSpaceDE w:val="0"/>
              <w:snapToGrid w:val="0"/>
              <w:spacing w:after="0" w:line="240" w:lineRule="auto"/>
              <w:ind w:left="0" w:right="0"/>
              <w:rPr>
                <w:szCs w:val="20"/>
                <w:lang w:val="fi-FI"/>
              </w:rPr>
            </w:pPr>
            <w:r w:rsidRPr="004F2694">
              <w:rPr>
                <w:szCs w:val="20"/>
                <w:lang w:val="fi-FI"/>
              </w:rPr>
              <w:t>x</w:t>
            </w:r>
          </w:p>
        </w:tc>
      </w:tr>
      <w:tr w:rsidR="004F2694" w:rsidRPr="004F2694" w14:paraId="0A88117A" w14:textId="77777777" w:rsidTr="00FA0017">
        <w:trPr>
          <w:trHeight w:val="266"/>
        </w:trPr>
        <w:tc>
          <w:tcPr>
            <w:tcW w:w="1310" w:type="dxa"/>
            <w:tcBorders>
              <w:top w:val="single" w:sz="4" w:space="0" w:color="000000"/>
              <w:left w:val="single" w:sz="4" w:space="0" w:color="000000"/>
              <w:bottom w:val="single" w:sz="4" w:space="0" w:color="000000"/>
            </w:tcBorders>
          </w:tcPr>
          <w:p w14:paraId="154B81B9" w14:textId="77777777" w:rsidR="004F2694" w:rsidRPr="004F2694" w:rsidRDefault="004F2694" w:rsidP="004F2694">
            <w:pPr>
              <w:autoSpaceDE w:val="0"/>
              <w:snapToGrid w:val="0"/>
              <w:spacing w:after="0" w:line="240" w:lineRule="auto"/>
              <w:ind w:left="0" w:right="0"/>
              <w:rPr>
                <w:szCs w:val="20"/>
                <w:lang w:val="fi-FI"/>
              </w:rPr>
            </w:pPr>
            <w:r w:rsidRPr="004F2694">
              <w:rPr>
                <w:szCs w:val="20"/>
                <w:lang w:val="fi-FI"/>
              </w:rPr>
              <w:t>III</w:t>
            </w:r>
          </w:p>
        </w:tc>
        <w:tc>
          <w:tcPr>
            <w:tcW w:w="2429" w:type="dxa"/>
            <w:tcBorders>
              <w:top w:val="single" w:sz="4" w:space="0" w:color="000000"/>
              <w:left w:val="single" w:sz="4" w:space="0" w:color="000000"/>
              <w:bottom w:val="single" w:sz="4" w:space="0" w:color="000000"/>
            </w:tcBorders>
          </w:tcPr>
          <w:p w14:paraId="0CBC664F" w14:textId="77777777" w:rsidR="004F2694" w:rsidRPr="004F2694" w:rsidRDefault="004F2694" w:rsidP="004F2694">
            <w:pPr>
              <w:autoSpaceDE w:val="0"/>
              <w:snapToGrid w:val="0"/>
              <w:spacing w:after="0" w:line="240" w:lineRule="auto"/>
              <w:ind w:left="0" w:right="0"/>
              <w:rPr>
                <w:szCs w:val="20"/>
                <w:lang w:val="fi-FI"/>
              </w:rPr>
            </w:pPr>
            <w:r w:rsidRPr="004F2694">
              <w:rPr>
                <w:szCs w:val="20"/>
                <w:lang w:val="fi-FI"/>
              </w:rPr>
              <w:t>Sotalol</w:t>
            </w:r>
          </w:p>
        </w:tc>
        <w:tc>
          <w:tcPr>
            <w:tcW w:w="2776" w:type="dxa"/>
            <w:tcBorders>
              <w:top w:val="single" w:sz="4" w:space="0" w:color="000000"/>
              <w:left w:val="single" w:sz="4" w:space="0" w:color="000000"/>
              <w:bottom w:val="single" w:sz="4" w:space="0" w:color="000000"/>
              <w:right w:val="single" w:sz="4" w:space="0" w:color="000000"/>
            </w:tcBorders>
          </w:tcPr>
          <w:p w14:paraId="32AD9ED8" w14:textId="77777777" w:rsidR="004F2694" w:rsidRPr="004F2694" w:rsidRDefault="004F2694" w:rsidP="004F2694">
            <w:pPr>
              <w:autoSpaceDE w:val="0"/>
              <w:snapToGrid w:val="0"/>
              <w:spacing w:after="0" w:line="240" w:lineRule="auto"/>
              <w:ind w:left="0" w:right="0"/>
              <w:rPr>
                <w:szCs w:val="20"/>
                <w:lang w:val="en-GB"/>
              </w:rPr>
            </w:pPr>
            <w:r w:rsidRPr="004F2694">
              <w:rPr>
                <w:szCs w:val="20"/>
                <w:lang w:val="en-GB"/>
              </w:rPr>
              <w:t>Sotacor</w:t>
            </w:r>
          </w:p>
        </w:tc>
        <w:tc>
          <w:tcPr>
            <w:tcW w:w="2244" w:type="dxa"/>
            <w:tcBorders>
              <w:top w:val="single" w:sz="4" w:space="0" w:color="000000"/>
              <w:left w:val="single" w:sz="4" w:space="0" w:color="000000"/>
              <w:bottom w:val="single" w:sz="4" w:space="0" w:color="000000"/>
              <w:right w:val="single" w:sz="4" w:space="0" w:color="000000"/>
            </w:tcBorders>
          </w:tcPr>
          <w:p w14:paraId="49B39C82" w14:textId="77777777" w:rsidR="004F2694" w:rsidRPr="004F2694" w:rsidRDefault="004F2694" w:rsidP="004F2694">
            <w:pPr>
              <w:autoSpaceDE w:val="0"/>
              <w:snapToGrid w:val="0"/>
              <w:spacing w:after="0" w:line="240" w:lineRule="auto"/>
              <w:ind w:left="0" w:right="0"/>
              <w:rPr>
                <w:szCs w:val="20"/>
                <w:lang w:val="en-GB"/>
              </w:rPr>
            </w:pPr>
            <w:r w:rsidRPr="004F2694">
              <w:rPr>
                <w:szCs w:val="20"/>
                <w:lang w:val="en-GB"/>
              </w:rPr>
              <w:t>(x)</w:t>
            </w:r>
          </w:p>
        </w:tc>
      </w:tr>
      <w:tr w:rsidR="004F2694" w:rsidRPr="004F2694" w14:paraId="78198A1F" w14:textId="77777777" w:rsidTr="00FA0017">
        <w:trPr>
          <w:trHeight w:val="278"/>
        </w:trPr>
        <w:tc>
          <w:tcPr>
            <w:tcW w:w="1310" w:type="dxa"/>
            <w:tcBorders>
              <w:top w:val="single" w:sz="4" w:space="0" w:color="000000"/>
              <w:left w:val="single" w:sz="4" w:space="0" w:color="000000"/>
              <w:bottom w:val="single" w:sz="4" w:space="0" w:color="000000"/>
            </w:tcBorders>
          </w:tcPr>
          <w:p w14:paraId="21133E87" w14:textId="77777777" w:rsidR="004F2694" w:rsidRPr="004F2694" w:rsidRDefault="004F2694" w:rsidP="004F2694">
            <w:pPr>
              <w:autoSpaceDE w:val="0"/>
              <w:snapToGrid w:val="0"/>
              <w:spacing w:after="0" w:line="240" w:lineRule="auto"/>
              <w:ind w:left="0" w:right="0"/>
              <w:rPr>
                <w:szCs w:val="20"/>
                <w:lang w:val="en-GB"/>
              </w:rPr>
            </w:pPr>
          </w:p>
        </w:tc>
        <w:tc>
          <w:tcPr>
            <w:tcW w:w="2429" w:type="dxa"/>
            <w:tcBorders>
              <w:top w:val="single" w:sz="4" w:space="0" w:color="000000"/>
              <w:left w:val="single" w:sz="4" w:space="0" w:color="000000"/>
              <w:bottom w:val="single" w:sz="4" w:space="0" w:color="000000"/>
            </w:tcBorders>
          </w:tcPr>
          <w:p w14:paraId="7A528646" w14:textId="77777777" w:rsidR="004F2694" w:rsidRPr="004F2694" w:rsidRDefault="004F2694" w:rsidP="004F2694">
            <w:pPr>
              <w:autoSpaceDE w:val="0"/>
              <w:snapToGrid w:val="0"/>
              <w:spacing w:after="0" w:line="240" w:lineRule="auto"/>
              <w:ind w:left="0" w:right="0"/>
              <w:rPr>
                <w:szCs w:val="20"/>
                <w:lang w:val="en-GB"/>
              </w:rPr>
            </w:pPr>
            <w:r w:rsidRPr="004F2694">
              <w:rPr>
                <w:szCs w:val="20"/>
                <w:lang w:val="en-GB"/>
              </w:rPr>
              <w:t>Amiodaron</w:t>
            </w:r>
          </w:p>
        </w:tc>
        <w:tc>
          <w:tcPr>
            <w:tcW w:w="2776" w:type="dxa"/>
            <w:tcBorders>
              <w:top w:val="single" w:sz="4" w:space="0" w:color="000000"/>
              <w:left w:val="single" w:sz="4" w:space="0" w:color="000000"/>
              <w:bottom w:val="single" w:sz="4" w:space="0" w:color="000000"/>
              <w:right w:val="single" w:sz="4" w:space="0" w:color="000000"/>
            </w:tcBorders>
          </w:tcPr>
          <w:p w14:paraId="4AF62556" w14:textId="77777777" w:rsidR="004F2694" w:rsidRPr="004F2694" w:rsidRDefault="004F2694" w:rsidP="004F2694">
            <w:pPr>
              <w:autoSpaceDE w:val="0"/>
              <w:snapToGrid w:val="0"/>
              <w:spacing w:after="0" w:line="240" w:lineRule="auto"/>
              <w:ind w:left="0" w:right="0"/>
              <w:rPr>
                <w:szCs w:val="20"/>
                <w:lang w:val="en-GB"/>
              </w:rPr>
            </w:pPr>
            <w:r w:rsidRPr="004F2694">
              <w:rPr>
                <w:szCs w:val="20"/>
                <w:lang w:val="en-GB"/>
              </w:rPr>
              <w:t>Cordarone</w:t>
            </w:r>
          </w:p>
        </w:tc>
        <w:tc>
          <w:tcPr>
            <w:tcW w:w="2244" w:type="dxa"/>
            <w:tcBorders>
              <w:top w:val="single" w:sz="4" w:space="0" w:color="000000"/>
              <w:left w:val="single" w:sz="4" w:space="0" w:color="000000"/>
              <w:bottom w:val="single" w:sz="4" w:space="0" w:color="000000"/>
              <w:right w:val="single" w:sz="4" w:space="0" w:color="000000"/>
            </w:tcBorders>
          </w:tcPr>
          <w:p w14:paraId="60034276" w14:textId="77777777" w:rsidR="004F2694" w:rsidRPr="004F2694" w:rsidRDefault="004F2694" w:rsidP="004F2694">
            <w:pPr>
              <w:autoSpaceDE w:val="0"/>
              <w:snapToGrid w:val="0"/>
              <w:spacing w:after="0" w:line="240" w:lineRule="auto"/>
              <w:ind w:left="0" w:right="0"/>
              <w:rPr>
                <w:sz w:val="18"/>
                <w:szCs w:val="18"/>
                <w:lang w:val="en-GB"/>
              </w:rPr>
            </w:pPr>
            <w:r w:rsidRPr="004F2694">
              <w:rPr>
                <w:sz w:val="18"/>
                <w:szCs w:val="18"/>
                <w:lang w:val="en-GB"/>
              </w:rPr>
              <w:t>x</w:t>
            </w:r>
          </w:p>
        </w:tc>
      </w:tr>
      <w:tr w:rsidR="004F2694" w:rsidRPr="004F2694" w14:paraId="17D51284" w14:textId="77777777" w:rsidTr="00FA0017">
        <w:trPr>
          <w:trHeight w:val="278"/>
        </w:trPr>
        <w:tc>
          <w:tcPr>
            <w:tcW w:w="1310" w:type="dxa"/>
            <w:tcBorders>
              <w:top w:val="single" w:sz="4" w:space="0" w:color="000000"/>
              <w:left w:val="single" w:sz="4" w:space="0" w:color="000000"/>
              <w:bottom w:val="single" w:sz="4" w:space="0" w:color="000000"/>
            </w:tcBorders>
          </w:tcPr>
          <w:p w14:paraId="06D4BEA0" w14:textId="77777777" w:rsidR="004F2694" w:rsidRPr="004F2694" w:rsidRDefault="004F2694" w:rsidP="004F2694">
            <w:pPr>
              <w:autoSpaceDE w:val="0"/>
              <w:snapToGrid w:val="0"/>
              <w:spacing w:after="0" w:line="240" w:lineRule="auto"/>
              <w:ind w:left="0" w:right="0"/>
              <w:rPr>
                <w:szCs w:val="20"/>
              </w:rPr>
            </w:pPr>
          </w:p>
        </w:tc>
        <w:tc>
          <w:tcPr>
            <w:tcW w:w="2429" w:type="dxa"/>
            <w:tcBorders>
              <w:top w:val="single" w:sz="4" w:space="0" w:color="000000"/>
              <w:left w:val="single" w:sz="4" w:space="0" w:color="000000"/>
              <w:bottom w:val="single" w:sz="4" w:space="0" w:color="000000"/>
            </w:tcBorders>
          </w:tcPr>
          <w:p w14:paraId="2AA1C13D" w14:textId="77777777" w:rsidR="004F2694" w:rsidRPr="004F2694" w:rsidRDefault="004F2694" w:rsidP="004F2694">
            <w:pPr>
              <w:autoSpaceDE w:val="0"/>
              <w:snapToGrid w:val="0"/>
              <w:spacing w:after="0" w:line="240" w:lineRule="auto"/>
              <w:ind w:left="0" w:right="0"/>
              <w:rPr>
                <w:szCs w:val="20"/>
              </w:rPr>
            </w:pPr>
            <w:r w:rsidRPr="004F2694">
              <w:rPr>
                <w:szCs w:val="20"/>
              </w:rPr>
              <w:t>Dronedaron</w:t>
            </w:r>
          </w:p>
        </w:tc>
        <w:tc>
          <w:tcPr>
            <w:tcW w:w="2776" w:type="dxa"/>
            <w:tcBorders>
              <w:top w:val="single" w:sz="4" w:space="0" w:color="000000"/>
              <w:left w:val="single" w:sz="4" w:space="0" w:color="000000"/>
              <w:bottom w:val="single" w:sz="4" w:space="0" w:color="000000"/>
              <w:right w:val="single" w:sz="4" w:space="0" w:color="000000"/>
            </w:tcBorders>
          </w:tcPr>
          <w:p w14:paraId="1A7F1515" w14:textId="77777777" w:rsidR="004F2694" w:rsidRPr="004F2694" w:rsidRDefault="004F2694" w:rsidP="004F2694">
            <w:pPr>
              <w:autoSpaceDE w:val="0"/>
              <w:snapToGrid w:val="0"/>
              <w:spacing w:after="0" w:line="240" w:lineRule="auto"/>
              <w:ind w:left="0" w:right="0"/>
              <w:rPr>
                <w:szCs w:val="20"/>
              </w:rPr>
            </w:pPr>
            <w:r w:rsidRPr="004F2694">
              <w:rPr>
                <w:szCs w:val="20"/>
              </w:rPr>
              <w:t>Multaq</w:t>
            </w:r>
          </w:p>
        </w:tc>
        <w:tc>
          <w:tcPr>
            <w:tcW w:w="2244" w:type="dxa"/>
            <w:tcBorders>
              <w:top w:val="single" w:sz="4" w:space="0" w:color="000000"/>
              <w:left w:val="single" w:sz="4" w:space="0" w:color="000000"/>
              <w:bottom w:val="single" w:sz="4" w:space="0" w:color="000000"/>
              <w:right w:val="single" w:sz="4" w:space="0" w:color="000000"/>
            </w:tcBorders>
          </w:tcPr>
          <w:p w14:paraId="18588AE4" w14:textId="77777777" w:rsidR="004F2694" w:rsidRPr="004F2694" w:rsidRDefault="004F2694" w:rsidP="004F2694">
            <w:pPr>
              <w:autoSpaceDE w:val="0"/>
              <w:snapToGrid w:val="0"/>
              <w:spacing w:after="0" w:line="240" w:lineRule="auto"/>
              <w:ind w:left="0" w:right="0"/>
              <w:rPr>
                <w:sz w:val="18"/>
                <w:szCs w:val="18"/>
              </w:rPr>
            </w:pPr>
            <w:r w:rsidRPr="004F2694">
              <w:rPr>
                <w:sz w:val="18"/>
                <w:szCs w:val="18"/>
              </w:rPr>
              <w:t>x</w:t>
            </w:r>
          </w:p>
        </w:tc>
      </w:tr>
      <w:tr w:rsidR="004F2694" w:rsidRPr="004F2694" w14:paraId="15DC077C" w14:textId="77777777" w:rsidTr="00FA0017">
        <w:trPr>
          <w:trHeight w:val="556"/>
        </w:trPr>
        <w:tc>
          <w:tcPr>
            <w:tcW w:w="1310" w:type="dxa"/>
            <w:tcBorders>
              <w:top w:val="single" w:sz="4" w:space="0" w:color="000000"/>
              <w:left w:val="single" w:sz="4" w:space="0" w:color="000000"/>
              <w:bottom w:val="single" w:sz="4" w:space="0" w:color="000000"/>
            </w:tcBorders>
          </w:tcPr>
          <w:p w14:paraId="64340294" w14:textId="77777777" w:rsidR="004F2694" w:rsidRPr="004F2694" w:rsidRDefault="004F2694" w:rsidP="004F2694">
            <w:pPr>
              <w:autoSpaceDE w:val="0"/>
              <w:snapToGrid w:val="0"/>
              <w:spacing w:after="0" w:line="240" w:lineRule="auto"/>
              <w:ind w:left="0" w:right="0"/>
              <w:rPr>
                <w:szCs w:val="20"/>
              </w:rPr>
            </w:pPr>
            <w:r w:rsidRPr="004F2694">
              <w:rPr>
                <w:szCs w:val="20"/>
              </w:rPr>
              <w:t>IV</w:t>
            </w:r>
          </w:p>
        </w:tc>
        <w:tc>
          <w:tcPr>
            <w:tcW w:w="2429" w:type="dxa"/>
            <w:tcBorders>
              <w:top w:val="single" w:sz="4" w:space="0" w:color="000000"/>
              <w:left w:val="single" w:sz="4" w:space="0" w:color="000000"/>
              <w:bottom w:val="single" w:sz="4" w:space="0" w:color="000000"/>
            </w:tcBorders>
          </w:tcPr>
          <w:p w14:paraId="3A53E38C" w14:textId="77777777" w:rsidR="004F2694" w:rsidRPr="004F2694" w:rsidRDefault="004F2694" w:rsidP="004F2694">
            <w:pPr>
              <w:autoSpaceDE w:val="0"/>
              <w:snapToGrid w:val="0"/>
              <w:spacing w:after="0" w:line="240" w:lineRule="auto"/>
              <w:ind w:left="0" w:right="0"/>
              <w:rPr>
                <w:szCs w:val="20"/>
              </w:rPr>
            </w:pPr>
            <w:r w:rsidRPr="004F2694">
              <w:rPr>
                <w:szCs w:val="20"/>
              </w:rPr>
              <w:t>Kalciumkanalhämmare</w:t>
            </w:r>
          </w:p>
        </w:tc>
        <w:tc>
          <w:tcPr>
            <w:tcW w:w="2776" w:type="dxa"/>
            <w:tcBorders>
              <w:top w:val="single" w:sz="4" w:space="0" w:color="000000"/>
              <w:left w:val="single" w:sz="4" w:space="0" w:color="000000"/>
              <w:bottom w:val="single" w:sz="4" w:space="0" w:color="000000"/>
              <w:right w:val="single" w:sz="4" w:space="0" w:color="000000"/>
            </w:tcBorders>
          </w:tcPr>
          <w:p w14:paraId="3F4D4E65" w14:textId="77777777" w:rsidR="004F2694" w:rsidRPr="004F2694" w:rsidRDefault="004F2694" w:rsidP="004F2694">
            <w:pPr>
              <w:autoSpaceDE w:val="0"/>
              <w:snapToGrid w:val="0"/>
              <w:spacing w:after="0" w:line="240" w:lineRule="auto"/>
              <w:ind w:left="0" w:right="0"/>
              <w:rPr>
                <w:szCs w:val="20"/>
                <w:lang w:val="en-GB"/>
              </w:rPr>
            </w:pPr>
            <w:r w:rsidRPr="004F2694">
              <w:rPr>
                <w:szCs w:val="20"/>
                <w:lang w:val="en-GB"/>
              </w:rPr>
              <w:t>Verapamil, Cardizem</w:t>
            </w:r>
          </w:p>
        </w:tc>
        <w:tc>
          <w:tcPr>
            <w:tcW w:w="2244" w:type="dxa"/>
            <w:tcBorders>
              <w:top w:val="single" w:sz="4" w:space="0" w:color="000000"/>
              <w:left w:val="single" w:sz="4" w:space="0" w:color="000000"/>
              <w:bottom w:val="single" w:sz="4" w:space="0" w:color="000000"/>
              <w:right w:val="single" w:sz="4" w:space="0" w:color="000000"/>
            </w:tcBorders>
          </w:tcPr>
          <w:p w14:paraId="13C55F0C" w14:textId="77777777" w:rsidR="004F2694" w:rsidRPr="004F2694" w:rsidRDefault="004F2694" w:rsidP="004F2694">
            <w:pPr>
              <w:autoSpaceDE w:val="0"/>
              <w:snapToGrid w:val="0"/>
              <w:spacing w:after="0" w:line="240" w:lineRule="auto"/>
              <w:ind w:left="0" w:right="0"/>
              <w:rPr>
                <w:sz w:val="18"/>
                <w:szCs w:val="18"/>
                <w:lang w:val="en-GB"/>
              </w:rPr>
            </w:pPr>
            <w:r w:rsidRPr="004F2694">
              <w:rPr>
                <w:sz w:val="18"/>
                <w:szCs w:val="18"/>
                <w:lang w:val="en-GB"/>
              </w:rPr>
              <w:t>x</w:t>
            </w:r>
          </w:p>
        </w:tc>
      </w:tr>
      <w:tr w:rsidR="004F2694" w:rsidRPr="004F2694" w14:paraId="508DE65A" w14:textId="77777777" w:rsidTr="00FA0017">
        <w:trPr>
          <w:cantSplit/>
          <w:trHeight w:val="278"/>
        </w:trPr>
        <w:tc>
          <w:tcPr>
            <w:tcW w:w="6516" w:type="dxa"/>
            <w:gridSpan w:val="3"/>
            <w:tcBorders>
              <w:top w:val="single" w:sz="4" w:space="0" w:color="000000"/>
              <w:left w:val="single" w:sz="4" w:space="0" w:color="000000"/>
              <w:bottom w:val="single" w:sz="4" w:space="0" w:color="000000"/>
              <w:right w:val="single" w:sz="4" w:space="0" w:color="000000"/>
            </w:tcBorders>
          </w:tcPr>
          <w:p w14:paraId="3517D566" w14:textId="77777777" w:rsidR="004F2694" w:rsidRPr="004F2694" w:rsidRDefault="004F2694" w:rsidP="004F2694">
            <w:pPr>
              <w:autoSpaceDE w:val="0"/>
              <w:snapToGrid w:val="0"/>
              <w:spacing w:after="0" w:line="240" w:lineRule="auto"/>
              <w:ind w:left="0" w:right="0"/>
              <w:rPr>
                <w:szCs w:val="20"/>
              </w:rPr>
            </w:pPr>
            <w:r w:rsidRPr="004F2694">
              <w:rPr>
                <w:szCs w:val="20"/>
              </w:rPr>
              <w:lastRenderedPageBreak/>
              <w:t>digitalis, adenosin, vernakalant hör ej till någon klass</w:t>
            </w:r>
          </w:p>
        </w:tc>
        <w:tc>
          <w:tcPr>
            <w:tcW w:w="2244" w:type="dxa"/>
            <w:tcBorders>
              <w:top w:val="single" w:sz="4" w:space="0" w:color="000000"/>
              <w:left w:val="single" w:sz="4" w:space="0" w:color="000000"/>
              <w:bottom w:val="single" w:sz="4" w:space="0" w:color="000000"/>
              <w:right w:val="single" w:sz="4" w:space="0" w:color="000000"/>
            </w:tcBorders>
          </w:tcPr>
          <w:p w14:paraId="6E626A1E" w14:textId="77777777" w:rsidR="004F2694" w:rsidRPr="004F2694" w:rsidRDefault="004F2694" w:rsidP="004F2694">
            <w:pPr>
              <w:autoSpaceDE w:val="0"/>
              <w:snapToGrid w:val="0"/>
              <w:spacing w:after="0" w:line="240" w:lineRule="auto"/>
              <w:ind w:left="0" w:right="0"/>
              <w:rPr>
                <w:sz w:val="18"/>
                <w:szCs w:val="18"/>
              </w:rPr>
            </w:pPr>
            <w:r w:rsidRPr="004F2694">
              <w:rPr>
                <w:sz w:val="18"/>
                <w:szCs w:val="18"/>
              </w:rPr>
              <w:t>x</w:t>
            </w:r>
          </w:p>
        </w:tc>
      </w:tr>
    </w:tbl>
    <w:p w14:paraId="6ECAE26F" w14:textId="77777777" w:rsidR="004F2694" w:rsidRPr="004F2694" w:rsidRDefault="004F2694" w:rsidP="004F2694">
      <w:pPr>
        <w:keepNext/>
        <w:spacing w:before="240" w:after="60" w:line="240" w:lineRule="auto"/>
        <w:ind w:left="0" w:right="0"/>
        <w:outlineLvl w:val="2"/>
        <w:rPr>
          <w:rFonts w:ascii="Calibri" w:hAnsi="Calibri" w:cs="Arial"/>
          <w:b/>
          <w:bCs/>
          <w:szCs w:val="26"/>
        </w:rPr>
      </w:pPr>
      <w:r w:rsidRPr="004F2694">
        <w:rPr>
          <w:rFonts w:ascii="Calibri" w:hAnsi="Calibri" w:cs="Arial"/>
          <w:b/>
          <w:bCs/>
          <w:szCs w:val="26"/>
        </w:rPr>
        <w:t>Elkonvertering/defibrillering, esofaguspacing</w:t>
      </w:r>
    </w:p>
    <w:p w14:paraId="785DB10F"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r w:rsidRPr="004F2694">
        <w:rPr>
          <w:szCs w:val="20"/>
        </w:rPr>
        <w:t xml:space="preserve">Elkonvertering görs i narkos. Elstöten är synkroniserad med patientens EKG och sker på R-vågen. 100, 200 resp 360 J är vanliga energinivåer som används. Vid förmaksfladder klarar man sig ofta med 50 J och vid VT ibland med 20 J. </w:t>
      </w:r>
    </w:p>
    <w:p w14:paraId="3D5E8CA7"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p>
    <w:p w14:paraId="6F46B46A"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r w:rsidRPr="004F2694">
        <w:rPr>
          <w:szCs w:val="20"/>
        </w:rPr>
        <w:t>Defibrillering: En osynkroniserad elstöt mot fr.a. ventrikelflimmer. 200 resp 360 J används.</w:t>
      </w:r>
    </w:p>
    <w:p w14:paraId="068426DF"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p>
    <w:p w14:paraId="16D3DCE8" w14:textId="77777777" w:rsidR="004F2694" w:rsidRPr="004F2694" w:rsidRDefault="004F2694" w:rsidP="004F2694">
      <w:pPr>
        <w:autoSpaceDE w:val="0"/>
        <w:spacing w:after="0" w:line="240" w:lineRule="auto"/>
        <w:ind w:left="0" w:right="0"/>
        <w:rPr>
          <w:szCs w:val="20"/>
        </w:rPr>
      </w:pPr>
      <w:r w:rsidRPr="004F2694">
        <w:rPr>
          <w:szCs w:val="20"/>
        </w:rPr>
        <w:t>Esofaguspacing: Stimulering av förmaken med elektrod nedlagd i esofagus. Man stimulerar med en frekvens som överstiger frekvensen på takykardin och ”tar över rytmen” en stund. När pacingen stängs av får sinusknutan chans att återta rytmen. Kan göras utan narkos men provocerar smärta. Används sällan i praktiken.</w:t>
      </w:r>
    </w:p>
    <w:p w14:paraId="58CE63FB" w14:textId="77777777" w:rsidR="004F2694" w:rsidRPr="004F2694" w:rsidRDefault="004F2694" w:rsidP="004F2694">
      <w:pPr>
        <w:autoSpaceDE w:val="0"/>
        <w:spacing w:after="0" w:line="240" w:lineRule="auto"/>
        <w:ind w:left="0" w:right="0"/>
        <w:rPr>
          <w:szCs w:val="20"/>
        </w:rPr>
      </w:pPr>
    </w:p>
    <w:p w14:paraId="00DE7AC4" w14:textId="77777777" w:rsidR="004F2694" w:rsidRPr="004F2694" w:rsidRDefault="004F2694" w:rsidP="004F2694">
      <w:pPr>
        <w:autoSpaceDE w:val="0"/>
        <w:spacing w:after="0" w:line="240" w:lineRule="auto"/>
        <w:ind w:left="0" w:right="0"/>
        <w:rPr>
          <w:szCs w:val="20"/>
        </w:rPr>
      </w:pPr>
      <w:r w:rsidRPr="004F2694">
        <w:rPr>
          <w:szCs w:val="20"/>
        </w:rPr>
        <w:t>Pacemakerstimulering</w:t>
      </w:r>
      <w:r w:rsidRPr="004F2694">
        <w:rPr>
          <w:b/>
          <w:bCs/>
          <w:szCs w:val="20"/>
        </w:rPr>
        <w:t xml:space="preserve">: </w:t>
      </w:r>
      <w:r w:rsidRPr="004F2694">
        <w:rPr>
          <w:szCs w:val="20"/>
        </w:rPr>
        <w:t>Har patienten pacemaker med förmakselektrod kan ovanstående göras via pacemakern.</w:t>
      </w:r>
    </w:p>
    <w:p w14:paraId="721857DD" w14:textId="77777777" w:rsidR="004F2694" w:rsidRPr="004F2694" w:rsidRDefault="004F2694" w:rsidP="004F2694">
      <w:pPr>
        <w:keepNext/>
        <w:spacing w:before="240" w:after="60" w:line="240" w:lineRule="auto"/>
        <w:ind w:left="0" w:right="0"/>
        <w:outlineLvl w:val="2"/>
        <w:rPr>
          <w:rFonts w:ascii="Calibri" w:hAnsi="Calibri" w:cs="Arial"/>
          <w:b/>
          <w:bCs/>
          <w:szCs w:val="26"/>
        </w:rPr>
      </w:pPr>
      <w:r w:rsidRPr="004F2694">
        <w:rPr>
          <w:rFonts w:ascii="Calibri" w:hAnsi="Calibri" w:cs="Arial"/>
          <w:b/>
          <w:bCs/>
          <w:szCs w:val="26"/>
        </w:rPr>
        <w:t>Pacemaker och ICD</w:t>
      </w:r>
    </w:p>
    <w:p w14:paraId="2AEFAF00"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r w:rsidRPr="004F2694">
        <w:rPr>
          <w:szCs w:val="20"/>
        </w:rPr>
        <w:t>Pacemaker används som behandling av bradyarytmier – se detta kapitel. ICD (Implantable cardioverter defibrillator) används mot allvarlig ventrikulär arytmi.</w:t>
      </w:r>
    </w:p>
    <w:p w14:paraId="48195FCD" w14:textId="77777777" w:rsidR="004F2694" w:rsidRPr="004F2694" w:rsidRDefault="004F2694" w:rsidP="004F2694">
      <w:pPr>
        <w:keepNext/>
        <w:spacing w:before="240" w:after="60" w:line="240" w:lineRule="auto"/>
        <w:ind w:left="0" w:right="0"/>
        <w:outlineLvl w:val="2"/>
        <w:rPr>
          <w:rFonts w:ascii="Calibri" w:hAnsi="Calibri" w:cs="Arial"/>
          <w:b/>
          <w:bCs/>
          <w:szCs w:val="26"/>
        </w:rPr>
      </w:pPr>
      <w:r w:rsidRPr="004F2694">
        <w:rPr>
          <w:rFonts w:ascii="Calibri" w:hAnsi="Calibri" w:cs="Arial"/>
          <w:b/>
          <w:bCs/>
          <w:szCs w:val="26"/>
        </w:rPr>
        <w:t>Kateterburen ablation</w:t>
      </w:r>
    </w:p>
    <w:p w14:paraId="107D1C49"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r w:rsidRPr="004F2694">
        <w:rPr>
          <w:szCs w:val="20"/>
        </w:rPr>
        <w:t>Ablation sker antingen genom värmning med radiofrekvensenergi (RF-ablation) eller frysning, s.k. kryoteknik.  Katetrar förs in i hjärtat genom ven och artär, d.v.s. kan läggas både i höger- och vänsterhjärtat. Det senare nås idag oftast via transseptal punktion i förmaken. Det ”sjuka” området lokaliseras och värms eller fryses. Extra överledningsbanor mellan förmak och kammare (WPW-syndrom) och AV-nodala återkopplingstakykardier behandlas framgångsrikt på detta sätt. Bot fås i 90-95% av fallen. Vid förmaksfladder och ektopisk förmakstakykardi är framgångsfrekvensen 70-90%. Vid vissa ventrikeltakykardier kan den också användas.</w:t>
      </w:r>
    </w:p>
    <w:p w14:paraId="2AB2C3B5"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r w:rsidRPr="004F2694">
        <w:rPr>
          <w:szCs w:val="20"/>
        </w:rPr>
        <w:t xml:space="preserve">Lungvensisolering är en kateterburen behandling av förmaksflimmer, se vidare under förmaksflimmer. </w:t>
      </w:r>
    </w:p>
    <w:p w14:paraId="270AD085"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r w:rsidRPr="004F2694">
        <w:rPr>
          <w:szCs w:val="20"/>
        </w:rPr>
        <w:t xml:space="preserve">En variant av ablation är His-ablatio där man åstadkommer ett AV-block för att frekvensreglera svårbehandlade förmaksflimmer. Pacemakerbehandling behövs då (inlagt minst 4 veckor innan His-ablation). </w:t>
      </w:r>
    </w:p>
    <w:p w14:paraId="64EE4905" w14:textId="77777777" w:rsidR="004F2694" w:rsidRPr="004F2694" w:rsidRDefault="004F2694" w:rsidP="004F2694">
      <w:pPr>
        <w:keepNext/>
        <w:spacing w:before="240" w:after="60" w:line="240" w:lineRule="auto"/>
        <w:ind w:left="0" w:right="0"/>
        <w:outlineLvl w:val="2"/>
        <w:rPr>
          <w:rFonts w:ascii="Calibri" w:hAnsi="Calibri" w:cs="Arial"/>
          <w:b/>
          <w:bCs/>
          <w:szCs w:val="26"/>
        </w:rPr>
      </w:pPr>
      <w:r w:rsidRPr="004F2694">
        <w:rPr>
          <w:rFonts w:ascii="Calibri" w:hAnsi="Calibri" w:cs="Arial"/>
          <w:b/>
          <w:bCs/>
          <w:szCs w:val="26"/>
        </w:rPr>
        <w:t>Kirurgisk arytmibehandling</w:t>
      </w:r>
    </w:p>
    <w:p w14:paraId="24742254" w14:textId="77777777" w:rsidR="004F2694" w:rsidRPr="004F2694" w:rsidRDefault="004F2694" w:rsidP="004F2694">
      <w:pPr>
        <w:tabs>
          <w:tab w:val="left" w:pos="0"/>
          <w:tab w:val="left" w:pos="1296"/>
          <w:tab w:val="left" w:pos="2592"/>
          <w:tab w:val="left" w:pos="3888"/>
          <w:tab w:val="left" w:pos="5184"/>
          <w:tab w:val="left" w:pos="6480"/>
          <w:tab w:val="left" w:pos="7776"/>
          <w:tab w:val="left" w:pos="9072"/>
          <w:tab w:val="left" w:pos="10368"/>
        </w:tabs>
        <w:autoSpaceDE w:val="0"/>
        <w:spacing w:after="0" w:line="240" w:lineRule="auto"/>
        <w:ind w:left="0" w:right="0"/>
        <w:rPr>
          <w:szCs w:val="20"/>
        </w:rPr>
      </w:pPr>
      <w:r w:rsidRPr="004F2694">
        <w:rPr>
          <w:szCs w:val="20"/>
        </w:rPr>
        <w:t>Exempel är kirurgisk ablation av arytmifokus vid kammartakykardier, aneurysmektomi vid kammartakykardi och mazeoperation vid förmaksflimmer. Peroperativ kryoablation av förmaksflimmer kan användas i samband med thoraxkirurgi.</w:t>
      </w:r>
    </w:p>
    <w:p w14:paraId="1655BE5E" w14:textId="77777777" w:rsidR="004F2694" w:rsidRPr="004F2694" w:rsidRDefault="004F2694" w:rsidP="004F2694">
      <w:pPr>
        <w:spacing w:after="0" w:line="240" w:lineRule="auto"/>
        <w:ind w:left="0" w:right="0"/>
        <w:rPr>
          <w:szCs w:val="20"/>
        </w:rPr>
      </w:pPr>
    </w:p>
    <w:p w14:paraId="7274EB6B" w14:textId="77777777" w:rsidR="004F2694" w:rsidRPr="004F2694" w:rsidRDefault="004F2694" w:rsidP="004F2694">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4F269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8F3561"/>
    <w:multiLevelType w:val="hybridMultilevel"/>
    <w:tmpl w:val="0D1C5074"/>
    <w:lvl w:ilvl="0" w:tplc="60C6FD54">
      <w:start w:val="1"/>
      <w:numFmt w:val="bullet"/>
      <w:lvlText w:val=""/>
      <w:lvlJc w:val="left"/>
      <w:pPr>
        <w:tabs>
          <w:tab w:val="num" w:pos="720"/>
        </w:tabs>
        <w:ind w:left="720" w:hanging="360"/>
      </w:pPr>
      <w:rPr>
        <w:rFonts w:ascii="Symbol" w:hAnsi="Symbol" w:hint="default"/>
      </w:rPr>
    </w:lvl>
    <w:lvl w:ilvl="1" w:tplc="4C5258BE" w:tentative="1">
      <w:start w:val="1"/>
      <w:numFmt w:val="bullet"/>
      <w:lvlText w:val="o"/>
      <w:lvlJc w:val="left"/>
      <w:pPr>
        <w:tabs>
          <w:tab w:val="num" w:pos="1440"/>
        </w:tabs>
        <w:ind w:left="1440" w:hanging="360"/>
      </w:pPr>
      <w:rPr>
        <w:rFonts w:ascii="Courier New" w:hAnsi="Courier New" w:hint="default"/>
      </w:rPr>
    </w:lvl>
    <w:lvl w:ilvl="2" w:tplc="E4145354" w:tentative="1">
      <w:start w:val="1"/>
      <w:numFmt w:val="bullet"/>
      <w:lvlText w:val=""/>
      <w:lvlJc w:val="left"/>
      <w:pPr>
        <w:tabs>
          <w:tab w:val="num" w:pos="2160"/>
        </w:tabs>
        <w:ind w:left="2160" w:hanging="360"/>
      </w:pPr>
      <w:rPr>
        <w:rFonts w:ascii="Wingdings" w:hAnsi="Wingdings" w:hint="default"/>
      </w:rPr>
    </w:lvl>
    <w:lvl w:ilvl="3" w:tplc="357C2996" w:tentative="1">
      <w:start w:val="1"/>
      <w:numFmt w:val="bullet"/>
      <w:lvlText w:val=""/>
      <w:lvlJc w:val="left"/>
      <w:pPr>
        <w:tabs>
          <w:tab w:val="num" w:pos="2880"/>
        </w:tabs>
        <w:ind w:left="2880" w:hanging="360"/>
      </w:pPr>
      <w:rPr>
        <w:rFonts w:ascii="Symbol" w:hAnsi="Symbol" w:hint="default"/>
      </w:rPr>
    </w:lvl>
    <w:lvl w:ilvl="4" w:tplc="D5941170" w:tentative="1">
      <w:start w:val="1"/>
      <w:numFmt w:val="bullet"/>
      <w:lvlText w:val="o"/>
      <w:lvlJc w:val="left"/>
      <w:pPr>
        <w:tabs>
          <w:tab w:val="num" w:pos="3600"/>
        </w:tabs>
        <w:ind w:left="3600" w:hanging="360"/>
      </w:pPr>
      <w:rPr>
        <w:rFonts w:ascii="Courier New" w:hAnsi="Courier New" w:hint="default"/>
      </w:rPr>
    </w:lvl>
    <w:lvl w:ilvl="5" w:tplc="51488D16" w:tentative="1">
      <w:start w:val="1"/>
      <w:numFmt w:val="bullet"/>
      <w:lvlText w:val=""/>
      <w:lvlJc w:val="left"/>
      <w:pPr>
        <w:tabs>
          <w:tab w:val="num" w:pos="4320"/>
        </w:tabs>
        <w:ind w:left="4320" w:hanging="360"/>
      </w:pPr>
      <w:rPr>
        <w:rFonts w:ascii="Wingdings" w:hAnsi="Wingdings" w:hint="default"/>
      </w:rPr>
    </w:lvl>
    <w:lvl w:ilvl="6" w:tplc="FBF0AEB2" w:tentative="1">
      <w:start w:val="1"/>
      <w:numFmt w:val="bullet"/>
      <w:lvlText w:val=""/>
      <w:lvlJc w:val="left"/>
      <w:pPr>
        <w:tabs>
          <w:tab w:val="num" w:pos="5040"/>
        </w:tabs>
        <w:ind w:left="5040" w:hanging="360"/>
      </w:pPr>
      <w:rPr>
        <w:rFonts w:ascii="Symbol" w:hAnsi="Symbol" w:hint="default"/>
      </w:rPr>
    </w:lvl>
    <w:lvl w:ilvl="7" w:tplc="5224AA1C" w:tentative="1">
      <w:start w:val="1"/>
      <w:numFmt w:val="bullet"/>
      <w:lvlText w:val="o"/>
      <w:lvlJc w:val="left"/>
      <w:pPr>
        <w:tabs>
          <w:tab w:val="num" w:pos="5760"/>
        </w:tabs>
        <w:ind w:left="5760" w:hanging="360"/>
      </w:pPr>
      <w:rPr>
        <w:rFonts w:ascii="Courier New" w:hAnsi="Courier New" w:hint="default"/>
      </w:rPr>
    </w:lvl>
    <w:lvl w:ilvl="8" w:tplc="6BAE667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B347A4E"/>
    <w:multiLevelType w:val="hybridMultilevel"/>
    <w:tmpl w:val="94724AE2"/>
    <w:lvl w:ilvl="0" w:tplc="32C2A332">
      <w:start w:val="1"/>
      <w:numFmt w:val="bullet"/>
      <w:lvlText w:val=""/>
      <w:lvlJc w:val="left"/>
      <w:pPr>
        <w:tabs>
          <w:tab w:val="num" w:pos="720"/>
        </w:tabs>
        <w:ind w:left="720" w:hanging="360"/>
      </w:pPr>
      <w:rPr>
        <w:rFonts w:ascii="Symbol" w:hAnsi="Symbol" w:hint="default"/>
      </w:rPr>
    </w:lvl>
    <w:lvl w:ilvl="1" w:tplc="27149BB2" w:tentative="1">
      <w:start w:val="1"/>
      <w:numFmt w:val="bullet"/>
      <w:lvlText w:val="o"/>
      <w:lvlJc w:val="left"/>
      <w:pPr>
        <w:tabs>
          <w:tab w:val="num" w:pos="1440"/>
        </w:tabs>
        <w:ind w:left="1440" w:hanging="360"/>
      </w:pPr>
      <w:rPr>
        <w:rFonts w:ascii="Courier New" w:hAnsi="Courier New" w:hint="default"/>
      </w:rPr>
    </w:lvl>
    <w:lvl w:ilvl="2" w:tplc="A94AF278" w:tentative="1">
      <w:start w:val="1"/>
      <w:numFmt w:val="bullet"/>
      <w:lvlText w:val=""/>
      <w:lvlJc w:val="left"/>
      <w:pPr>
        <w:tabs>
          <w:tab w:val="num" w:pos="2160"/>
        </w:tabs>
        <w:ind w:left="2160" w:hanging="360"/>
      </w:pPr>
      <w:rPr>
        <w:rFonts w:ascii="Wingdings" w:hAnsi="Wingdings" w:hint="default"/>
      </w:rPr>
    </w:lvl>
    <w:lvl w:ilvl="3" w:tplc="87DA2130" w:tentative="1">
      <w:start w:val="1"/>
      <w:numFmt w:val="bullet"/>
      <w:lvlText w:val=""/>
      <w:lvlJc w:val="left"/>
      <w:pPr>
        <w:tabs>
          <w:tab w:val="num" w:pos="2880"/>
        </w:tabs>
        <w:ind w:left="2880" w:hanging="360"/>
      </w:pPr>
      <w:rPr>
        <w:rFonts w:ascii="Symbol" w:hAnsi="Symbol" w:hint="default"/>
      </w:rPr>
    </w:lvl>
    <w:lvl w:ilvl="4" w:tplc="9DA079B0" w:tentative="1">
      <w:start w:val="1"/>
      <w:numFmt w:val="bullet"/>
      <w:lvlText w:val="o"/>
      <w:lvlJc w:val="left"/>
      <w:pPr>
        <w:tabs>
          <w:tab w:val="num" w:pos="3600"/>
        </w:tabs>
        <w:ind w:left="3600" w:hanging="360"/>
      </w:pPr>
      <w:rPr>
        <w:rFonts w:ascii="Courier New" w:hAnsi="Courier New" w:hint="default"/>
      </w:rPr>
    </w:lvl>
    <w:lvl w:ilvl="5" w:tplc="F98034F0" w:tentative="1">
      <w:start w:val="1"/>
      <w:numFmt w:val="bullet"/>
      <w:lvlText w:val=""/>
      <w:lvlJc w:val="left"/>
      <w:pPr>
        <w:tabs>
          <w:tab w:val="num" w:pos="4320"/>
        </w:tabs>
        <w:ind w:left="4320" w:hanging="360"/>
      </w:pPr>
      <w:rPr>
        <w:rFonts w:ascii="Wingdings" w:hAnsi="Wingdings" w:hint="default"/>
      </w:rPr>
    </w:lvl>
    <w:lvl w:ilvl="6" w:tplc="3E328656" w:tentative="1">
      <w:start w:val="1"/>
      <w:numFmt w:val="bullet"/>
      <w:lvlText w:val=""/>
      <w:lvlJc w:val="left"/>
      <w:pPr>
        <w:tabs>
          <w:tab w:val="num" w:pos="5040"/>
        </w:tabs>
        <w:ind w:left="5040" w:hanging="360"/>
      </w:pPr>
      <w:rPr>
        <w:rFonts w:ascii="Symbol" w:hAnsi="Symbol" w:hint="default"/>
      </w:rPr>
    </w:lvl>
    <w:lvl w:ilvl="7" w:tplc="3140B45A" w:tentative="1">
      <w:start w:val="1"/>
      <w:numFmt w:val="bullet"/>
      <w:lvlText w:val="o"/>
      <w:lvlJc w:val="left"/>
      <w:pPr>
        <w:tabs>
          <w:tab w:val="num" w:pos="5760"/>
        </w:tabs>
        <w:ind w:left="5760" w:hanging="360"/>
      </w:pPr>
      <w:rPr>
        <w:rFonts w:ascii="Courier New" w:hAnsi="Courier New" w:hint="default"/>
      </w:rPr>
    </w:lvl>
    <w:lvl w:ilvl="8" w:tplc="98162AA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71409764">
    <w:abstractNumId w:val="19"/>
  </w:num>
  <w:num w:numId="2" w16cid:durableId="1395200954">
    <w:abstractNumId w:val="15"/>
  </w:num>
  <w:num w:numId="3" w16cid:durableId="1198619538">
    <w:abstractNumId w:val="0"/>
  </w:num>
  <w:num w:numId="4" w16cid:durableId="928931217">
    <w:abstractNumId w:val="6"/>
  </w:num>
  <w:num w:numId="5" w16cid:durableId="520434650">
    <w:abstractNumId w:val="17"/>
  </w:num>
  <w:num w:numId="6" w16cid:durableId="97411981">
    <w:abstractNumId w:val="2"/>
  </w:num>
  <w:num w:numId="7" w16cid:durableId="1416900337">
    <w:abstractNumId w:val="11"/>
  </w:num>
  <w:num w:numId="8" w16cid:durableId="696471915">
    <w:abstractNumId w:val="8"/>
  </w:num>
  <w:num w:numId="9" w16cid:durableId="821890231">
    <w:abstractNumId w:val="1"/>
  </w:num>
  <w:num w:numId="10" w16cid:durableId="383060983">
    <w:abstractNumId w:val="1"/>
  </w:num>
  <w:num w:numId="11" w16cid:durableId="1145970270">
    <w:abstractNumId w:val="3"/>
  </w:num>
  <w:num w:numId="12" w16cid:durableId="2140149005">
    <w:abstractNumId w:val="4"/>
  </w:num>
  <w:num w:numId="13" w16cid:durableId="984166766">
    <w:abstractNumId w:val="14"/>
  </w:num>
  <w:num w:numId="14" w16cid:durableId="1790080501">
    <w:abstractNumId w:val="9"/>
  </w:num>
  <w:num w:numId="15" w16cid:durableId="583297157">
    <w:abstractNumId w:val="7"/>
  </w:num>
  <w:num w:numId="16" w16cid:durableId="493573277">
    <w:abstractNumId w:val="13"/>
  </w:num>
  <w:num w:numId="17" w16cid:durableId="656690690">
    <w:abstractNumId w:val="5"/>
  </w:num>
  <w:num w:numId="18" w16cid:durableId="1859276965">
    <w:abstractNumId w:val="10"/>
  </w:num>
  <w:num w:numId="19" w16cid:durableId="341905741">
    <w:abstractNumId w:val="18"/>
  </w:num>
  <w:num w:numId="20" w16cid:durableId="1065296562">
    <w:abstractNumId w:val="16"/>
  </w:num>
  <w:num w:numId="21" w16cid:durableId="7513960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2694"/>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b:Sources xmlns:b="http://schemas.openxmlformats.org/officeDocument/2006/bibliography" xmlns="http://schemas.openxmlformats.org/officeDocument/2006/bibliography" SelectedStyle="/APA.XSL" StyleName="APA"/>
</file>

<file path=customXml/itemProps4.xml><?xml version="1.0" encoding="utf-8"?>
<ds:datastoreItem xmlns:ds="http://schemas.openxmlformats.org/officeDocument/2006/customXml" ds:itemID="{938201C9-E0BF-43DF-B9B1-4596869D9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3</Pages>
  <Words>995</Words>
  <Characters>5278</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6261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Arytmier - allmänt om arytmier</dc:title>
  <dc:subject/>
  <dc:creator>patrik.jens.johansson@vgregion.se</dc:creator>
  <keywords/>
  <lastModifiedBy>TK.SpStyMigProd</lastModifiedBy>
  <revision>2</revision>
  <lastPrinted>2016-03-31T10:56:00.0000000Z</lastPrinted>
  <dcterms:created xsi:type="dcterms:W3CDTF">2022-05-04T03:32:00.0000000Z</dcterms:created>
  <dcterms:modified xsi:type="dcterms:W3CDTF">2022-05-04T03:32:00.0000000Z</dcterms:modified>
</coreProperties>
</file>