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0F4B5" w14:textId="77777777" w:rsidR="002E6A0C" w:rsidRDefault="002E6A0C" w:rsidP="00F35B05">
      <w:pPr>
        <w:pStyle w:val="Rubrik2"/>
        <w:sectPr w:rsidR="002E6A0C" w:rsidSect="002E6A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B241ED" w14:textId="77777777" w:rsidR="002E6A0C" w:rsidRPr="002E6A0C" w:rsidRDefault="002E6A0C" w:rsidP="002E6A0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E6A0C">
        <w:rPr>
          <w:szCs w:val="20"/>
        </w:rPr>
        <w:tab/>
      </w:r>
    </w:p>
    <w:p w14:paraId="6E97F10B" w14:textId="00C513F5" w:rsidR="002E6A0C" w:rsidRPr="002E6A0C" w:rsidRDefault="002E6A0C" w:rsidP="002E6A0C">
      <w:pPr>
        <w:spacing w:after="0" w:line="240" w:lineRule="auto"/>
        <w:ind w:left="0" w:right="-568"/>
        <w:rPr>
          <w:szCs w:val="20"/>
        </w:rPr>
      </w:pPr>
      <w:r w:rsidRPr="002E6A0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AB8C38" wp14:editId="5B12F16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2F29D7" w14:textId="77777777" w:rsidR="002E6A0C" w:rsidRPr="003D37FD" w:rsidRDefault="002E6A0C" w:rsidP="002E6A0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27122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1AB8C3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D2F29D7" w14:textId="77777777" w:rsidR="002E6A0C" w:rsidRPr="003D37FD" w:rsidRDefault="002E6A0C" w:rsidP="002E6A0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27122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235" w:type="dxa"/>
        <w:tblInd w:w="-70" w:type="dxa"/>
        <w:tblLayout w:type="fixed"/>
        <w:tblLook w:val="01E0" w:firstRow="1" w:lastRow="1" w:firstColumn="1" w:lastColumn="1" w:noHBand="0" w:noVBand="0"/>
      </w:tblPr>
      <w:tblGrid>
        <w:gridCol w:w="9235"/>
      </w:tblGrid>
      <w:tr w:rsidR="002E6A0C" w:rsidRPr="002E6A0C" w14:paraId="6C2D29E4" w14:textId="77777777" w:rsidTr="0098418B">
        <w:trPr>
          <w:cantSplit/>
          <w:trHeight w:val="488"/>
        </w:trPr>
        <w:tc>
          <w:tcPr>
            <w:tcW w:w="9235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6072BEE" w14:textId="77777777" w:rsidR="002E6A0C" w:rsidRPr="002E6A0C" w:rsidRDefault="002E6A0C" w:rsidP="002E6A0C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2E6A0C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Antikoagulantia i samband med operativa ingrepp på Hjärtcentrum NU-sjukvården</w:t>
            </w:r>
          </w:p>
        </w:tc>
      </w:tr>
    </w:tbl>
    <w:p w14:paraId="1BAD0744" w14:textId="77777777" w:rsidR="002E6A0C" w:rsidRPr="002E6A0C" w:rsidRDefault="002E6A0C" w:rsidP="002E6A0C">
      <w:pPr>
        <w:spacing w:after="0" w:line="240" w:lineRule="auto"/>
        <w:ind w:left="0" w:right="0"/>
        <w:rPr>
          <w:vanish/>
          <w:szCs w:val="20"/>
        </w:rPr>
      </w:pPr>
    </w:p>
    <w:tbl>
      <w:tblPr>
        <w:tblpPr w:leftFromText="141" w:rightFromText="141" w:vertAnchor="text" w:horzAnchor="margin" w:tblpY="318"/>
        <w:tblW w:w="9384" w:type="dxa"/>
        <w:tblCellMar>
          <w:left w:w="70" w:type="dxa"/>
          <w:right w:w="70" w:type="dxa"/>
        </w:tblCellMar>
        <w:tblLook w:val="0420" w:firstRow="1" w:lastRow="0" w:firstColumn="0" w:lastColumn="0" w:noHBand="0" w:noVBand="1"/>
      </w:tblPr>
      <w:tblGrid>
        <w:gridCol w:w="1919"/>
        <w:gridCol w:w="1538"/>
        <w:gridCol w:w="1531"/>
        <w:gridCol w:w="1526"/>
        <w:gridCol w:w="1470"/>
        <w:gridCol w:w="1400"/>
      </w:tblGrid>
      <w:tr w:rsidR="002E6A0C" w:rsidRPr="002E6A0C" w14:paraId="7B146E84" w14:textId="77777777" w:rsidTr="0098418B">
        <w:trPr>
          <w:trHeight w:val="270"/>
        </w:trPr>
        <w:tc>
          <w:tcPr>
            <w:tcW w:w="1919" w:type="dxa"/>
            <w:tcBorders>
              <w:top w:val="single" w:sz="8" w:space="0" w:color="FFFFFF"/>
              <w:left w:val="single" w:sz="8" w:space="0" w:color="FFFFFF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57FC83DC" w14:textId="1FB96706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0000"/>
                <w:szCs w:val="20"/>
              </w:rPr>
            </w:pPr>
            <w:r w:rsidRPr="002E6A0C">
              <w:rPr>
                <w:rFonts w:ascii="Calibri" w:hAnsi="Calibri"/>
                <w:b/>
                <w:bCs/>
                <w:color w:val="FF0000"/>
                <w:szCs w:val="20"/>
              </w:rPr>
              <w:t xml:space="preserve">  </w:t>
            </w:r>
            <w:proofErr w:type="spellStart"/>
            <w:r w:rsidR="00D0299A">
              <w:rPr>
                <w:rFonts w:ascii="Calibri" w:hAnsi="Calibri"/>
                <w:b/>
                <w:bCs/>
                <w:color w:val="FF0000"/>
                <w:szCs w:val="20"/>
              </w:rPr>
              <w:t>Deviceoperation</w:t>
            </w:r>
            <w:proofErr w:type="spellEnd"/>
          </w:p>
        </w:tc>
        <w:tc>
          <w:tcPr>
            <w:tcW w:w="1538" w:type="dxa"/>
            <w:tcBorders>
              <w:top w:val="single" w:sz="8" w:space="0" w:color="FFFFFF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0D5B65B1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Waran</w:t>
            </w:r>
          </w:p>
        </w:tc>
        <w:tc>
          <w:tcPr>
            <w:tcW w:w="1531" w:type="dxa"/>
            <w:tcBorders>
              <w:top w:val="single" w:sz="8" w:space="0" w:color="FFFFFF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0658F7D1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proofErr w:type="spellStart"/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Dabigatran</w:t>
            </w:r>
            <w:proofErr w:type="spellEnd"/>
          </w:p>
        </w:tc>
        <w:tc>
          <w:tcPr>
            <w:tcW w:w="1526" w:type="dxa"/>
            <w:tcBorders>
              <w:top w:val="single" w:sz="8" w:space="0" w:color="FFFFFF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1E27CF77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proofErr w:type="spellStart"/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Rivaroxaban</w:t>
            </w:r>
            <w:proofErr w:type="spellEnd"/>
          </w:p>
        </w:tc>
        <w:tc>
          <w:tcPr>
            <w:tcW w:w="1470" w:type="dxa"/>
            <w:tcBorders>
              <w:top w:val="single" w:sz="8" w:space="0" w:color="FFFFFF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784EC718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proofErr w:type="spellStart"/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Apixaban</w:t>
            </w:r>
            <w:proofErr w:type="spellEnd"/>
          </w:p>
        </w:tc>
        <w:tc>
          <w:tcPr>
            <w:tcW w:w="1400" w:type="dxa"/>
            <w:tcBorders>
              <w:top w:val="single" w:sz="8" w:space="0" w:color="FFFFFF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0138CCC6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LMWH</w:t>
            </w:r>
          </w:p>
        </w:tc>
      </w:tr>
      <w:tr w:rsidR="002E6A0C" w:rsidRPr="002E6A0C" w14:paraId="3FAF75D5" w14:textId="77777777" w:rsidTr="0098418B">
        <w:trPr>
          <w:trHeight w:val="270"/>
        </w:trPr>
        <w:tc>
          <w:tcPr>
            <w:tcW w:w="1919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59E0ACB2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Preop uppehåll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1B4E1FE1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Inget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1F29ADD7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24h (GFR &gt;50)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1CFEE64D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24h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79D5DF9A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24h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1CF009AA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&gt;12h</w:t>
            </w:r>
          </w:p>
        </w:tc>
      </w:tr>
      <w:tr w:rsidR="002E6A0C" w:rsidRPr="002E6A0C" w14:paraId="048B3C62" w14:textId="77777777" w:rsidTr="0098418B">
        <w:trPr>
          <w:trHeight w:val="270"/>
        </w:trPr>
        <w:tc>
          <w:tcPr>
            <w:tcW w:w="1919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49483343" w14:textId="1C6ECFA2" w:rsidR="002E6A0C" w:rsidRPr="002E6A0C" w:rsidRDefault="002E6A0C" w:rsidP="00D0299A">
            <w:pPr>
              <w:spacing w:after="0" w:line="240" w:lineRule="auto"/>
              <w:ind w:left="0" w:right="0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71E364BB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 INR ≤2.6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3B9C6081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48h (GFR &lt;50)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792F1764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36h (</w:t>
            </w:r>
            <w:proofErr w:type="gramStart"/>
            <w:r w:rsidRPr="002E6A0C">
              <w:rPr>
                <w:rFonts w:ascii="Calibri" w:hAnsi="Calibri"/>
                <w:color w:val="000000"/>
                <w:szCs w:val="20"/>
              </w:rPr>
              <w:t>GFR&lt;</w:t>
            </w:r>
            <w:proofErr w:type="gramEnd"/>
            <w:r w:rsidRPr="002E6A0C">
              <w:rPr>
                <w:rFonts w:ascii="Calibri" w:hAnsi="Calibri"/>
                <w:color w:val="000000"/>
                <w:szCs w:val="20"/>
              </w:rPr>
              <w:t>30)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1EA15210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36h (</w:t>
            </w:r>
            <w:proofErr w:type="gramStart"/>
            <w:r w:rsidRPr="002E6A0C">
              <w:rPr>
                <w:rFonts w:ascii="Calibri" w:hAnsi="Calibri"/>
                <w:color w:val="000000"/>
                <w:szCs w:val="20"/>
              </w:rPr>
              <w:t>GFR&lt;</w:t>
            </w:r>
            <w:proofErr w:type="gramEnd"/>
            <w:r w:rsidRPr="002E6A0C">
              <w:rPr>
                <w:rFonts w:ascii="Calibri" w:hAnsi="Calibri"/>
                <w:color w:val="000000"/>
                <w:szCs w:val="20"/>
              </w:rPr>
              <w:t>30)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2DD5F7AC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</w:tr>
      <w:tr w:rsidR="002E6A0C" w:rsidRPr="002E6A0C" w14:paraId="16C34EFA" w14:textId="77777777" w:rsidTr="0098418B">
        <w:trPr>
          <w:trHeight w:val="257"/>
        </w:trPr>
        <w:tc>
          <w:tcPr>
            <w:tcW w:w="1919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6C98263C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Återinsätt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23FFB333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Fortsätt oför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238A787B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Kvällsdos </w:t>
            </w:r>
            <w:proofErr w:type="spellStart"/>
            <w:r w:rsidRPr="002E6A0C">
              <w:rPr>
                <w:rFonts w:ascii="Calibri" w:hAnsi="Calibri"/>
                <w:color w:val="000000"/>
                <w:szCs w:val="20"/>
              </w:rPr>
              <w:t>op</w:t>
            </w:r>
            <w:proofErr w:type="spellEnd"/>
            <w:r w:rsidRPr="002E6A0C">
              <w:rPr>
                <w:rFonts w:ascii="Calibri" w:hAnsi="Calibri"/>
                <w:color w:val="000000"/>
                <w:szCs w:val="20"/>
              </w:rPr>
              <w:t>-dag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123CCF11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Dagen efter </w:t>
            </w:r>
            <w:proofErr w:type="spellStart"/>
            <w:r w:rsidRPr="002E6A0C">
              <w:rPr>
                <w:rFonts w:ascii="Calibri" w:hAnsi="Calibri"/>
                <w:color w:val="000000"/>
                <w:szCs w:val="20"/>
              </w:rPr>
              <w:t>op</w:t>
            </w:r>
            <w:proofErr w:type="spellEnd"/>
          </w:p>
        </w:tc>
        <w:tc>
          <w:tcPr>
            <w:tcW w:w="1470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41E0847C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Dagen efter </w:t>
            </w:r>
            <w:proofErr w:type="spellStart"/>
            <w:r w:rsidRPr="002E6A0C">
              <w:rPr>
                <w:rFonts w:ascii="Calibri" w:hAnsi="Calibri"/>
                <w:color w:val="000000"/>
                <w:szCs w:val="20"/>
              </w:rPr>
              <w:t>op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5D47638F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Efter 2-3dgr</w:t>
            </w:r>
          </w:p>
        </w:tc>
      </w:tr>
      <w:tr w:rsidR="002E6A0C" w:rsidRPr="002E6A0C" w14:paraId="0C8E915F" w14:textId="77777777" w:rsidTr="0098418B">
        <w:trPr>
          <w:trHeight w:val="270"/>
        </w:trPr>
        <w:tc>
          <w:tcPr>
            <w:tcW w:w="1919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5DB9811E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309B53DC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51ECF158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09F38F52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 36h (</w:t>
            </w:r>
            <w:proofErr w:type="gramStart"/>
            <w:r w:rsidRPr="002E6A0C">
              <w:rPr>
                <w:rFonts w:ascii="Calibri" w:hAnsi="Calibri"/>
                <w:color w:val="000000"/>
                <w:szCs w:val="20"/>
              </w:rPr>
              <w:t>GFR&lt;</w:t>
            </w:r>
            <w:proofErr w:type="gramEnd"/>
            <w:r w:rsidRPr="002E6A0C">
              <w:rPr>
                <w:rFonts w:ascii="Calibri" w:hAnsi="Calibri"/>
                <w:color w:val="000000"/>
                <w:szCs w:val="20"/>
              </w:rPr>
              <w:t>30)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5FCDE1CD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36h (</w:t>
            </w:r>
            <w:proofErr w:type="gramStart"/>
            <w:r w:rsidRPr="002E6A0C">
              <w:rPr>
                <w:rFonts w:ascii="Calibri" w:hAnsi="Calibri"/>
                <w:color w:val="000000"/>
                <w:szCs w:val="20"/>
              </w:rPr>
              <w:t>GFR&lt;</w:t>
            </w:r>
            <w:proofErr w:type="gramEnd"/>
            <w:r w:rsidRPr="002E6A0C">
              <w:rPr>
                <w:rFonts w:ascii="Calibri" w:hAnsi="Calibri"/>
                <w:color w:val="000000"/>
                <w:szCs w:val="20"/>
              </w:rPr>
              <w:t>30)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785C6B55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</w:tr>
      <w:tr w:rsidR="002E6A0C" w:rsidRPr="002E6A0C" w14:paraId="28CDF3F4" w14:textId="77777777" w:rsidTr="0098418B">
        <w:trPr>
          <w:trHeight w:val="270"/>
        </w:trPr>
        <w:tc>
          <w:tcPr>
            <w:tcW w:w="1919" w:type="dxa"/>
            <w:tcBorders>
              <w:top w:val="nil"/>
              <w:left w:val="single" w:sz="8" w:space="0" w:color="FFFFFF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7F76B873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0000"/>
                <w:szCs w:val="20"/>
              </w:rPr>
            </w:pPr>
            <w:proofErr w:type="spellStart"/>
            <w:r w:rsidRPr="002E6A0C">
              <w:rPr>
                <w:rFonts w:ascii="Calibri" w:hAnsi="Calibri"/>
                <w:b/>
                <w:bCs/>
                <w:color w:val="FF0000"/>
                <w:szCs w:val="20"/>
              </w:rPr>
              <w:t>Koronarangio</w:t>
            </w:r>
            <w:proofErr w:type="spellEnd"/>
            <w:r w:rsidRPr="002E6A0C">
              <w:rPr>
                <w:rFonts w:ascii="Calibri" w:hAnsi="Calibri"/>
                <w:b/>
                <w:bCs/>
                <w:color w:val="FF0000"/>
                <w:szCs w:val="20"/>
              </w:rPr>
              <w:t>/PCI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088F0705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Waran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720D0C60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proofErr w:type="spellStart"/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Dabigatran</w:t>
            </w:r>
            <w:proofErr w:type="spellEnd"/>
          </w:p>
        </w:tc>
        <w:tc>
          <w:tcPr>
            <w:tcW w:w="1526" w:type="dxa"/>
            <w:tcBorders>
              <w:top w:val="nil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79A0BC9A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proofErr w:type="spellStart"/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Rivaroxaban</w:t>
            </w:r>
            <w:proofErr w:type="spellEnd"/>
          </w:p>
        </w:tc>
        <w:tc>
          <w:tcPr>
            <w:tcW w:w="1470" w:type="dxa"/>
            <w:tcBorders>
              <w:top w:val="nil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2670585B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proofErr w:type="spellStart"/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Apixaban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12" w:space="0" w:color="FFFFFF"/>
              <w:right w:val="single" w:sz="8" w:space="0" w:color="FFFFFF"/>
            </w:tcBorders>
            <w:shd w:val="clear" w:color="000000" w:fill="5B9BD5"/>
            <w:vAlign w:val="center"/>
            <w:hideMark/>
          </w:tcPr>
          <w:p w14:paraId="3EFA7100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FFFFFF"/>
                <w:szCs w:val="20"/>
              </w:rPr>
            </w:pPr>
            <w:r w:rsidRPr="002E6A0C">
              <w:rPr>
                <w:rFonts w:ascii="Calibri" w:hAnsi="Calibri"/>
                <w:b/>
                <w:bCs/>
                <w:color w:val="FFFFFF"/>
                <w:szCs w:val="20"/>
              </w:rPr>
              <w:t>LMWH</w:t>
            </w:r>
          </w:p>
        </w:tc>
      </w:tr>
      <w:tr w:rsidR="002E6A0C" w:rsidRPr="002E6A0C" w14:paraId="3F88B07D" w14:textId="77777777" w:rsidTr="0098418B">
        <w:trPr>
          <w:trHeight w:val="270"/>
        </w:trPr>
        <w:tc>
          <w:tcPr>
            <w:tcW w:w="1919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0014A126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Preop uppehåll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3276E98D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Inget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16EA894A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Ej morgon för </w:t>
            </w:r>
            <w:proofErr w:type="spellStart"/>
            <w:r w:rsidRPr="002E6A0C">
              <w:rPr>
                <w:rFonts w:ascii="Calibri" w:hAnsi="Calibri"/>
                <w:color w:val="000000"/>
                <w:szCs w:val="20"/>
              </w:rPr>
              <w:t>op</w:t>
            </w:r>
            <w:proofErr w:type="spellEnd"/>
          </w:p>
        </w:tc>
        <w:tc>
          <w:tcPr>
            <w:tcW w:w="1526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3EA18C70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Ej morgon för </w:t>
            </w:r>
            <w:proofErr w:type="spellStart"/>
            <w:r w:rsidRPr="002E6A0C">
              <w:rPr>
                <w:rFonts w:ascii="Calibri" w:hAnsi="Calibri"/>
                <w:color w:val="000000"/>
                <w:szCs w:val="20"/>
              </w:rPr>
              <w:t>op</w:t>
            </w:r>
            <w:proofErr w:type="spellEnd"/>
          </w:p>
        </w:tc>
        <w:tc>
          <w:tcPr>
            <w:tcW w:w="1470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56957323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Ej morgon för </w:t>
            </w:r>
            <w:proofErr w:type="spellStart"/>
            <w:r w:rsidRPr="002E6A0C">
              <w:rPr>
                <w:rFonts w:ascii="Calibri" w:hAnsi="Calibri"/>
                <w:color w:val="000000"/>
                <w:szCs w:val="20"/>
              </w:rPr>
              <w:t>op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3E6EE65F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Halverad dos</w:t>
            </w:r>
          </w:p>
        </w:tc>
      </w:tr>
      <w:tr w:rsidR="002E6A0C" w:rsidRPr="002E6A0C" w14:paraId="5869B3B3" w14:textId="77777777" w:rsidTr="0098418B">
        <w:trPr>
          <w:trHeight w:val="257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000000" w:fill="D2DEEF"/>
            <w:vAlign w:val="center"/>
            <w:hideMark/>
          </w:tcPr>
          <w:p w14:paraId="79E78D6A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  <w:tc>
          <w:tcPr>
            <w:tcW w:w="1538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43290BD3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proofErr w:type="gramStart"/>
            <w:r w:rsidRPr="002E6A0C">
              <w:rPr>
                <w:rFonts w:ascii="Calibri" w:hAnsi="Calibri"/>
                <w:color w:val="000000"/>
                <w:szCs w:val="20"/>
              </w:rPr>
              <w:t>INR  ≤</w:t>
            </w:r>
            <w:proofErr w:type="gramEnd"/>
            <w:r w:rsidRPr="002E6A0C">
              <w:rPr>
                <w:rFonts w:ascii="Calibri" w:hAnsi="Calibri"/>
                <w:color w:val="000000"/>
                <w:szCs w:val="20"/>
              </w:rPr>
              <w:t>2.8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D2DEEF"/>
            <w:vAlign w:val="center"/>
            <w:hideMark/>
          </w:tcPr>
          <w:p w14:paraId="18B78249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  <w:tc>
          <w:tcPr>
            <w:tcW w:w="152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530DDBD2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55B6F50F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FFFFFF"/>
            </w:tcBorders>
            <w:shd w:val="clear" w:color="000000" w:fill="D2DEEF"/>
            <w:vAlign w:val="center"/>
            <w:hideMark/>
          </w:tcPr>
          <w:p w14:paraId="66E41E42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bCs/>
                <w:color w:val="000000"/>
                <w:szCs w:val="20"/>
              </w:rPr>
            </w:pPr>
            <w:r w:rsidRPr="002E6A0C">
              <w:rPr>
                <w:rFonts w:ascii="Calibri" w:hAnsi="Calibri"/>
                <w:b/>
                <w:bCs/>
                <w:color w:val="000000"/>
                <w:szCs w:val="20"/>
              </w:rPr>
              <w:t> </w:t>
            </w:r>
          </w:p>
        </w:tc>
      </w:tr>
      <w:tr w:rsidR="002E6A0C" w:rsidRPr="002E6A0C" w14:paraId="3EA35040" w14:textId="77777777" w:rsidTr="0098418B">
        <w:trPr>
          <w:trHeight w:val="270"/>
        </w:trPr>
        <w:tc>
          <w:tcPr>
            <w:tcW w:w="1919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6A1FBF2E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Återinsätt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5EF629CA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Fortsätt oför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24AE21AC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Kvällsdos </w:t>
            </w:r>
            <w:proofErr w:type="spellStart"/>
            <w:r w:rsidRPr="002E6A0C">
              <w:rPr>
                <w:rFonts w:ascii="Calibri" w:hAnsi="Calibri"/>
                <w:color w:val="000000"/>
                <w:szCs w:val="20"/>
              </w:rPr>
              <w:t>op</w:t>
            </w:r>
            <w:proofErr w:type="spellEnd"/>
            <w:r w:rsidRPr="002E6A0C">
              <w:rPr>
                <w:rFonts w:ascii="Calibri" w:hAnsi="Calibri"/>
                <w:color w:val="000000"/>
                <w:szCs w:val="20"/>
              </w:rPr>
              <w:t>-dag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474E7D8E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Dagen efter </w:t>
            </w:r>
            <w:proofErr w:type="spellStart"/>
            <w:r w:rsidRPr="002E6A0C">
              <w:rPr>
                <w:rFonts w:ascii="Calibri" w:hAnsi="Calibri"/>
                <w:color w:val="000000"/>
                <w:szCs w:val="20"/>
              </w:rPr>
              <w:t>op</w:t>
            </w:r>
            <w:proofErr w:type="spellEnd"/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293381A9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 xml:space="preserve">Kvällsdos </w:t>
            </w:r>
            <w:proofErr w:type="spellStart"/>
            <w:r w:rsidRPr="002E6A0C">
              <w:rPr>
                <w:rFonts w:ascii="Calibri" w:hAnsi="Calibri"/>
                <w:color w:val="000000"/>
                <w:szCs w:val="20"/>
              </w:rPr>
              <w:t>op</w:t>
            </w:r>
            <w:proofErr w:type="spellEnd"/>
            <w:r w:rsidRPr="002E6A0C">
              <w:rPr>
                <w:rFonts w:ascii="Calibri" w:hAnsi="Calibri"/>
                <w:color w:val="000000"/>
                <w:szCs w:val="20"/>
              </w:rPr>
              <w:t>-dag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AEFF7"/>
            <w:vAlign w:val="center"/>
            <w:hideMark/>
          </w:tcPr>
          <w:p w14:paraId="3801F867" w14:textId="77777777" w:rsidR="002E6A0C" w:rsidRPr="002E6A0C" w:rsidRDefault="002E6A0C" w:rsidP="002E6A0C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color w:val="000000"/>
                <w:szCs w:val="20"/>
              </w:rPr>
            </w:pPr>
            <w:r w:rsidRPr="002E6A0C">
              <w:rPr>
                <w:rFonts w:ascii="Calibri" w:hAnsi="Calibri"/>
                <w:color w:val="000000"/>
                <w:szCs w:val="20"/>
              </w:rPr>
              <w:t>Oförändrat</w:t>
            </w:r>
          </w:p>
        </w:tc>
      </w:tr>
    </w:tbl>
    <w:p w14:paraId="1A4A7002" w14:textId="77777777" w:rsidR="002E6A0C" w:rsidRPr="002E6A0C" w:rsidRDefault="002E6A0C" w:rsidP="002E6A0C">
      <w:pPr>
        <w:spacing w:after="0" w:line="240" w:lineRule="auto"/>
        <w:ind w:left="0" w:right="0"/>
        <w:rPr>
          <w:szCs w:val="20"/>
        </w:rPr>
      </w:pPr>
    </w:p>
    <w:p w14:paraId="34B7BE84" w14:textId="77777777" w:rsidR="002E6A0C" w:rsidRPr="002E6A0C" w:rsidRDefault="002E6A0C" w:rsidP="002E6A0C">
      <w:pPr>
        <w:spacing w:after="0" w:line="240" w:lineRule="auto"/>
        <w:ind w:left="0" w:right="0"/>
        <w:rPr>
          <w:szCs w:val="20"/>
        </w:rPr>
      </w:pPr>
    </w:p>
    <w:p w14:paraId="081493DD" w14:textId="77777777" w:rsidR="002E6A0C" w:rsidRPr="002E6A0C" w:rsidRDefault="002E6A0C" w:rsidP="002E6A0C">
      <w:pPr>
        <w:spacing w:after="0" w:line="240" w:lineRule="auto"/>
        <w:ind w:left="0" w:right="-993"/>
        <w:rPr>
          <w:szCs w:val="20"/>
        </w:rPr>
      </w:pPr>
      <w:r w:rsidRPr="002E6A0C">
        <w:rPr>
          <w:szCs w:val="20"/>
        </w:rPr>
        <w:t xml:space="preserve">För patienter som står på oral </w:t>
      </w:r>
      <w:proofErr w:type="spellStart"/>
      <w:r w:rsidRPr="002E6A0C">
        <w:rPr>
          <w:szCs w:val="20"/>
        </w:rPr>
        <w:t>antikoagulantia</w:t>
      </w:r>
      <w:proofErr w:type="spellEnd"/>
      <w:r w:rsidRPr="002E6A0C">
        <w:rPr>
          <w:szCs w:val="20"/>
        </w:rPr>
        <w:t xml:space="preserve"> och insjuknar med akut </w:t>
      </w:r>
      <w:proofErr w:type="spellStart"/>
      <w:r w:rsidRPr="002E6A0C">
        <w:rPr>
          <w:szCs w:val="20"/>
        </w:rPr>
        <w:t>koronart</w:t>
      </w:r>
      <w:proofErr w:type="spellEnd"/>
    </w:p>
    <w:p w14:paraId="18794AD2" w14:textId="77777777" w:rsidR="002E6A0C" w:rsidRPr="002E6A0C" w:rsidRDefault="002E6A0C" w:rsidP="002E6A0C">
      <w:pPr>
        <w:spacing w:after="0" w:line="240" w:lineRule="auto"/>
        <w:ind w:left="0" w:right="-993"/>
        <w:rPr>
          <w:szCs w:val="20"/>
        </w:rPr>
      </w:pPr>
      <w:r w:rsidRPr="002E6A0C">
        <w:rPr>
          <w:szCs w:val="20"/>
        </w:rPr>
        <w:t xml:space="preserve">syndrom påbörjas behandling med ASA i akutskedet inför eventuell </w:t>
      </w:r>
      <w:proofErr w:type="spellStart"/>
      <w:r w:rsidRPr="002E6A0C">
        <w:rPr>
          <w:szCs w:val="20"/>
        </w:rPr>
        <w:t>koronarangiografi</w:t>
      </w:r>
      <w:proofErr w:type="spellEnd"/>
      <w:r w:rsidRPr="002E6A0C">
        <w:rPr>
          <w:szCs w:val="20"/>
        </w:rPr>
        <w:t xml:space="preserve">. Lågmolekylärt heparin skall ej ges vid terapeutiskt </w:t>
      </w:r>
      <w:proofErr w:type="spellStart"/>
      <w:r w:rsidRPr="002E6A0C">
        <w:rPr>
          <w:szCs w:val="20"/>
        </w:rPr>
        <w:t>pk</w:t>
      </w:r>
      <w:proofErr w:type="spellEnd"/>
      <w:r w:rsidRPr="002E6A0C">
        <w:rPr>
          <w:szCs w:val="20"/>
        </w:rPr>
        <w:t xml:space="preserve"> eller när patienten har tagit NOAC som ordinerat. Efter genomgången PCI bör patienten behandlas med oral </w:t>
      </w:r>
      <w:proofErr w:type="spellStart"/>
      <w:r w:rsidRPr="002E6A0C">
        <w:rPr>
          <w:szCs w:val="20"/>
        </w:rPr>
        <w:t>antikoagulantia</w:t>
      </w:r>
      <w:proofErr w:type="spellEnd"/>
      <w:r w:rsidRPr="002E6A0C">
        <w:rPr>
          <w:szCs w:val="20"/>
        </w:rPr>
        <w:t xml:space="preserve"> (NOAC föredras före Waran) i kombination med ASA 75 mg 1X1 och </w:t>
      </w:r>
      <w:proofErr w:type="spellStart"/>
      <w:r w:rsidRPr="002E6A0C">
        <w:rPr>
          <w:szCs w:val="20"/>
        </w:rPr>
        <w:t>Klopidogrel</w:t>
      </w:r>
      <w:proofErr w:type="spellEnd"/>
      <w:r w:rsidRPr="002E6A0C">
        <w:rPr>
          <w:szCs w:val="20"/>
        </w:rPr>
        <w:t xml:space="preserve"> 75mg 1X1 i en vecka och därefter oral </w:t>
      </w:r>
      <w:proofErr w:type="spellStart"/>
      <w:r w:rsidRPr="002E6A0C">
        <w:rPr>
          <w:szCs w:val="20"/>
        </w:rPr>
        <w:t>antikoagulantia</w:t>
      </w:r>
      <w:proofErr w:type="spellEnd"/>
      <w:r w:rsidRPr="002E6A0C">
        <w:rPr>
          <w:szCs w:val="20"/>
        </w:rPr>
        <w:t xml:space="preserve"> i kombination med </w:t>
      </w:r>
      <w:proofErr w:type="spellStart"/>
      <w:r w:rsidRPr="002E6A0C">
        <w:rPr>
          <w:szCs w:val="20"/>
        </w:rPr>
        <w:t>Klopidogrel</w:t>
      </w:r>
      <w:proofErr w:type="spellEnd"/>
      <w:r w:rsidRPr="002E6A0C">
        <w:rPr>
          <w:szCs w:val="20"/>
        </w:rPr>
        <w:t xml:space="preserve"> 75mg 1X1 i 12 månader. Därefter oral </w:t>
      </w:r>
      <w:proofErr w:type="spellStart"/>
      <w:r w:rsidRPr="002E6A0C">
        <w:rPr>
          <w:szCs w:val="20"/>
        </w:rPr>
        <w:t>antikoagulantia</w:t>
      </w:r>
      <w:proofErr w:type="spellEnd"/>
      <w:r w:rsidRPr="002E6A0C">
        <w:rPr>
          <w:szCs w:val="20"/>
        </w:rPr>
        <w:t xml:space="preserve"> i monoterapi. Men tiden av trippel, respektive dubbel behandling framgår från PCI-utlåtandet vid speciella fall. </w:t>
      </w:r>
    </w:p>
    <w:p w14:paraId="00382359" w14:textId="77777777" w:rsidR="002E6A0C" w:rsidRPr="002E6A0C" w:rsidRDefault="002E6A0C" w:rsidP="002E6A0C">
      <w:pPr>
        <w:spacing w:after="0" w:line="240" w:lineRule="auto"/>
        <w:ind w:left="0" w:right="-993"/>
        <w:rPr>
          <w:sz w:val="22"/>
          <w:szCs w:val="20"/>
        </w:rPr>
      </w:pPr>
      <w:r w:rsidRPr="002E6A0C">
        <w:rPr>
          <w:szCs w:val="20"/>
        </w:rPr>
        <w:t>Tänk på frikostig behandling med protonpumpshämmare.</w:t>
      </w:r>
    </w:p>
    <w:p w14:paraId="04B0C4A2" w14:textId="77777777" w:rsidR="002E6A0C" w:rsidRPr="002E6A0C" w:rsidRDefault="002E6A0C" w:rsidP="002E6A0C">
      <w:pPr>
        <w:spacing w:after="0" w:line="240" w:lineRule="auto"/>
        <w:ind w:left="0" w:right="-993"/>
        <w:rPr>
          <w:b/>
          <w:bCs/>
          <w:color w:val="1F497D"/>
          <w:szCs w:val="20"/>
          <w:shd w:val="clear" w:color="auto" w:fill="FFFFFF"/>
        </w:rPr>
      </w:pPr>
    </w:p>
    <w:p w14:paraId="0C743048" w14:textId="77777777" w:rsidR="002E6A0C" w:rsidRPr="002E6A0C" w:rsidRDefault="002E6A0C" w:rsidP="002E6A0C">
      <w:pPr>
        <w:spacing w:after="0" w:line="240" w:lineRule="auto"/>
        <w:ind w:left="0" w:right="-993"/>
        <w:rPr>
          <w:szCs w:val="20"/>
        </w:rPr>
      </w:pPr>
      <w:r w:rsidRPr="002E6A0C">
        <w:rPr>
          <w:b/>
          <w:bCs/>
          <w:color w:val="1F497D"/>
          <w:szCs w:val="20"/>
          <w:shd w:val="clear" w:color="auto" w:fill="FFFFFF"/>
        </w:rPr>
        <w:t xml:space="preserve">I vissa fall (exempelvis förhöjd blödningsrisk/ökad propprisk) krävs en individuell bedömning avseende nytta/risk med </w:t>
      </w:r>
      <w:proofErr w:type="spellStart"/>
      <w:r w:rsidRPr="002E6A0C">
        <w:rPr>
          <w:b/>
          <w:bCs/>
          <w:color w:val="1F497D"/>
          <w:szCs w:val="20"/>
          <w:shd w:val="clear" w:color="auto" w:fill="FFFFFF"/>
        </w:rPr>
        <w:t>antikoagulantia</w:t>
      </w:r>
      <w:proofErr w:type="spellEnd"/>
      <w:r w:rsidRPr="002E6A0C">
        <w:rPr>
          <w:b/>
          <w:bCs/>
          <w:color w:val="1F497D"/>
          <w:szCs w:val="20"/>
          <w:shd w:val="clear" w:color="auto" w:fill="FFFFFF"/>
        </w:rPr>
        <w:t>-strategi i samband med operation, gärna i samråd med interventionist.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E6A0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675DB" w14:textId="77777777" w:rsidR="003C57AD" w:rsidRDefault="003C57AD">
      <w:r>
        <w:separator/>
      </w:r>
    </w:p>
  </w:endnote>
  <w:endnote w:type="continuationSeparator" w:id="0">
    <w:p w14:paraId="292C35D3" w14:textId="77777777" w:rsidR="003C57AD" w:rsidRDefault="003C57AD">
      <w:r>
        <w:continuationSeparator/>
      </w:r>
    </w:p>
  </w:endnote>
  <w:endnote w:type="continuationNotice" w:id="1">
    <w:p w14:paraId="1189FB04" w14:textId="77777777" w:rsidR="003C57AD" w:rsidRDefault="003C57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05374D" w14:textId="77777777" w:rsidR="003C57AD" w:rsidRDefault="003C57AD"/>
  </w:footnote>
  <w:footnote w:type="continuationSeparator" w:id="0">
    <w:p w14:paraId="21D4F59A" w14:textId="77777777" w:rsidR="003C57AD" w:rsidRDefault="003C57AD">
      <w:r>
        <w:continuationSeparator/>
      </w:r>
    </w:p>
  </w:footnote>
  <w:footnote w:type="continuationNotice" w:id="1">
    <w:p w14:paraId="5C2018DE" w14:textId="77777777" w:rsidR="003C57AD" w:rsidRDefault="003C57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5903559">
    <w:abstractNumId w:val="17"/>
  </w:num>
  <w:num w:numId="2" w16cid:durableId="1027175272">
    <w:abstractNumId w:val="14"/>
  </w:num>
  <w:num w:numId="3" w16cid:durableId="1629704704">
    <w:abstractNumId w:val="0"/>
  </w:num>
  <w:num w:numId="4" w16cid:durableId="887952536">
    <w:abstractNumId w:val="6"/>
  </w:num>
  <w:num w:numId="5" w16cid:durableId="1195078953">
    <w:abstractNumId w:val="15"/>
  </w:num>
  <w:num w:numId="6" w16cid:durableId="845746701">
    <w:abstractNumId w:val="2"/>
  </w:num>
  <w:num w:numId="7" w16cid:durableId="1077239810">
    <w:abstractNumId w:val="11"/>
  </w:num>
  <w:num w:numId="8" w16cid:durableId="452942855">
    <w:abstractNumId w:val="8"/>
  </w:num>
  <w:num w:numId="9" w16cid:durableId="947004329">
    <w:abstractNumId w:val="1"/>
  </w:num>
  <w:num w:numId="10" w16cid:durableId="1992171307">
    <w:abstractNumId w:val="1"/>
  </w:num>
  <w:num w:numId="11" w16cid:durableId="862598853">
    <w:abstractNumId w:val="3"/>
  </w:num>
  <w:num w:numId="12" w16cid:durableId="2054572334">
    <w:abstractNumId w:val="4"/>
  </w:num>
  <w:num w:numId="13" w16cid:durableId="1349987729">
    <w:abstractNumId w:val="13"/>
  </w:num>
  <w:num w:numId="14" w16cid:durableId="1832259056">
    <w:abstractNumId w:val="9"/>
  </w:num>
  <w:num w:numId="15" w16cid:durableId="26031208">
    <w:abstractNumId w:val="7"/>
  </w:num>
  <w:num w:numId="16" w16cid:durableId="605432664">
    <w:abstractNumId w:val="12"/>
  </w:num>
  <w:num w:numId="17" w16cid:durableId="115956044">
    <w:abstractNumId w:val="5"/>
  </w:num>
  <w:num w:numId="18" w16cid:durableId="195428478">
    <w:abstractNumId w:val="10"/>
  </w:num>
  <w:num w:numId="19" w16cid:durableId="3165714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A0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8FE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7A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D0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21E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99A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246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Antikoagulantia i samband med operativa ingrepp på Hjärtcentrum NU-sjukvården</dc:title>
  <dc:subject/>
  <dc:creator>patrik.jens.johansson@vgregion.se</dc:creator>
  <keywords/>
  <lastModifiedBy>Emma Husberg</lastModifiedBy>
  <revision>4</revision>
  <lastPrinted>2016-03-31T10:56:00.0000000Z</lastPrinted>
  <dcterms:created xsi:type="dcterms:W3CDTF">2022-05-04T03:32:00.0000000Z</dcterms:created>
  <dcterms:modified xsi:type="dcterms:W3CDTF">2026-02-24T11:44:00.0000000Z</dcterms:modified>
</coreProperties>
</file>