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C0FA8" w:rsidP="00F35B05" w:rsidRDefault="004C0FA8" w14:paraId="7D5D00CB" w14:textId="77777777">
      <w:pPr>
        <w:pStyle w:val="Heading2"/>
        <w:sectPr w:rsidR="004C0FA8" w:rsidSect="004C0F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C0FA8" w:rsidR="004C0FA8" w:rsidP="004C0FA8" w:rsidRDefault="004C0FA8" w14:paraId="46805771" w14:textId="77777777">
      <w:pPr>
        <w:spacing w:after="0" w:line="240" w:lineRule="auto"/>
        <w:ind w:left="0" w:right="0"/>
        <w:rPr>
          <w:szCs w:val="20"/>
        </w:rPr>
      </w:pPr>
    </w:p>
    <w:p w:rsidRPr="004C0FA8" w:rsidR="004C0FA8" w:rsidP="004C0FA8" w:rsidRDefault="004C0FA8" w14:paraId="44A77306" w14:textId="77777777">
      <w:pPr>
        <w:spacing w:after="0" w:line="240" w:lineRule="auto"/>
        <w:ind w:left="0" w:right="0"/>
        <w:rPr>
          <w:szCs w:val="20"/>
        </w:rPr>
      </w:pPr>
    </w:p>
    <w:p w:rsidRPr="004C0FA8" w:rsidR="004C0FA8" w:rsidP="004C0FA8" w:rsidRDefault="004C0FA8" w14:paraId="66F49960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C0FA8">
        <w:rPr>
          <w:szCs w:val="20"/>
        </w:rPr>
        <w:tab/>
      </w:r>
    </w:p>
    <w:p w:rsidRPr="004C0FA8" w:rsidR="004C0FA8" w:rsidP="004C0FA8" w:rsidRDefault="004C0FA8" w14:paraId="50ACDCCD" w14:textId="495CFBC8">
      <w:pPr>
        <w:spacing w:after="0" w:line="240" w:lineRule="auto"/>
        <w:ind w:left="0" w:right="0"/>
        <w:rPr>
          <w:szCs w:val="20"/>
        </w:rPr>
      </w:pPr>
      <w:r w:rsidRPr="004C0FA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D85B49" wp14:editId="59F93B1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C0FA8" w:rsidP="004C0FA8" w:rsidRDefault="004C0FA8" w14:paraId="4132C1D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8912B19">
              <v:shapetype id="_x0000_t202" coordsize="21600,21600" o:spt="202" path="m,l,21600r21600,l21600,xe" w14:anchorId="02D85B49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C0FA8" w:rsidP="004C0FA8" w:rsidRDefault="004C0FA8" w14:paraId="4138E62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C0FA8" w:rsidR="004C0FA8" w:rsidTr="00F169E2" w14:paraId="0F97886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C0FA8" w:rsidR="004C0FA8" w:rsidP="004C0FA8" w:rsidRDefault="004C0FA8" w14:paraId="129F980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C0FA8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Amiodaron (Cordarone)</w:t>
            </w:r>
          </w:p>
        </w:tc>
      </w:tr>
    </w:tbl>
    <w:p w:rsidRPr="004C0FA8" w:rsidR="004C0FA8" w:rsidP="004C0FA8" w:rsidRDefault="004C0FA8" w14:paraId="4357AA2F" w14:textId="77777777">
      <w:pPr>
        <w:spacing w:after="0" w:line="240" w:lineRule="auto"/>
        <w:ind w:left="0" w:right="0"/>
        <w:rPr>
          <w:bCs/>
          <w:iCs/>
        </w:rPr>
      </w:pPr>
    </w:p>
    <w:p w:rsidRPr="004C0FA8" w:rsidR="004C0FA8" w:rsidP="004C0FA8" w:rsidRDefault="004C0FA8" w14:paraId="1528A8B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4FF08899" w:rsidR="004C0FA8">
        <w:rPr>
          <w:rFonts w:ascii="Arial" w:hAnsi="Arial" w:cs="Arial"/>
          <w:b w:val="1"/>
          <w:bCs w:val="1"/>
          <w:sz w:val="26"/>
          <w:szCs w:val="26"/>
        </w:rPr>
        <w:t xml:space="preserve">Revidering i denna version </w:t>
      </w:r>
      <w:bookmarkEnd w:id="3"/>
    </w:p>
    <w:p w:rsidR="60BECAB1" w:rsidP="4FF08899" w:rsidRDefault="60BECAB1" w14:paraId="45F7F3C0" w14:textId="5746129A">
      <w:pPr>
        <w:keepNext w:val="1"/>
        <w:spacing w:before="240" w:after="60" w:line="240" w:lineRule="auto"/>
        <w:ind w:left="0" w:right="0"/>
        <w:outlineLvl w:val="1"/>
      </w:pPr>
      <w:r w:rsidR="60BECAB1">
        <w:rPr/>
        <w:t>Nytt under in</w:t>
      </w:r>
      <w:r w:rsidR="7E875EDB">
        <w:rPr/>
        <w:t>teraktioner</w:t>
      </w:r>
      <w:r w:rsidR="60BECAB1">
        <w:rPr/>
        <w:t xml:space="preserve"> och uppföljning</w:t>
      </w:r>
    </w:p>
    <w:p w:rsidRPr="004C0FA8" w:rsidR="004C0FA8" w:rsidP="004C0FA8" w:rsidRDefault="004C0FA8" w14:paraId="672A49F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C0FA8">
        <w:rPr>
          <w:rFonts w:ascii="Arial" w:hAnsi="Arial" w:cs="Arial"/>
          <w:b/>
          <w:bCs/>
          <w:iCs/>
          <w:sz w:val="26"/>
          <w:szCs w:val="28"/>
        </w:rPr>
        <w:br/>
      </w:r>
      <w:r w:rsidRPr="004C0FA8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:rsidRPr="004C0FA8" w:rsidR="004C0FA8" w:rsidP="004C0FA8" w:rsidRDefault="004C0FA8" w14:paraId="5C64D309" w14:textId="77777777">
      <w:pPr>
        <w:spacing w:after="0" w:line="240" w:lineRule="auto"/>
        <w:ind w:left="0" w:right="0"/>
        <w:rPr>
          <w:rFonts w:ascii="Arial" w:hAnsi="Arial"/>
          <w:sz w:val="26"/>
          <w:szCs w:val="28"/>
        </w:rPr>
      </w:pPr>
      <w:r w:rsidRPr="004C0FA8">
        <w:rPr>
          <w:color w:val="000000"/>
        </w:rPr>
        <w:t>Allvarlig symtomgivande supraventrikulär och ventrikulär takyarytmi. Frekvensreglering och konvertering</w:t>
      </w:r>
      <w:r w:rsidRPr="004C0FA8">
        <w:t xml:space="preserve"> av</w:t>
      </w:r>
      <w:r w:rsidRPr="004C0FA8">
        <w:rPr>
          <w:color w:val="000000"/>
        </w:rPr>
        <w:t xml:space="preserve"> förmaksflimmer. </w:t>
      </w:r>
    </w:p>
    <w:p w:rsidRPr="004C0FA8" w:rsidR="004C0FA8" w:rsidP="4FF08899" w:rsidRDefault="004C0FA8" w14:paraId="2300EA98" w14:textId="77777777">
      <w:pPr>
        <w:spacing w:after="0" w:line="240" w:lineRule="auto"/>
        <w:ind w:left="0" w:right="0" w:firstLine="0"/>
      </w:pPr>
    </w:p>
    <w:p w:rsidR="5C0A1AF2" w:rsidP="4FF08899" w:rsidRDefault="5C0A1AF2" w14:paraId="59A14311" w14:textId="7563133C">
      <w:pPr>
        <w:spacing w:before="0" w:beforeAutospacing="off" w:after="0" w:afterAutospacing="off"/>
        <w:ind w:left="0"/>
        <w:rPr>
          <w:rFonts w:ascii="Times New Roman" w:hAnsi="Times New Roman" w:eastAsia="Times New Roman" w:cs="Times New Roman"/>
          <w:b w:val="1"/>
          <w:bCs w:val="1"/>
          <w:noProof w:val="0"/>
          <w:color w:val="000000" w:themeColor="text2" w:themeTint="FF" w:themeShade="FF"/>
          <w:sz w:val="24"/>
          <w:szCs w:val="24"/>
          <w:lang w:val="sv-SE"/>
        </w:rPr>
      </w:pPr>
      <w:r w:rsidRPr="4FF08899" w:rsidR="5C0A1AF2">
        <w:rPr>
          <w:rFonts w:ascii="Times New Roman" w:hAnsi="Times New Roman" w:eastAsia="Times New Roman" w:cs="Times New Roman"/>
          <w:b w:val="1"/>
          <w:bCs w:val="1"/>
          <w:noProof w:val="0"/>
          <w:color w:val="000000" w:themeColor="text2" w:themeTint="FF" w:themeShade="FF"/>
          <w:sz w:val="24"/>
          <w:szCs w:val="24"/>
          <w:lang w:val="sv-SE"/>
        </w:rPr>
        <w:t>Interaktioner</w:t>
      </w:r>
    </w:p>
    <w:p w:rsidR="5C0A1AF2" w:rsidP="4FF08899" w:rsidRDefault="5C0A1AF2" w14:paraId="4BD6E015" w14:textId="76F21F70">
      <w:pPr>
        <w:spacing w:before="0" w:beforeAutospacing="off" w:after="0" w:afterAutospacing="off"/>
        <w:ind w:left="0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4FF08899" w:rsidR="5C0A1AF2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Cordarone potentierar effekten av Waran och ökar serum </w:t>
      </w:r>
      <w:r w:rsidRPr="4FF08899" w:rsidR="5C0A1AF2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konc</w:t>
      </w:r>
      <w:r w:rsidRPr="4FF08899" w:rsidR="5C0A1AF2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 av </w:t>
      </w:r>
      <w:r w:rsidRPr="4FF08899" w:rsidR="5C0A1AF2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Digoxin</w:t>
      </w:r>
      <w:r w:rsidRPr="4FF08899" w:rsidR="5C0A1AF2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 med minst 50%</w:t>
      </w:r>
    </w:p>
    <w:p w:rsidR="4FF08899" w:rsidP="4FF08899" w:rsidRDefault="4FF08899" w14:paraId="31EE454A" w14:textId="27714893">
      <w:pPr>
        <w:spacing w:after="0" w:line="240" w:lineRule="auto"/>
        <w:ind w:left="0" w:right="0" w:firstLine="0"/>
      </w:pPr>
    </w:p>
    <w:p w:rsidRPr="004C0FA8" w:rsidR="004C0FA8" w:rsidP="004C0FA8" w:rsidRDefault="004C0FA8" w14:paraId="7534996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C0FA8">
        <w:rPr>
          <w:rFonts w:ascii="Arial" w:hAnsi="Arial" w:cs="Arial"/>
          <w:b/>
          <w:bCs/>
          <w:iCs/>
          <w:sz w:val="26"/>
          <w:szCs w:val="28"/>
        </w:rPr>
        <w:t>Före behandling</w:t>
      </w:r>
    </w:p>
    <w:p w:rsidRPr="004C0FA8" w:rsidR="004C0FA8" w:rsidP="004C0FA8" w:rsidRDefault="004C0FA8" w14:paraId="7DED78CD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>Ges helst i CVK då stor tromboflebitrisk föreligger eller använd en PVK i en stor ven, helst i armvecket.</w:t>
      </w:r>
    </w:p>
    <w:p w:rsidRPr="004C0FA8" w:rsidR="004C0FA8" w:rsidP="62D0F8E6" w:rsidRDefault="004C0FA8" w14:paraId="1A404AD5" w14:textId="42FD5659">
      <w:pPr>
        <w:numPr>
          <w:ilvl w:val="0"/>
          <w:numId w:val="21"/>
        </w:numPr>
        <w:spacing w:after="0" w:line="240" w:lineRule="auto"/>
        <w:ind w:right="0"/>
        <w:rPr/>
      </w:pPr>
      <w:r w:rsidR="004C0FA8">
        <w:rPr/>
        <w:t xml:space="preserve">Skall ej </w:t>
      </w:r>
      <w:r w:rsidR="2FB47853">
        <w:rPr/>
        <w:t>ges</w:t>
      </w:r>
      <w:r w:rsidR="004C0FA8">
        <w:rPr/>
        <w:t xml:space="preserve"> tillsammans med andra infusioner.</w:t>
      </w:r>
    </w:p>
    <w:p w:rsidRPr="004C0FA8" w:rsidR="004C0FA8" w:rsidP="004C0FA8" w:rsidRDefault="004C0FA8" w14:paraId="2F8398AF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>Thyreoidea-, el- och leverstatus skall tas före behandlingsstart.</w:t>
      </w:r>
    </w:p>
    <w:p w:rsidRPr="004C0FA8" w:rsidR="004C0FA8" w:rsidP="004C0FA8" w:rsidRDefault="004C0FA8" w14:paraId="66853A1A" w14:textId="77777777">
      <w:pPr>
        <w:autoSpaceDE w:val="0"/>
        <w:autoSpaceDN w:val="0"/>
        <w:adjustRightInd w:val="0"/>
        <w:spacing w:line="240" w:lineRule="auto"/>
        <w:ind w:left="0" w:right="844"/>
        <w:rPr>
          <w:b/>
          <w:bCs/>
          <w:szCs w:val="20"/>
        </w:rPr>
      </w:pPr>
    </w:p>
    <w:p w:rsidRPr="004C0FA8" w:rsidR="004C0FA8" w:rsidP="004C0FA8" w:rsidRDefault="004C0FA8" w14:paraId="2012F10E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C0FA8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4C0FA8" w:rsidR="004C0FA8" w:rsidP="004C0FA8" w:rsidRDefault="004C0FA8" w14:paraId="11B6785C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 xml:space="preserve">Amiodaron 50 mg/ml blandas med Glukos 50 mg/ml, (ej blandbart med NaCl pga risk för utfällning). </w:t>
      </w:r>
    </w:p>
    <w:p w:rsidRPr="004C0FA8" w:rsidR="004C0FA8" w:rsidP="004C0FA8" w:rsidRDefault="004C0FA8" w14:paraId="203425D5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 xml:space="preserve">Ges i volympump. </w:t>
      </w:r>
    </w:p>
    <w:p w:rsidRPr="004C0FA8" w:rsidR="004C0FA8" w:rsidP="004C0FA8" w:rsidRDefault="004C0FA8" w14:paraId="0B9C3001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>Hållbarhet 12 timmar.</w:t>
      </w:r>
    </w:p>
    <w:p w:rsidRPr="004C0FA8" w:rsidR="004C0FA8" w:rsidP="004C0FA8" w:rsidRDefault="004C0FA8" w14:paraId="01EA3EC1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C0FA8">
        <w:rPr>
          <w:rFonts w:ascii="Arial" w:hAnsi="Arial" w:cs="Arial"/>
          <w:b/>
          <w:bCs/>
          <w:iCs/>
          <w:sz w:val="26"/>
          <w:szCs w:val="28"/>
        </w:rPr>
        <w:br/>
      </w:r>
      <w:r w:rsidRPr="004C0FA8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4C0FA8" w:rsidR="004C0FA8" w:rsidP="004C0FA8" w:rsidRDefault="004C0FA8" w14:paraId="127621EC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C0FA8">
        <w:rPr>
          <w:rFonts w:ascii="Arial" w:hAnsi="Arial" w:cs="Arial"/>
          <w:b/>
          <w:bCs/>
          <w:szCs w:val="26"/>
        </w:rPr>
        <w:t>Intravenös infusion</w:t>
      </w:r>
    </w:p>
    <w:p w:rsidRPr="004C0FA8" w:rsidR="004C0FA8" w:rsidP="004C0FA8" w:rsidRDefault="004C0FA8" w14:paraId="590009DE" w14:textId="77777777">
      <w:pPr>
        <w:spacing w:after="0" w:line="240" w:lineRule="auto"/>
        <w:ind w:left="0" w:right="0"/>
        <w:rPr>
          <w:bCs/>
          <w:szCs w:val="20"/>
        </w:rPr>
      </w:pPr>
      <w:r w:rsidRPr="004C0FA8">
        <w:rPr>
          <w:szCs w:val="20"/>
        </w:rPr>
        <w:t>Intravenös infusion är att föredra närhelst det är möjligt. Initialt ges en bolusdos som intravenös infusion under 20 minuter till 2 timmar så långsamt som möjligt beroende på den kliniska bilden. Rekommenderad dos är 5 mg/kg (</w:t>
      </w:r>
      <w:r w:rsidRPr="004C0FA8">
        <w:rPr>
          <w:bCs/>
          <w:szCs w:val="20"/>
        </w:rPr>
        <w:t>ex 60 kg x 5 mg/kg = 300 mg</w:t>
      </w:r>
      <w:r w:rsidRPr="004C0FA8">
        <w:rPr>
          <w:szCs w:val="20"/>
        </w:rPr>
        <w:t xml:space="preserve">). Därefter kan ytterligare 15 mg/kg (max 900 mg) ges som upprepade infusioner under första dygnet, </w:t>
      </w:r>
      <w:r w:rsidRPr="004C0FA8">
        <w:rPr>
          <w:szCs w:val="20"/>
        </w:rPr>
        <w:t>där infusionshastigheten bestäms av läkare beroende på kliniskt svar. Även dos och behandlingstid ordineras av läkare.</w:t>
      </w:r>
      <w:r w:rsidRPr="004C0FA8">
        <w:rPr>
          <w:bCs/>
          <w:szCs w:val="20"/>
        </w:rPr>
        <w:t xml:space="preserve"> Maxdos 1200 mg/dygn.</w:t>
      </w:r>
    </w:p>
    <w:p w:rsidRPr="004C0FA8" w:rsidR="004C0FA8" w:rsidP="004C0FA8" w:rsidRDefault="004C0FA8" w14:paraId="71875DCA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C0FA8">
        <w:rPr>
          <w:rFonts w:ascii="Arial" w:hAnsi="Arial" w:cs="Arial"/>
          <w:b/>
          <w:bCs/>
          <w:szCs w:val="26"/>
        </w:rPr>
        <w:br/>
      </w:r>
      <w:r w:rsidRPr="004C0FA8">
        <w:rPr>
          <w:rFonts w:ascii="Arial" w:hAnsi="Arial" w:cs="Arial"/>
          <w:b/>
          <w:bCs/>
          <w:szCs w:val="26"/>
        </w:rPr>
        <w:t>Bolusdos i CVK eller PVK</w:t>
      </w:r>
    </w:p>
    <w:p w:rsidRPr="004C0FA8" w:rsidR="004C0FA8" w:rsidP="004C0FA8" w:rsidRDefault="004C0FA8" w14:paraId="71260DE8" w14:textId="77777777">
      <w:pPr>
        <w:spacing w:after="0" w:line="240" w:lineRule="auto"/>
        <w:ind w:left="0" w:right="0"/>
        <w:rPr>
          <w:szCs w:val="20"/>
        </w:rPr>
      </w:pPr>
      <w:r w:rsidRPr="004C0FA8">
        <w:rPr>
          <w:szCs w:val="20"/>
        </w:rPr>
        <w:t xml:space="preserve">Amiodaron 50 mg/ml </w:t>
      </w:r>
      <w:r w:rsidRPr="004C0FA8">
        <w:rPr>
          <w:i/>
          <w:szCs w:val="20"/>
        </w:rPr>
        <w:t>300mg (= 6ml)</w:t>
      </w:r>
      <w:r w:rsidRPr="004C0FA8">
        <w:rPr>
          <w:szCs w:val="20"/>
        </w:rPr>
        <w:t xml:space="preserve"> blandas med </w:t>
      </w:r>
      <w:r w:rsidRPr="004C0FA8">
        <w:rPr>
          <w:i/>
          <w:szCs w:val="20"/>
        </w:rPr>
        <w:t>250ml</w:t>
      </w:r>
      <w:r w:rsidRPr="004C0FA8">
        <w:rPr>
          <w:szCs w:val="20"/>
        </w:rPr>
        <w:t xml:space="preserve"> Glukos 50 mg/ml. Bolusdosen ges under en period av 20 min till 2 timmar och ordineras av ansvarig läkare. </w:t>
      </w:r>
    </w:p>
    <w:p w:rsidRPr="004C0FA8" w:rsidR="004C0FA8" w:rsidP="004C0FA8" w:rsidRDefault="004C0FA8" w14:paraId="5BF0837A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C0FA8">
        <w:rPr>
          <w:rFonts w:ascii="Arial" w:hAnsi="Arial" w:cs="Arial"/>
          <w:b/>
          <w:bCs/>
          <w:szCs w:val="26"/>
        </w:rPr>
        <w:t>Infusion i PVK</w:t>
      </w:r>
    </w:p>
    <w:p w:rsidRPr="004C0FA8" w:rsidR="004C0FA8" w:rsidP="004C0FA8" w:rsidRDefault="004C0FA8" w14:paraId="34F0C573" w14:textId="77777777">
      <w:pPr>
        <w:spacing w:after="0" w:line="240" w:lineRule="auto"/>
        <w:ind w:left="0" w:right="0"/>
        <w:rPr>
          <w:szCs w:val="20"/>
        </w:rPr>
      </w:pPr>
      <w:r w:rsidRPr="004C0FA8">
        <w:rPr>
          <w:szCs w:val="20"/>
        </w:rPr>
        <w:t xml:space="preserve">Amiodaron 50 mg/ml </w:t>
      </w:r>
      <w:r w:rsidRPr="004C0FA8">
        <w:rPr>
          <w:i/>
          <w:szCs w:val="20"/>
        </w:rPr>
        <w:t>450 mg (= 9 ml)</w:t>
      </w:r>
      <w:r w:rsidRPr="004C0FA8">
        <w:rPr>
          <w:szCs w:val="20"/>
        </w:rPr>
        <w:t xml:space="preserve"> blandas med </w:t>
      </w:r>
      <w:r w:rsidRPr="004C0FA8">
        <w:rPr>
          <w:i/>
          <w:szCs w:val="20"/>
        </w:rPr>
        <w:t>500ml</w:t>
      </w:r>
      <w:r w:rsidRPr="004C0FA8">
        <w:rPr>
          <w:szCs w:val="20"/>
        </w:rPr>
        <w:t xml:space="preserve"> Glukos 50 mg/ml. Infusionen ges på 12 timmar och vanligtvis upprepas denna infusion en gång till. Behandlingstiden ordineras av ansvarig läkare.</w:t>
      </w:r>
    </w:p>
    <w:p w:rsidRPr="004C0FA8" w:rsidR="004C0FA8" w:rsidP="004C0FA8" w:rsidRDefault="004C0FA8" w14:paraId="13D3965C" w14:textId="77777777">
      <w:pPr>
        <w:spacing w:after="0" w:line="240" w:lineRule="auto"/>
        <w:ind w:left="0" w:right="0"/>
        <w:rPr>
          <w:szCs w:val="20"/>
        </w:rPr>
      </w:pPr>
    </w:p>
    <w:p w:rsidRPr="004C0FA8" w:rsidR="004C0FA8" w:rsidP="004C0FA8" w:rsidRDefault="004C0FA8" w14:paraId="373C0923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C0FA8">
        <w:rPr>
          <w:rFonts w:ascii="Arial" w:hAnsi="Arial" w:cs="Arial"/>
          <w:b/>
          <w:bCs/>
          <w:szCs w:val="26"/>
        </w:rPr>
        <w:t>Infusion i CVK</w:t>
      </w:r>
    </w:p>
    <w:p w:rsidRPr="004C0FA8" w:rsidR="004C0FA8" w:rsidP="004C0FA8" w:rsidRDefault="004C0FA8" w14:paraId="153742A8" w14:textId="77777777">
      <w:pPr>
        <w:spacing w:after="0" w:line="240" w:lineRule="auto"/>
        <w:ind w:left="0" w:right="0"/>
        <w:rPr>
          <w:szCs w:val="20"/>
        </w:rPr>
      </w:pPr>
      <w:r w:rsidRPr="004C0FA8">
        <w:rPr>
          <w:szCs w:val="20"/>
        </w:rPr>
        <w:t xml:space="preserve">Amiodaron 50 mg/ml </w:t>
      </w:r>
      <w:r w:rsidRPr="004C0FA8">
        <w:rPr>
          <w:i/>
          <w:szCs w:val="20"/>
        </w:rPr>
        <w:t>450 mg (= 9 ml)</w:t>
      </w:r>
      <w:r w:rsidRPr="004C0FA8">
        <w:rPr>
          <w:szCs w:val="20"/>
        </w:rPr>
        <w:t xml:space="preserve"> blandas med </w:t>
      </w:r>
      <w:r w:rsidRPr="004C0FA8">
        <w:rPr>
          <w:i/>
          <w:szCs w:val="20"/>
        </w:rPr>
        <w:t>250 ml</w:t>
      </w:r>
      <w:r w:rsidRPr="004C0FA8">
        <w:rPr>
          <w:szCs w:val="20"/>
        </w:rPr>
        <w:t xml:space="preserve"> Glukos 50 mg/ml som ges på 12 timmar och vanligtvis upprepas denna infusion. Behandlingstiden ordineras av ansvarig läkare.</w:t>
      </w:r>
    </w:p>
    <w:p w:rsidRPr="004C0FA8" w:rsidR="004C0FA8" w:rsidP="004C0FA8" w:rsidRDefault="004C0FA8" w14:paraId="0404F0B1" w14:textId="77777777">
      <w:pPr>
        <w:spacing w:after="0" w:line="240" w:lineRule="auto"/>
        <w:ind w:left="0" w:right="0"/>
        <w:rPr>
          <w:szCs w:val="20"/>
        </w:rPr>
      </w:pPr>
    </w:p>
    <w:p w:rsidRPr="004C0FA8" w:rsidR="004C0FA8" w:rsidP="004C0FA8" w:rsidRDefault="004C0FA8" w14:paraId="4C92589E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C0FA8">
        <w:rPr>
          <w:rFonts w:ascii="Arial" w:hAnsi="Arial" w:cs="Arial"/>
          <w:b/>
          <w:bCs/>
          <w:szCs w:val="26"/>
        </w:rPr>
        <w:t xml:space="preserve">Intravenös injektion </w:t>
      </w:r>
    </w:p>
    <w:p w:rsidRPr="004C0FA8" w:rsidR="004C0FA8" w:rsidP="004C0FA8" w:rsidRDefault="004C0FA8" w14:paraId="255E8695" w14:textId="77777777">
      <w:pPr>
        <w:autoSpaceDE w:val="0"/>
        <w:autoSpaceDN w:val="0"/>
        <w:adjustRightInd w:val="0"/>
        <w:spacing w:line="240" w:lineRule="auto"/>
        <w:ind w:left="0" w:right="844"/>
        <w:rPr>
          <w:bCs/>
          <w:szCs w:val="20"/>
        </w:rPr>
      </w:pPr>
      <w:r w:rsidRPr="004C0FA8">
        <w:rPr>
          <w:bCs/>
          <w:szCs w:val="20"/>
        </w:rPr>
        <w:t xml:space="preserve">Intravenös injektion ska endast ges i nödsituationer när alternativ behandling har misslyckats </w:t>
      </w:r>
      <w:r w:rsidRPr="004C0FA8">
        <w:rPr>
          <w:szCs w:val="20"/>
        </w:rPr>
        <w:t>(pga hemodynamiska risker som svår hypotension, cirkulatorisk kollaps)</w:t>
      </w:r>
      <w:r w:rsidRPr="004C0FA8">
        <w:rPr>
          <w:bCs/>
          <w:szCs w:val="20"/>
        </w:rPr>
        <w:t xml:space="preserve">. 150-300 mg späds med Glukos 50 mg/ml till 20 ml och injiceras under minst 3 minuter. Intravenös injektion bör inte upprepas förrän 15 minuter efter den första injektionen. Vid avancerad hjärt-lungräddning vid ventrikelflimmer som inte svarar på defibrillering kan dock snabbare injicering vara nödvändig. </w:t>
      </w:r>
    </w:p>
    <w:p w:rsidRPr="004C0FA8" w:rsidR="004C0FA8" w:rsidP="004C0FA8" w:rsidRDefault="004C0FA8" w14:paraId="365DCC29" w14:textId="77777777">
      <w:pPr>
        <w:autoSpaceDE w:val="0"/>
        <w:autoSpaceDN w:val="0"/>
        <w:adjustRightInd w:val="0"/>
        <w:spacing w:line="240" w:lineRule="auto"/>
        <w:ind w:left="0" w:right="844"/>
        <w:rPr>
          <w:bCs/>
          <w:szCs w:val="20"/>
        </w:rPr>
      </w:pPr>
    </w:p>
    <w:p w:rsidRPr="004C0FA8" w:rsidR="004C0FA8" w:rsidP="004C0FA8" w:rsidRDefault="004C0FA8" w14:paraId="476E060E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C0FA8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4C0FA8" w:rsidR="004C0FA8" w:rsidP="004C0FA8" w:rsidRDefault="004C0FA8" w14:paraId="62EB13A9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>Stor risk för tromboflebit, ges i så stor PVK som möjligt eller överväg CVK.</w:t>
      </w:r>
    </w:p>
    <w:p w:rsidRPr="004C0FA8" w:rsidR="004C0FA8" w:rsidP="004C0FA8" w:rsidRDefault="004C0FA8" w14:paraId="6F5E2CA8" w14:textId="77777777">
      <w:pPr>
        <w:numPr>
          <w:ilvl w:val="0"/>
          <w:numId w:val="22"/>
        </w:numPr>
        <w:spacing w:after="0" w:line="240" w:lineRule="auto"/>
        <w:ind w:right="0"/>
      </w:pPr>
      <w:r w:rsidRPr="004C0FA8">
        <w:rPr>
          <w:bCs/>
          <w:iCs/>
        </w:rPr>
        <w:t>Kontinuerlig arytmiövervakning.</w:t>
      </w:r>
    </w:p>
    <w:p w:rsidRPr="004C0FA8" w:rsidR="004C0FA8" w:rsidP="004C0FA8" w:rsidRDefault="004C0FA8" w14:paraId="0AE42950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4C0FA8">
        <w:rPr>
          <w:iCs/>
        </w:rPr>
        <w:t>Täta blodtryckskontroller.</w:t>
      </w:r>
    </w:p>
    <w:p w:rsidRPr="004C0FA8" w:rsidR="004C0FA8" w:rsidP="004C0FA8" w:rsidRDefault="004C0FA8" w14:paraId="6E119456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4C0FA8">
        <w:rPr>
          <w:szCs w:val="20"/>
        </w:rPr>
        <w:t>Kan ges på eftervården beroende på patientens symtom och indikation.</w:t>
      </w:r>
    </w:p>
    <w:p w:rsidRPr="004C0FA8" w:rsidR="004C0FA8" w:rsidP="004C0FA8" w:rsidRDefault="004C0FA8" w14:paraId="3374A2E0" w14:textId="77777777">
      <w:pPr>
        <w:numPr>
          <w:ilvl w:val="0"/>
          <w:numId w:val="22"/>
        </w:numPr>
        <w:tabs>
          <w:tab w:val="left" w:pos="540"/>
        </w:tabs>
        <w:spacing w:after="0" w:line="240" w:lineRule="auto"/>
        <w:ind w:right="-852"/>
        <w:rPr>
          <w:b/>
          <w:szCs w:val="20"/>
        </w:rPr>
      </w:pPr>
      <w:r w:rsidRPr="004C0FA8">
        <w:rPr>
          <w:b/>
          <w:szCs w:val="20"/>
        </w:rPr>
        <w:t xml:space="preserve">   Observera infarter och hudförändringar och avveckla PVK efter avslutad infusion, ge patienten ny PVK vid behov.</w:t>
      </w:r>
    </w:p>
    <w:p w:rsidRPr="004C0FA8" w:rsidR="004C0FA8" w:rsidP="004C0FA8" w:rsidRDefault="004C0FA8" w14:paraId="1C993A21" w14:textId="77777777">
      <w:pPr>
        <w:spacing w:after="0" w:line="240" w:lineRule="auto"/>
        <w:ind w:left="0" w:right="0"/>
      </w:pPr>
    </w:p>
    <w:bookmarkEnd w:id="0"/>
    <w:p w:rsidRPr="00536A5A" w:rsidR="00536A5A" w:rsidP="4FF08899" w:rsidRDefault="00536A5A" w14:paraId="2B248179" w14:textId="52F32856">
      <w:pPr>
        <w:tabs>
          <w:tab w:val="left" w:leader="none" w:pos="540"/>
        </w:tabs>
        <w:spacing w:before="0" w:beforeAutospacing="off" w:after="0" w:afterAutospacing="off" w:line="240" w:lineRule="auto"/>
        <w:ind w:left="0" w:right="-852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4FF08899" w:rsidR="5821CE33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Uppföljning</w:t>
      </w:r>
    </w:p>
    <w:p w:rsidRPr="00536A5A" w:rsidR="00536A5A" w:rsidP="4FF08899" w:rsidRDefault="00536A5A" w14:paraId="2DC35C8D" w14:textId="56E8A777">
      <w:pPr>
        <w:tabs>
          <w:tab w:val="left" w:leader="none" w:pos="540"/>
        </w:tabs>
        <w:spacing w:before="0" w:beforeAutospacing="off" w:after="0" w:afterAutospacing="off" w:line="240" w:lineRule="auto"/>
        <w:ind w:left="0" w:right="-852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08899" w:rsidR="5821CE3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Vid ny insättning av Cordarone skall hjärtmott meddelas för registrering i Cordarone register.</w:t>
      </w:r>
    </w:p>
    <w:p w:rsidRPr="00536A5A" w:rsidR="00536A5A" w:rsidP="4FF08899" w:rsidRDefault="00536A5A" w14:paraId="76B9F95B" w14:textId="4DE8776F">
      <w:pPr>
        <w:tabs>
          <w:tab w:val="left" w:leader="none" w:pos="540"/>
        </w:tabs>
        <w:spacing w:before="0" w:beforeAutospacing="off" w:after="0" w:afterAutospacing="off" w:line="240" w:lineRule="auto"/>
        <w:ind w:left="0" w:right="-852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08899" w:rsidR="5821CE3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Det ska dikteras i slutanteckning.</w:t>
      </w:r>
    </w:p>
    <w:sectPr w:rsidRPr="00536A5A" w:rsidR="00536A5A" w:rsidSect="004C0FA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8D30E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7790B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hint="default" w:ascii="OCR B" w:hAnsi="OCR B" w:cs="OCR B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35D3DF5"/>
    <w:multiLevelType w:val="hybridMultilevel"/>
    <w:tmpl w:val="3E86FA7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02605AD"/>
    <w:multiLevelType w:val="hybridMultilevel"/>
    <w:tmpl w:val="DE90EE7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8913676">
    <w:abstractNumId w:val="20"/>
  </w:num>
  <w:num w:numId="2" w16cid:durableId="1512177987">
    <w:abstractNumId w:val="17"/>
  </w:num>
  <w:num w:numId="3" w16cid:durableId="2108965412">
    <w:abstractNumId w:val="0"/>
  </w:num>
  <w:num w:numId="4" w16cid:durableId="235282818">
    <w:abstractNumId w:val="8"/>
  </w:num>
  <w:num w:numId="5" w16cid:durableId="1919174010">
    <w:abstractNumId w:val="18"/>
  </w:num>
  <w:num w:numId="6" w16cid:durableId="1561557340">
    <w:abstractNumId w:val="4"/>
  </w:num>
  <w:num w:numId="7" w16cid:durableId="963542037">
    <w:abstractNumId w:val="13"/>
  </w:num>
  <w:num w:numId="8" w16cid:durableId="1957563661">
    <w:abstractNumId w:val="10"/>
  </w:num>
  <w:num w:numId="9" w16cid:durableId="1214120647">
    <w:abstractNumId w:val="2"/>
  </w:num>
  <w:num w:numId="10" w16cid:durableId="1938635911">
    <w:abstractNumId w:val="2"/>
  </w:num>
  <w:num w:numId="11" w16cid:durableId="1171215038">
    <w:abstractNumId w:val="5"/>
  </w:num>
  <w:num w:numId="12" w16cid:durableId="831794994">
    <w:abstractNumId w:val="6"/>
  </w:num>
  <w:num w:numId="13" w16cid:durableId="674694530">
    <w:abstractNumId w:val="16"/>
  </w:num>
  <w:num w:numId="14" w16cid:durableId="1098410910">
    <w:abstractNumId w:val="11"/>
  </w:num>
  <w:num w:numId="15" w16cid:durableId="555288239">
    <w:abstractNumId w:val="9"/>
  </w:num>
  <w:num w:numId="16" w16cid:durableId="1275408145">
    <w:abstractNumId w:val="15"/>
  </w:num>
  <w:num w:numId="17" w16cid:durableId="381250772">
    <w:abstractNumId w:val="7"/>
  </w:num>
  <w:num w:numId="18" w16cid:durableId="538514717">
    <w:abstractNumId w:val="12"/>
  </w:num>
  <w:num w:numId="19" w16cid:durableId="357703062">
    <w:abstractNumId w:val="19"/>
  </w:num>
  <w:num w:numId="20" w16cid:durableId="1437944753">
    <w:abstractNumId w:val="1"/>
  </w:num>
  <w:num w:numId="21" w16cid:durableId="447629076">
    <w:abstractNumId w:val="3"/>
  </w:num>
  <w:num w:numId="22" w16cid:durableId="150412193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FA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E6DC18"/>
    <w:rsid w:val="15BA926A"/>
    <w:rsid w:val="2FB47853"/>
    <w:rsid w:val="4FF08899"/>
    <w:rsid w:val="51570D38"/>
    <w:rsid w:val="5821CE33"/>
    <w:rsid w:val="5C0A1AF2"/>
    <w:rsid w:val="60BECAB1"/>
    <w:rsid w:val="62D0F8E6"/>
    <w:rsid w:val="647B2B65"/>
    <w:rsid w:val="6B2CF8ED"/>
    <w:rsid w:val="6F289206"/>
    <w:rsid w:val="7E875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trecklista" w:customStyle="1">
    <w:name w:val="Strecklista"/>
    <w:basedOn w:val="Normal"/>
    <w:rsid w:val="004C0FA8"/>
    <w:pPr>
      <w:numPr>
        <w:numId w:val="20"/>
      </w:numPr>
      <w:spacing w:after="0" w:line="240" w:lineRule="auto"/>
      <w:ind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a80dd4548c8409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cd37ff-0121-4d69-ad45-66ce24c8ab55}"/>
      </w:docPartPr>
      <w:docPartBody>
        <w:p xmlns:wp14="http://schemas.microsoft.com/office/word/2010/wordml" w14:paraId="01C7259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Amiodaron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2022-05-04T03:32:00.0000000Z</dcterms:created>
  <dcterms:modified xsi:type="dcterms:W3CDTF">2025-03-26T13:32:19.0000000Z</dcterms:modified>
</coreProperties>
</file>