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BAC130" w14:textId="77777777" w:rsidR="00802EA5" w:rsidRDefault="00802EA5" w:rsidP="00F35B05">
      <w:pPr>
        <w:pStyle w:val="Heading2"/>
        <w:sectPr w:rsidR="00802EA5" w:rsidSect="00802EA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4921984" w14:textId="77777777" w:rsidR="00802EA5" w:rsidRPr="00802EA5" w:rsidRDefault="00802EA5" w:rsidP="00802EA5">
      <w:pPr>
        <w:keepNext/>
        <w:pBdr>
          <w:bottom w:val="single" w:sz="4" w:space="1" w:color="auto"/>
        </w:pBdr>
        <w:spacing w:after="0" w:line="240" w:lineRule="auto"/>
        <w:ind w:left="0" w:right="0"/>
        <w:jc w:val="both"/>
        <w:outlineLvl w:val="0"/>
        <w:rPr>
          <w:rFonts w:ascii="Calibri" w:hAnsi="Calibri" w:cs="Calibri"/>
          <w:b/>
          <w:bCs/>
          <w:kern w:val="32"/>
          <w:sz w:val="36"/>
          <w:szCs w:val="36"/>
        </w:rPr>
      </w:pPr>
      <w:bookmarkStart w:id="1" w:name="_Toc355609194"/>
      <w:bookmarkStart w:id="2" w:name="_Toc8726282"/>
      <w:r w:rsidRPr="00802EA5">
        <w:rPr>
          <w:rFonts w:ascii="Calibri" w:hAnsi="Calibri" w:cs="Calibri"/>
          <w:b/>
          <w:bCs/>
          <w:kern w:val="32"/>
          <w:sz w:val="36"/>
          <w:szCs w:val="36"/>
        </w:rPr>
        <w:t>Äldre och hjärtsjukdom</w:t>
      </w:r>
      <w:bookmarkEnd w:id="1"/>
      <w:bookmarkEnd w:id="2"/>
      <w:r w:rsidRPr="00802EA5">
        <w:rPr>
          <w:rFonts w:ascii="Calibri" w:hAnsi="Calibri" w:cs="Calibri"/>
          <w:b/>
          <w:bCs/>
          <w:kern w:val="32"/>
          <w:sz w:val="36"/>
          <w:szCs w:val="36"/>
        </w:rPr>
        <w:fldChar w:fldCharType="begin"/>
      </w:r>
      <w:r w:rsidRPr="00802EA5">
        <w:rPr>
          <w:rFonts w:ascii="Calibri" w:hAnsi="Calibri" w:cs="Calibri"/>
          <w:b/>
          <w:bCs/>
          <w:kern w:val="32"/>
          <w:sz w:val="36"/>
          <w:szCs w:val="36"/>
        </w:rPr>
        <w:instrText>XE "Äldre och hjärtsjukdom"</w:instrText>
      </w:r>
      <w:r w:rsidRPr="00802EA5">
        <w:rPr>
          <w:rFonts w:ascii="Calibri" w:hAnsi="Calibri" w:cs="Calibri"/>
          <w:b/>
          <w:bCs/>
          <w:kern w:val="32"/>
          <w:sz w:val="36"/>
          <w:szCs w:val="36"/>
        </w:rPr>
        <w:fldChar w:fldCharType="end"/>
      </w:r>
      <w:r w:rsidRPr="00802EA5">
        <w:rPr>
          <w:rFonts w:ascii="Calibri" w:hAnsi="Calibri" w:cs="Calibri"/>
          <w:b/>
          <w:bCs/>
          <w:kern w:val="32"/>
          <w:sz w:val="36"/>
          <w:szCs w:val="36"/>
        </w:rPr>
        <w:tab/>
      </w:r>
    </w:p>
    <w:p w14:paraId="63E9B6F1"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t>Allmänt</w:t>
      </w:r>
    </w:p>
    <w:p w14:paraId="181C1B29" w14:textId="77777777" w:rsidR="00802EA5" w:rsidRPr="00802EA5" w:rsidRDefault="00802EA5" w:rsidP="00802EA5">
      <w:pPr>
        <w:spacing w:after="0" w:line="240" w:lineRule="auto"/>
        <w:ind w:left="0" w:right="0"/>
        <w:rPr>
          <w:szCs w:val="20"/>
        </w:rPr>
      </w:pPr>
      <w:r w:rsidRPr="00802EA5">
        <w:rPr>
          <w:szCs w:val="20"/>
        </w:rPr>
        <w:t xml:space="preserve">Med ökad ålder avtar flera av kroppens funktioner. Njurfunktionen försämras vilket man måste ta hänsyn till vid dosering av många läkemedel. Beräkna eGFR! Se www.egfr.se. Dessutom ökar känsligheten för en del läkemedel. Startdos böra vara låg eller den dos patienten har kan behöva minskas. Ortostatism kan vara ett framträdande symtom. </w:t>
      </w:r>
    </w:p>
    <w:p w14:paraId="094AC50C" w14:textId="77777777" w:rsidR="00802EA5" w:rsidRPr="00802EA5" w:rsidRDefault="00802EA5" w:rsidP="00802EA5">
      <w:pPr>
        <w:spacing w:after="0" w:line="240" w:lineRule="auto"/>
        <w:ind w:left="0" w:right="0"/>
        <w:rPr>
          <w:szCs w:val="20"/>
        </w:rPr>
      </w:pPr>
      <w:r w:rsidRPr="00802EA5">
        <w:rPr>
          <w:szCs w:val="20"/>
        </w:rPr>
        <w:t>Ålder är den enskilt viktigaste faktorn för dålig prognos vid hjärtinfarkt. Samtidigt är evidensen för vilken utredning och behandling som ska ges begränsad hos de mycket gamla.</w:t>
      </w:r>
    </w:p>
    <w:p w14:paraId="147605F9" w14:textId="77777777" w:rsidR="00802EA5" w:rsidRPr="00802EA5" w:rsidRDefault="00802EA5" w:rsidP="00802EA5">
      <w:pPr>
        <w:spacing w:after="0" w:line="240" w:lineRule="auto"/>
        <w:ind w:left="0" w:right="0"/>
        <w:rPr>
          <w:szCs w:val="20"/>
        </w:rPr>
      </w:pPr>
      <w:r w:rsidRPr="00802EA5">
        <w:rPr>
          <w:szCs w:val="20"/>
        </w:rPr>
        <w:t>Det är också svårt att ge entydiga riktlinjer då den biologiska åldern kan skilja mycket mellan personer med samma kronologiska ålder. Detta göra att man måste individualisera behandlingen i varje enskilt fall. Nedan följer en del idéer om handläggning av patienter över 80-85 år.</w:t>
      </w:r>
    </w:p>
    <w:p w14:paraId="0ECFE62B"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t>Hypertoni</w:t>
      </w:r>
    </w:p>
    <w:p w14:paraId="58BDC8C0" w14:textId="77777777" w:rsidR="00802EA5" w:rsidRPr="00802EA5" w:rsidRDefault="00802EA5" w:rsidP="00802EA5">
      <w:pPr>
        <w:spacing w:after="0" w:line="240" w:lineRule="auto"/>
        <w:ind w:left="0" w:right="0"/>
        <w:rPr>
          <w:szCs w:val="20"/>
        </w:rPr>
      </w:pPr>
      <w:r w:rsidRPr="00802EA5">
        <w:rPr>
          <w:szCs w:val="20"/>
        </w:rPr>
        <w:t>Målvärde ca 150/90 (Hyvet-studien). Mät blodtryck i liggande och stående eftersom ortostatism är vanligt.</w:t>
      </w:r>
    </w:p>
    <w:p w14:paraId="03CB5262"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t>Lipider</w:t>
      </w:r>
    </w:p>
    <w:p w14:paraId="2A242AE8" w14:textId="77777777" w:rsidR="00802EA5" w:rsidRPr="00802EA5" w:rsidRDefault="00802EA5" w:rsidP="00802EA5">
      <w:pPr>
        <w:spacing w:after="0" w:line="240" w:lineRule="auto"/>
        <w:ind w:left="0" w:right="0"/>
        <w:rPr>
          <w:szCs w:val="20"/>
        </w:rPr>
      </w:pPr>
      <w:r w:rsidRPr="00802EA5">
        <w:rPr>
          <w:szCs w:val="20"/>
        </w:rPr>
        <w:t>Grundregeln är att ge statiner t ex efter hjärtinfarkt men använda lägre doser än de vanliga måldoserna. Obs att simvastatin utsöndras med njurarna. Atorvastatin är ett bättre val vid njursvikt.</w:t>
      </w:r>
    </w:p>
    <w:p w14:paraId="488ECDB0"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t>Rökning</w:t>
      </w:r>
    </w:p>
    <w:p w14:paraId="2975B6C0" w14:textId="77777777" w:rsidR="00802EA5" w:rsidRPr="00802EA5" w:rsidRDefault="00802EA5" w:rsidP="00802EA5">
      <w:pPr>
        <w:spacing w:after="0" w:line="240" w:lineRule="auto"/>
        <w:ind w:left="0" w:right="0"/>
        <w:rPr>
          <w:szCs w:val="20"/>
        </w:rPr>
      </w:pPr>
      <w:r w:rsidRPr="00802EA5">
        <w:rPr>
          <w:szCs w:val="20"/>
        </w:rPr>
        <w:t>Det är aldrig för sent att sluta.</w:t>
      </w:r>
    </w:p>
    <w:p w14:paraId="23F0A71D"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t>Diabetes</w:t>
      </w:r>
    </w:p>
    <w:p w14:paraId="6247C253" w14:textId="77777777" w:rsidR="00802EA5" w:rsidRPr="00802EA5" w:rsidRDefault="00802EA5" w:rsidP="00802EA5">
      <w:pPr>
        <w:spacing w:after="0" w:line="240" w:lineRule="auto"/>
        <w:ind w:left="0" w:right="0"/>
        <w:rPr>
          <w:szCs w:val="20"/>
        </w:rPr>
      </w:pPr>
      <w:r w:rsidRPr="00802EA5">
        <w:rPr>
          <w:szCs w:val="20"/>
        </w:rPr>
        <w:t>Extensiv diagnostik av latent diabetes är inte nödvändig hos de mycket gamla.</w:t>
      </w:r>
    </w:p>
    <w:p w14:paraId="75F6CC3B"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t>Hjärtsvikt</w:t>
      </w:r>
    </w:p>
    <w:p w14:paraId="1805EAB9" w14:textId="77777777" w:rsidR="00802EA5" w:rsidRPr="00802EA5" w:rsidRDefault="00802EA5" w:rsidP="00802EA5">
      <w:pPr>
        <w:spacing w:after="0" w:line="240" w:lineRule="auto"/>
        <w:ind w:left="0" w:right="0"/>
        <w:rPr>
          <w:szCs w:val="20"/>
        </w:rPr>
      </w:pPr>
      <w:r w:rsidRPr="00802EA5">
        <w:rPr>
          <w:szCs w:val="20"/>
        </w:rPr>
        <w:t>Ge vanlig hjärtsviktbehandling men sänk måldoserna och avgör individuellt var de ska ligga.</w:t>
      </w:r>
    </w:p>
    <w:p w14:paraId="360A7547"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t>Pacemaker/ICD</w:t>
      </w:r>
    </w:p>
    <w:p w14:paraId="4A41F5DD" w14:textId="77777777" w:rsidR="00802EA5" w:rsidRPr="00802EA5" w:rsidRDefault="00802EA5" w:rsidP="00802EA5">
      <w:pPr>
        <w:spacing w:after="0" w:line="240" w:lineRule="auto"/>
        <w:ind w:left="0" w:right="0"/>
        <w:rPr>
          <w:szCs w:val="20"/>
        </w:rPr>
      </w:pPr>
      <w:r w:rsidRPr="00802EA5">
        <w:rPr>
          <w:szCs w:val="20"/>
        </w:rPr>
        <w:t>Primärprofylaktisk ICD är inte aktuell i höga åldrar. CRT ges dock på sedvanliga indikationer. Likaså vanlig pacemaker.</w:t>
      </w:r>
    </w:p>
    <w:p w14:paraId="5F820DA7"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lastRenderedPageBreak/>
        <w:t>Antikoagulantia</w:t>
      </w:r>
    </w:p>
    <w:p w14:paraId="1B52AEDD" w14:textId="77777777" w:rsidR="00802EA5" w:rsidRPr="00802EA5" w:rsidRDefault="00802EA5" w:rsidP="00802EA5">
      <w:pPr>
        <w:spacing w:after="0" w:line="240" w:lineRule="auto"/>
        <w:ind w:left="0" w:right="0"/>
        <w:rPr>
          <w:szCs w:val="20"/>
        </w:rPr>
      </w:pPr>
      <w:r w:rsidRPr="00802EA5">
        <w:rPr>
          <w:szCs w:val="20"/>
        </w:rPr>
        <w:t>Ålder ska i sig inte utesluta någon från antikoagulantia vid förmaksflimmer.  Scoring och blödningsrisk styr. ASA är inget alternativ till NOAK/warfarin vid hög ålder.</w:t>
      </w:r>
    </w:p>
    <w:p w14:paraId="4E0B1D0A"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t>Klaffsjukdomar</w:t>
      </w:r>
    </w:p>
    <w:p w14:paraId="1B65F0C9" w14:textId="77777777" w:rsidR="00802EA5" w:rsidRPr="00802EA5" w:rsidRDefault="00802EA5" w:rsidP="00802EA5">
      <w:pPr>
        <w:spacing w:after="0" w:line="240" w:lineRule="auto"/>
        <w:ind w:left="0" w:right="0"/>
        <w:rPr>
          <w:szCs w:val="20"/>
        </w:rPr>
      </w:pPr>
      <w:r w:rsidRPr="00802EA5">
        <w:rPr>
          <w:szCs w:val="20"/>
        </w:rPr>
        <w:t>För aortastenos se klaffkapitlet. Aortastenos kan ofta åtgärdas högt upp i ålder antingen med operation eller TAVI. För många övriga klaffel är det ofta tveksamt att operera dem hos patienter med mycket hög ålder p.g.a. ökad operationsrisk.</w:t>
      </w:r>
    </w:p>
    <w:p w14:paraId="30D314EE" w14:textId="77777777" w:rsidR="00802EA5" w:rsidRPr="00802EA5" w:rsidRDefault="00802EA5" w:rsidP="00802EA5">
      <w:pPr>
        <w:keepNext/>
        <w:spacing w:before="240" w:after="60" w:line="240" w:lineRule="auto"/>
        <w:ind w:left="0" w:right="0"/>
        <w:outlineLvl w:val="1"/>
        <w:rPr>
          <w:rFonts w:ascii="Calibri" w:hAnsi="Calibri" w:cs="Arial"/>
          <w:b/>
          <w:bCs/>
          <w:iCs/>
          <w:sz w:val="28"/>
          <w:szCs w:val="28"/>
        </w:rPr>
      </w:pPr>
      <w:r w:rsidRPr="00802EA5">
        <w:rPr>
          <w:rFonts w:ascii="Calibri" w:hAnsi="Calibri" w:cs="Arial"/>
          <w:b/>
          <w:bCs/>
          <w:iCs/>
          <w:sz w:val="28"/>
          <w:szCs w:val="28"/>
        </w:rPr>
        <w:t>Skörhet</w:t>
      </w:r>
      <w:r w:rsidRPr="00802EA5">
        <w:rPr>
          <w:rFonts w:ascii="Calibri" w:hAnsi="Calibri" w:cs="Arial"/>
          <w:b/>
          <w:bCs/>
          <w:iCs/>
          <w:sz w:val="28"/>
          <w:szCs w:val="28"/>
        </w:rPr>
        <w:fldChar w:fldCharType="begin"/>
      </w:r>
      <w:r w:rsidRPr="00802EA5">
        <w:rPr>
          <w:rFonts w:ascii="Calibri" w:hAnsi="Calibri" w:cs="Arial"/>
          <w:b/>
          <w:bCs/>
          <w:iCs/>
          <w:sz w:val="28"/>
          <w:szCs w:val="28"/>
        </w:rPr>
        <w:instrText xml:space="preserve"> XE "Skörhet" </w:instrText>
      </w:r>
      <w:r w:rsidRPr="00802EA5">
        <w:rPr>
          <w:rFonts w:ascii="Calibri" w:hAnsi="Calibri" w:cs="Arial"/>
          <w:b/>
          <w:bCs/>
          <w:iCs/>
          <w:sz w:val="28"/>
          <w:szCs w:val="28"/>
        </w:rPr>
        <w:fldChar w:fldCharType="end"/>
      </w:r>
    </w:p>
    <w:p w14:paraId="2CD6B3FF" w14:textId="77777777" w:rsidR="00802EA5" w:rsidRPr="00802EA5" w:rsidRDefault="00802EA5" w:rsidP="00802EA5">
      <w:pPr>
        <w:spacing w:after="0" w:line="240" w:lineRule="auto"/>
        <w:ind w:left="0" w:right="0"/>
        <w:rPr>
          <w:szCs w:val="20"/>
        </w:rPr>
      </w:pPr>
      <w:r w:rsidRPr="00802EA5">
        <w:rPr>
          <w:szCs w:val="20"/>
        </w:rPr>
        <w:t>Begreppet skörhet (frailty) har betydelse för komplikationer och utfall vid olika behandlingar och åtgärder. Hur det ska användas är inte klarlagt men för att få en uppfattning bifogas här Clinical Frailty Scale:</w:t>
      </w:r>
    </w:p>
    <w:p w14:paraId="43C406B1" w14:textId="77777777" w:rsidR="00802EA5" w:rsidRPr="00802EA5" w:rsidRDefault="00802EA5" w:rsidP="00802EA5">
      <w:pPr>
        <w:spacing w:after="0" w:line="240" w:lineRule="auto"/>
        <w:ind w:left="0" w:right="0"/>
        <w:rPr>
          <w:szCs w:val="20"/>
        </w:rPr>
      </w:pPr>
      <w:r w:rsidRPr="00802EA5">
        <w:rPr>
          <w:noProof/>
          <w:szCs w:val="20"/>
        </w:rPr>
        <w:drawing>
          <wp:inline distT="0" distB="0" distL="0" distR="0" wp14:anchorId="0A20D391" wp14:editId="28611CA5">
            <wp:extent cx="3304116" cy="3343450"/>
            <wp:effectExtent l="0" t="0" r="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3306946" cy="3346314"/>
                    </a:xfrm>
                    <a:prstGeom prst="rect">
                      <a:avLst/>
                    </a:prstGeom>
                  </pic:spPr>
                </pic:pic>
              </a:graphicData>
            </a:graphic>
          </wp:inline>
        </w:drawing>
      </w:r>
    </w:p>
    <w:p w14:paraId="524191F6" w14:textId="77777777" w:rsidR="00802EA5" w:rsidRPr="00802EA5" w:rsidRDefault="00802EA5" w:rsidP="00802EA5">
      <w:pPr>
        <w:spacing w:after="0" w:line="240" w:lineRule="auto"/>
        <w:ind w:left="0" w:right="0"/>
        <w:rPr>
          <w:szCs w:val="20"/>
        </w:rPr>
      </w:pPr>
    </w:p>
    <w:p w14:paraId="38896628" w14:textId="77777777" w:rsidR="00802EA5" w:rsidRPr="00802EA5" w:rsidRDefault="00802EA5" w:rsidP="00802EA5">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802EA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86798168">
    <w:abstractNumId w:val="17"/>
  </w:num>
  <w:num w:numId="2" w16cid:durableId="401804176">
    <w:abstractNumId w:val="14"/>
  </w:num>
  <w:num w:numId="3" w16cid:durableId="1066681284">
    <w:abstractNumId w:val="0"/>
  </w:num>
  <w:num w:numId="4" w16cid:durableId="1154645058">
    <w:abstractNumId w:val="6"/>
  </w:num>
  <w:num w:numId="5" w16cid:durableId="1004821206">
    <w:abstractNumId w:val="15"/>
  </w:num>
  <w:num w:numId="6" w16cid:durableId="176430539">
    <w:abstractNumId w:val="2"/>
  </w:num>
  <w:num w:numId="7" w16cid:durableId="1869105761">
    <w:abstractNumId w:val="11"/>
  </w:num>
  <w:num w:numId="8" w16cid:durableId="942689785">
    <w:abstractNumId w:val="8"/>
  </w:num>
  <w:num w:numId="9" w16cid:durableId="1920285986">
    <w:abstractNumId w:val="1"/>
  </w:num>
  <w:num w:numId="10" w16cid:durableId="1680541000">
    <w:abstractNumId w:val="1"/>
  </w:num>
  <w:num w:numId="11" w16cid:durableId="2111702899">
    <w:abstractNumId w:val="3"/>
  </w:num>
  <w:num w:numId="12" w16cid:durableId="1761414196">
    <w:abstractNumId w:val="4"/>
  </w:num>
  <w:num w:numId="13" w16cid:durableId="976301928">
    <w:abstractNumId w:val="13"/>
  </w:num>
  <w:num w:numId="14" w16cid:durableId="1899436887">
    <w:abstractNumId w:val="9"/>
  </w:num>
  <w:num w:numId="15" w16cid:durableId="26218548">
    <w:abstractNumId w:val="7"/>
  </w:num>
  <w:num w:numId="16" w16cid:durableId="866141168">
    <w:abstractNumId w:val="12"/>
  </w:num>
  <w:num w:numId="17" w16cid:durableId="1938904067">
    <w:abstractNumId w:val="5"/>
  </w:num>
  <w:num w:numId="18" w16cid:durableId="1547258577">
    <w:abstractNumId w:val="10"/>
  </w:num>
  <w:num w:numId="19" w16cid:durableId="8191515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2EA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353</Words>
  <Characters>1873</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Äldre och hjärtsjukdom</dc:title>
  <dc:subject/>
  <dc:creator>patrik.jens.johansson@vgregion.se</dc:creator>
  <keywords/>
  <lastModifiedBy>TK.SpStyMigProd</lastModifiedBy>
  <revision>2</revision>
  <lastPrinted>2016-03-31T10:56:00.0000000Z</lastPrinted>
  <dcterms:created xsi:type="dcterms:W3CDTF">2022-05-04T03:41:00.0000000Z</dcterms:created>
  <dcterms:modified xsi:type="dcterms:W3CDTF">2022-05-04T03:41:00.0000000Z</dcterms:modified>
</coreProperties>
</file>