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698904" w14:textId="77777777" w:rsidR="00947C84" w:rsidRDefault="00947C84" w:rsidP="00F35B05">
      <w:pPr>
        <w:pStyle w:val="Rubrik2"/>
        <w:sectPr w:rsidR="00947C84" w:rsidSect="00947C8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F5458E7" w14:textId="77777777" w:rsidR="00947C84" w:rsidRPr="00947C84" w:rsidRDefault="00947C84" w:rsidP="00947C84">
      <w:pPr>
        <w:spacing w:after="0" w:line="240" w:lineRule="auto"/>
        <w:ind w:left="0" w:right="0"/>
        <w:rPr>
          <w:szCs w:val="20"/>
        </w:rPr>
      </w:pPr>
    </w:p>
    <w:p w14:paraId="71E369D6" w14:textId="77777777" w:rsidR="00947C84" w:rsidRPr="00947C84" w:rsidRDefault="00947C84" w:rsidP="00947C84">
      <w:pPr>
        <w:spacing w:after="0" w:line="240" w:lineRule="auto"/>
        <w:ind w:left="0" w:right="0"/>
        <w:rPr>
          <w:szCs w:val="20"/>
        </w:rPr>
      </w:pPr>
    </w:p>
    <w:p w14:paraId="3C60215E" w14:textId="77777777" w:rsidR="00947C84" w:rsidRPr="00947C84" w:rsidRDefault="00947C84" w:rsidP="00947C84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947C84">
        <w:rPr>
          <w:szCs w:val="20"/>
        </w:rPr>
        <w:tab/>
      </w:r>
    </w:p>
    <w:p w14:paraId="4EECD8E8" w14:textId="28627811" w:rsidR="00947C84" w:rsidRPr="00947C84" w:rsidRDefault="00947C84" w:rsidP="00947C84">
      <w:pPr>
        <w:spacing w:after="0" w:line="240" w:lineRule="auto"/>
        <w:ind w:left="0" w:right="0"/>
        <w:rPr>
          <w:szCs w:val="20"/>
        </w:rPr>
      </w:pPr>
      <w:r w:rsidRPr="00947C84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1B26B0F" wp14:editId="7AF8730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4C1E269" w14:textId="77777777" w:rsidR="00947C84" w:rsidRPr="003D37FD" w:rsidRDefault="00947C84" w:rsidP="00947C84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9527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1B26B0F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4C1E269" w14:textId="77777777" w:rsidR="00947C84" w:rsidRPr="003D37FD" w:rsidRDefault="00947C84" w:rsidP="00947C84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9527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947C84" w:rsidRPr="00947C84" w14:paraId="08DD8DD3" w14:textId="77777777" w:rsidTr="008E7E7D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F4A1A3D" w14:textId="77777777" w:rsidR="00947C84" w:rsidRPr="00947C84" w:rsidRDefault="00947C84" w:rsidP="00947C84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947C84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Trombocythämning samt antikoagulation i samband med PCI</w:t>
            </w:r>
          </w:p>
        </w:tc>
      </w:tr>
    </w:tbl>
    <w:p w14:paraId="36968E47" w14:textId="77777777" w:rsidR="00947C84" w:rsidRPr="00947C84" w:rsidRDefault="00947C84" w:rsidP="00947C84">
      <w:pPr>
        <w:spacing w:after="0" w:line="240" w:lineRule="auto"/>
        <w:ind w:left="0" w:right="0"/>
        <w:rPr>
          <w:sz w:val="28"/>
          <w:szCs w:val="20"/>
        </w:rPr>
      </w:pPr>
    </w:p>
    <w:p w14:paraId="48DCFD3A" w14:textId="77777777" w:rsidR="00947C84" w:rsidRPr="00947C84" w:rsidRDefault="00947C84" w:rsidP="00947C84">
      <w:pPr>
        <w:numPr>
          <w:ilvl w:val="0"/>
          <w:numId w:val="20"/>
        </w:numPr>
        <w:spacing w:after="0" w:line="240" w:lineRule="auto"/>
        <w:ind w:right="0"/>
        <w:rPr>
          <w:rFonts w:ascii="Arial" w:hAnsi="Arial" w:cs="Arial"/>
          <w:b/>
          <w:bCs/>
          <w:sz w:val="26"/>
          <w:szCs w:val="26"/>
        </w:rPr>
      </w:pPr>
      <w:r w:rsidRPr="00947C84">
        <w:rPr>
          <w:rFonts w:ascii="Arial" w:hAnsi="Arial" w:cs="Arial"/>
          <w:b/>
          <w:bCs/>
          <w:sz w:val="26"/>
          <w:szCs w:val="26"/>
        </w:rPr>
        <w:t>Instabil angina/NSTEMI</w:t>
      </w:r>
    </w:p>
    <w:p w14:paraId="60EB8631" w14:textId="77777777" w:rsidR="00947C84" w:rsidRPr="00947C84" w:rsidRDefault="00947C84" w:rsidP="00947C84">
      <w:pPr>
        <w:spacing w:after="0" w:line="240" w:lineRule="auto"/>
        <w:ind w:left="0" w:right="0"/>
        <w:rPr>
          <w:sz w:val="28"/>
          <w:szCs w:val="20"/>
        </w:rPr>
      </w:pPr>
    </w:p>
    <w:p w14:paraId="4687E3C3" w14:textId="77777777" w:rsidR="00947C84" w:rsidRPr="00947C84" w:rsidRDefault="00947C84" w:rsidP="00947C84">
      <w:pPr>
        <w:spacing w:after="0" w:line="240" w:lineRule="auto"/>
        <w:ind w:left="0" w:right="0"/>
        <w:rPr>
          <w:szCs w:val="20"/>
        </w:rPr>
      </w:pPr>
      <w:r w:rsidRPr="00947C84">
        <w:rPr>
          <w:szCs w:val="20"/>
        </w:rPr>
        <w:t>Trombyl 320mg laddningsdos. 75mg/dag i fast dos.</w:t>
      </w:r>
    </w:p>
    <w:p w14:paraId="66398123" w14:textId="77777777" w:rsidR="00947C84" w:rsidRPr="00947C84" w:rsidRDefault="00947C84" w:rsidP="00947C84">
      <w:pPr>
        <w:spacing w:after="0" w:line="240" w:lineRule="auto"/>
        <w:ind w:left="0" w:right="0"/>
        <w:rPr>
          <w:szCs w:val="20"/>
        </w:rPr>
      </w:pPr>
    </w:p>
    <w:p w14:paraId="471BF8A0" w14:textId="2FF7EA47" w:rsidR="00947C84" w:rsidRPr="00947C84" w:rsidRDefault="00071A57" w:rsidP="00947C84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 xml:space="preserve">Plavix (Clopidogrel), </w:t>
      </w:r>
      <w:r w:rsidR="00947C84" w:rsidRPr="00947C84">
        <w:rPr>
          <w:szCs w:val="20"/>
        </w:rPr>
        <w:t>Brilique (Ticagrelor)</w:t>
      </w:r>
      <w:r w:rsidR="00665C7A">
        <w:rPr>
          <w:szCs w:val="20"/>
        </w:rPr>
        <w:t xml:space="preserve"> eller Efient (Prasugrel) </w:t>
      </w:r>
      <w:r w:rsidR="00947C84" w:rsidRPr="00947C84">
        <w:rPr>
          <w:szCs w:val="20"/>
        </w:rPr>
        <w:t>i laddningsdos</w:t>
      </w:r>
      <w:r w:rsidR="00665C7A">
        <w:rPr>
          <w:szCs w:val="20"/>
        </w:rPr>
        <w:t>er kan övervägas för patienter</w:t>
      </w:r>
      <w:r w:rsidR="00E175AA">
        <w:rPr>
          <w:szCs w:val="20"/>
        </w:rPr>
        <w:t xml:space="preserve"> som inte behandlas invasivt med PCI inom 24 timmar eller som avsteg i samråd med kardiologen</w:t>
      </w:r>
      <w:r w:rsidR="009D6690">
        <w:rPr>
          <w:szCs w:val="20"/>
        </w:rPr>
        <w:t xml:space="preserve"> som helst ska kontaktas i dessa fall.</w:t>
      </w:r>
    </w:p>
    <w:p w14:paraId="171DF4F5" w14:textId="77777777" w:rsidR="00947C84" w:rsidRPr="00947C84" w:rsidRDefault="00947C84" w:rsidP="00947C84">
      <w:pPr>
        <w:spacing w:after="0" w:line="240" w:lineRule="auto"/>
        <w:ind w:left="0" w:right="0"/>
        <w:rPr>
          <w:szCs w:val="20"/>
        </w:rPr>
      </w:pPr>
      <w:r w:rsidRPr="00947C84">
        <w:rPr>
          <w:szCs w:val="20"/>
        </w:rPr>
        <w:t>Var god se Västra Götalands behandlingsrekommendationer enligt nedan*.</w:t>
      </w:r>
    </w:p>
    <w:p w14:paraId="734B24E1" w14:textId="77777777" w:rsidR="00947C84" w:rsidRPr="00947C84" w:rsidRDefault="00947C84" w:rsidP="00947C84">
      <w:pPr>
        <w:spacing w:after="0" w:line="240" w:lineRule="auto"/>
        <w:ind w:left="0" w:right="0"/>
        <w:rPr>
          <w:szCs w:val="20"/>
        </w:rPr>
      </w:pPr>
    </w:p>
    <w:p w14:paraId="24D2CFB0" w14:textId="5E8D5B45" w:rsidR="00947C84" w:rsidRPr="00947C84" w:rsidRDefault="00947C84" w:rsidP="00947C84">
      <w:pPr>
        <w:spacing w:after="0" w:line="240" w:lineRule="auto"/>
        <w:ind w:left="0" w:right="0"/>
        <w:rPr>
          <w:szCs w:val="20"/>
        </w:rPr>
      </w:pPr>
      <w:r w:rsidRPr="00947C84">
        <w:rPr>
          <w:szCs w:val="20"/>
        </w:rPr>
        <w:t xml:space="preserve">Målet är att patienten med instabil angina/NSTEMI som planeras för kranskärlsröntgen ska göra undersökningen inom </w:t>
      </w:r>
      <w:r w:rsidR="00FB2F17">
        <w:rPr>
          <w:szCs w:val="20"/>
        </w:rPr>
        <w:t>ett</w:t>
      </w:r>
      <w:r w:rsidRPr="00947C84">
        <w:rPr>
          <w:szCs w:val="20"/>
        </w:rPr>
        <w:t xml:space="preserve"> dygn. Om tecken på ischemisk instabilitet uppträder under väntetiden bör kontakt tas med närmaste PCI-enhet för prioriterad angiografi. </w:t>
      </w:r>
    </w:p>
    <w:p w14:paraId="467667D5" w14:textId="77777777" w:rsidR="00947C84" w:rsidRPr="00947C84" w:rsidRDefault="00947C84" w:rsidP="00947C84">
      <w:pPr>
        <w:spacing w:after="0" w:line="240" w:lineRule="auto"/>
        <w:ind w:left="0" w:right="0"/>
        <w:rPr>
          <w:szCs w:val="20"/>
        </w:rPr>
      </w:pPr>
    </w:p>
    <w:p w14:paraId="477A2880" w14:textId="77777777" w:rsidR="00947C84" w:rsidRPr="00947C84" w:rsidRDefault="00947C84" w:rsidP="00947C84">
      <w:pPr>
        <w:spacing w:after="0" w:line="240" w:lineRule="auto"/>
        <w:ind w:left="0" w:right="0"/>
        <w:rPr>
          <w:szCs w:val="20"/>
        </w:rPr>
      </w:pPr>
      <w:r w:rsidRPr="00947C84">
        <w:rPr>
          <w:szCs w:val="20"/>
        </w:rPr>
        <w:t>Arixtra (Fondaparinux) 2,5 mg sc x 1.Första dos ges så tidigt som möjligt. På avdelningen ges Arixtra kl 08:00 med undantag av de patienter som inkommit på natten och fått sin första Arixtrados mellan kl 24:00-08:00, de får sin påföljande Arixtrados kl 08:00 dagen efter. (&gt; 24 tim senare)</w:t>
      </w:r>
    </w:p>
    <w:p w14:paraId="34709356" w14:textId="77777777" w:rsidR="00947C84" w:rsidRPr="00947C84" w:rsidRDefault="00947C84" w:rsidP="00947C84">
      <w:pPr>
        <w:spacing w:after="0" w:line="240" w:lineRule="auto"/>
        <w:ind w:left="0" w:right="0"/>
        <w:rPr>
          <w:szCs w:val="20"/>
        </w:rPr>
      </w:pPr>
    </w:p>
    <w:p w14:paraId="5DD1261A" w14:textId="77777777" w:rsidR="00947C84" w:rsidRPr="00947C84" w:rsidRDefault="00947C84" w:rsidP="00947C84">
      <w:pPr>
        <w:spacing w:after="0" w:line="240" w:lineRule="auto"/>
        <w:ind w:left="0" w:right="0"/>
        <w:rPr>
          <w:szCs w:val="20"/>
        </w:rPr>
      </w:pPr>
      <w:r w:rsidRPr="00947C84">
        <w:rPr>
          <w:szCs w:val="20"/>
        </w:rPr>
        <w:t>Dossänkning av Arixtra vid låg vikt &lt;50 kg samt kraftigt nedsatt njurfunktion.</w:t>
      </w:r>
    </w:p>
    <w:p w14:paraId="3BAFA7CF" w14:textId="77777777" w:rsidR="00947C84" w:rsidRPr="00947C84" w:rsidRDefault="00947C84" w:rsidP="00947C84">
      <w:pPr>
        <w:spacing w:after="0" w:line="240" w:lineRule="auto"/>
        <w:ind w:left="0" w:right="0"/>
        <w:rPr>
          <w:szCs w:val="20"/>
        </w:rPr>
      </w:pPr>
    </w:p>
    <w:p w14:paraId="5CC58D69" w14:textId="77777777" w:rsidR="00947C84" w:rsidRPr="00947C84" w:rsidRDefault="00947C84" w:rsidP="00947C84">
      <w:pPr>
        <w:spacing w:after="0" w:line="240" w:lineRule="auto"/>
        <w:ind w:left="0" w:right="0"/>
        <w:rPr>
          <w:szCs w:val="20"/>
        </w:rPr>
      </w:pPr>
      <w:r w:rsidRPr="00947C84">
        <w:rPr>
          <w:szCs w:val="20"/>
        </w:rPr>
        <w:t xml:space="preserve">Dubbel trombocythämning i regel 1 år, om inte annat anges i PCI-utlåtandet. </w:t>
      </w:r>
    </w:p>
    <w:p w14:paraId="21CECD7D" w14:textId="77777777" w:rsidR="00947C84" w:rsidRPr="00947C84" w:rsidRDefault="00947C84" w:rsidP="00947C84">
      <w:pPr>
        <w:spacing w:after="0" w:line="240" w:lineRule="auto"/>
        <w:ind w:left="0" w:right="0"/>
        <w:rPr>
          <w:sz w:val="28"/>
          <w:szCs w:val="20"/>
        </w:rPr>
      </w:pPr>
    </w:p>
    <w:p w14:paraId="15ADEDCF" w14:textId="77777777" w:rsidR="00947C84" w:rsidRPr="00947C84" w:rsidRDefault="00947C84" w:rsidP="00947C84">
      <w:pPr>
        <w:spacing w:after="0" w:line="240" w:lineRule="auto"/>
        <w:ind w:left="0" w:right="0"/>
        <w:rPr>
          <w:sz w:val="28"/>
          <w:szCs w:val="20"/>
        </w:rPr>
      </w:pPr>
    </w:p>
    <w:p w14:paraId="4C88D6EB" w14:textId="77777777" w:rsidR="00947C84" w:rsidRPr="00947C84" w:rsidRDefault="00947C84" w:rsidP="00947C84">
      <w:pPr>
        <w:numPr>
          <w:ilvl w:val="0"/>
          <w:numId w:val="20"/>
        </w:numPr>
        <w:spacing w:after="0" w:line="240" w:lineRule="auto"/>
        <w:ind w:right="0"/>
        <w:rPr>
          <w:rFonts w:ascii="Arial" w:hAnsi="Arial" w:cs="Arial"/>
          <w:b/>
          <w:bCs/>
          <w:sz w:val="26"/>
          <w:szCs w:val="26"/>
        </w:rPr>
      </w:pPr>
      <w:r w:rsidRPr="00947C84">
        <w:rPr>
          <w:rFonts w:ascii="Arial" w:hAnsi="Arial" w:cs="Arial"/>
          <w:b/>
          <w:bCs/>
          <w:sz w:val="26"/>
          <w:szCs w:val="26"/>
        </w:rPr>
        <w:t>STEMI</w:t>
      </w:r>
    </w:p>
    <w:p w14:paraId="38A9E278" w14:textId="77777777" w:rsidR="00947C84" w:rsidRPr="00947C84" w:rsidRDefault="00947C84" w:rsidP="00947C84">
      <w:pPr>
        <w:spacing w:after="0" w:line="240" w:lineRule="auto"/>
        <w:ind w:left="0" w:right="0"/>
        <w:rPr>
          <w:sz w:val="28"/>
          <w:szCs w:val="20"/>
        </w:rPr>
      </w:pPr>
    </w:p>
    <w:p w14:paraId="6861DB0D" w14:textId="77777777" w:rsidR="00947C84" w:rsidRPr="00947C84" w:rsidRDefault="00947C84" w:rsidP="00947C84">
      <w:pPr>
        <w:spacing w:after="0" w:line="240" w:lineRule="auto"/>
        <w:ind w:left="0" w:right="0"/>
        <w:rPr>
          <w:szCs w:val="20"/>
        </w:rPr>
      </w:pPr>
      <w:r w:rsidRPr="00947C84">
        <w:rPr>
          <w:szCs w:val="20"/>
        </w:rPr>
        <w:t>Trombyl 320 mg i laddningsdos. 75 mg/dag i fast dos.</w:t>
      </w:r>
    </w:p>
    <w:p w14:paraId="0D1D6A2D" w14:textId="77777777" w:rsidR="00947C84" w:rsidRPr="00947C84" w:rsidRDefault="00947C84" w:rsidP="00947C84">
      <w:pPr>
        <w:spacing w:after="0" w:line="240" w:lineRule="auto"/>
        <w:ind w:left="0" w:right="0"/>
        <w:rPr>
          <w:szCs w:val="20"/>
        </w:rPr>
      </w:pPr>
    </w:p>
    <w:p w14:paraId="3C7EFBC4" w14:textId="77777777" w:rsidR="00947C84" w:rsidRPr="00947C84" w:rsidRDefault="00947C84" w:rsidP="00947C84">
      <w:pPr>
        <w:spacing w:after="0" w:line="240" w:lineRule="auto"/>
        <w:ind w:left="0" w:right="0"/>
        <w:rPr>
          <w:szCs w:val="20"/>
        </w:rPr>
      </w:pPr>
      <w:r w:rsidRPr="00947C84">
        <w:rPr>
          <w:szCs w:val="20"/>
        </w:rPr>
        <w:t>Heparin 5000 E iv.</w:t>
      </w:r>
    </w:p>
    <w:p w14:paraId="6E8D699D" w14:textId="77777777" w:rsidR="00947C84" w:rsidRPr="00947C84" w:rsidRDefault="00947C84" w:rsidP="00947C84">
      <w:pPr>
        <w:spacing w:after="0" w:line="240" w:lineRule="auto"/>
        <w:ind w:left="0" w:right="0"/>
        <w:rPr>
          <w:szCs w:val="20"/>
        </w:rPr>
      </w:pPr>
    </w:p>
    <w:p w14:paraId="42199CF4" w14:textId="2D73040A" w:rsidR="00947C84" w:rsidRPr="00947C84" w:rsidRDefault="00947C84" w:rsidP="00947C84">
      <w:pPr>
        <w:spacing w:after="0" w:line="240" w:lineRule="auto"/>
        <w:ind w:left="0" w:right="-427"/>
        <w:rPr>
          <w:szCs w:val="20"/>
        </w:rPr>
      </w:pPr>
      <w:r w:rsidRPr="00947C84">
        <w:rPr>
          <w:szCs w:val="20"/>
        </w:rPr>
        <w:t xml:space="preserve">Vad gäller </w:t>
      </w:r>
      <w:r w:rsidR="008F4A32">
        <w:rPr>
          <w:szCs w:val="20"/>
        </w:rPr>
        <w:t>P</w:t>
      </w:r>
      <w:r w:rsidR="000962FD">
        <w:rPr>
          <w:szCs w:val="20"/>
        </w:rPr>
        <w:t xml:space="preserve">2Y12-Hämmare (Efient, </w:t>
      </w:r>
      <w:r w:rsidRPr="00947C84">
        <w:rPr>
          <w:szCs w:val="20"/>
        </w:rPr>
        <w:t>Brilique</w:t>
      </w:r>
      <w:r w:rsidR="000962FD">
        <w:rPr>
          <w:szCs w:val="20"/>
        </w:rPr>
        <w:t xml:space="preserve">, Plavix) </w:t>
      </w:r>
      <w:r w:rsidRPr="00947C84">
        <w:rPr>
          <w:szCs w:val="20"/>
        </w:rPr>
        <w:t xml:space="preserve"> var god se Västra Götalands behandlingsrekommendationer enligt nedan**.</w:t>
      </w:r>
    </w:p>
    <w:p w14:paraId="6BA70C49" w14:textId="77777777" w:rsidR="00947C84" w:rsidRPr="00947C84" w:rsidRDefault="00947C84" w:rsidP="00947C84">
      <w:pPr>
        <w:spacing w:after="0" w:line="240" w:lineRule="auto"/>
        <w:ind w:left="0" w:right="-427"/>
        <w:rPr>
          <w:szCs w:val="20"/>
        </w:rPr>
      </w:pPr>
    </w:p>
    <w:p w14:paraId="028F4FF3" w14:textId="77777777" w:rsidR="00947C84" w:rsidRPr="00947C84" w:rsidRDefault="00947C84" w:rsidP="00947C84">
      <w:pPr>
        <w:spacing w:after="0" w:line="240" w:lineRule="auto"/>
        <w:ind w:left="0" w:right="-427"/>
        <w:rPr>
          <w:szCs w:val="20"/>
        </w:rPr>
      </w:pPr>
    </w:p>
    <w:p w14:paraId="4EFAC178" w14:textId="77777777" w:rsidR="00947C84" w:rsidRPr="00947C84" w:rsidRDefault="00947C84" w:rsidP="00947C84">
      <w:pPr>
        <w:spacing w:after="0" w:line="240" w:lineRule="auto"/>
        <w:ind w:left="0" w:right="-427"/>
        <w:rPr>
          <w:szCs w:val="20"/>
        </w:rPr>
      </w:pPr>
    </w:p>
    <w:p w14:paraId="04DCE82D" w14:textId="77777777" w:rsidR="00947C84" w:rsidRPr="00947C84" w:rsidRDefault="00947C84" w:rsidP="00947C84">
      <w:pPr>
        <w:spacing w:after="0" w:line="240" w:lineRule="auto"/>
        <w:ind w:left="0" w:right="-427"/>
        <w:rPr>
          <w:szCs w:val="20"/>
        </w:rPr>
      </w:pPr>
    </w:p>
    <w:p w14:paraId="29C3A6B8" w14:textId="77777777" w:rsidR="00947C84" w:rsidRPr="00947C84" w:rsidRDefault="00947C84" w:rsidP="00947C84">
      <w:pPr>
        <w:spacing w:after="0" w:line="240" w:lineRule="auto"/>
        <w:ind w:left="0" w:right="-427"/>
        <w:rPr>
          <w:szCs w:val="20"/>
        </w:rPr>
      </w:pPr>
    </w:p>
    <w:p w14:paraId="51DFA64D" w14:textId="77777777" w:rsidR="00947C84" w:rsidRPr="00947C84" w:rsidRDefault="00947C84" w:rsidP="00947C84">
      <w:pPr>
        <w:spacing w:after="0" w:line="240" w:lineRule="auto"/>
        <w:ind w:left="0" w:right="0"/>
        <w:rPr>
          <w:szCs w:val="20"/>
        </w:rPr>
      </w:pPr>
    </w:p>
    <w:p w14:paraId="0BFBC06D" w14:textId="77777777" w:rsidR="00947C84" w:rsidRPr="00947C84" w:rsidRDefault="00947C84" w:rsidP="00947C84">
      <w:pPr>
        <w:numPr>
          <w:ilvl w:val="0"/>
          <w:numId w:val="20"/>
        </w:numPr>
        <w:spacing w:after="0" w:line="240" w:lineRule="auto"/>
        <w:ind w:right="0"/>
        <w:rPr>
          <w:rFonts w:ascii="Arial" w:hAnsi="Arial" w:cs="Arial"/>
          <w:b/>
          <w:bCs/>
          <w:sz w:val="26"/>
          <w:szCs w:val="26"/>
        </w:rPr>
      </w:pPr>
      <w:r w:rsidRPr="00947C84">
        <w:rPr>
          <w:rFonts w:ascii="Arial" w:hAnsi="Arial" w:cs="Arial"/>
          <w:b/>
          <w:bCs/>
          <w:sz w:val="26"/>
          <w:szCs w:val="26"/>
        </w:rPr>
        <w:t>Antikoagulantiabehandlade patienter</w:t>
      </w:r>
    </w:p>
    <w:p w14:paraId="5411D104" w14:textId="77777777" w:rsidR="00947C84" w:rsidRPr="00947C84" w:rsidRDefault="00947C84" w:rsidP="00947C84">
      <w:pPr>
        <w:spacing w:after="0" w:line="240" w:lineRule="auto"/>
        <w:ind w:left="502" w:right="0"/>
        <w:rPr>
          <w:rFonts w:ascii="Arial" w:hAnsi="Arial" w:cs="Arial"/>
          <w:b/>
          <w:bCs/>
          <w:sz w:val="26"/>
          <w:szCs w:val="26"/>
        </w:rPr>
      </w:pPr>
    </w:p>
    <w:p w14:paraId="4A8C61DE" w14:textId="77777777" w:rsidR="00947C84" w:rsidRPr="00947C84" w:rsidRDefault="00947C84" w:rsidP="00947C84">
      <w:pPr>
        <w:spacing w:after="0" w:line="240" w:lineRule="auto"/>
        <w:ind w:left="0" w:right="0"/>
      </w:pPr>
      <w:r w:rsidRPr="00947C84">
        <w:t xml:space="preserve">För patienter som står på behandling med antikoagulantia (warfarin, NOAK) och insjuknar i AKS bibehålls denna behandling inför planerad kranskärlsröntgen. Vid NSTEMI bör behandling med ASA även initieras före kranskärlsröntgen. Arixtra eller lågmolekylärt Heparin ska inte ges som del av AKS-behandling. </w:t>
      </w:r>
    </w:p>
    <w:p w14:paraId="06934C35" w14:textId="0FCC7E34" w:rsidR="00947C84" w:rsidRPr="00947C84" w:rsidRDefault="00947C84" w:rsidP="00947C84">
      <w:pPr>
        <w:spacing w:after="0" w:line="240" w:lineRule="auto"/>
        <w:ind w:left="0" w:right="0"/>
      </w:pPr>
      <w:r w:rsidRPr="00947C84">
        <w:t xml:space="preserve">Som regel, patienter som genomgår PCI bör behandlas med antikoagulantia i kombination med Clopidogrel 75 mg x 1 och ASA 75 mg x 1 i en </w:t>
      </w:r>
      <w:r w:rsidR="00964D8A">
        <w:t>vecka</w:t>
      </w:r>
      <w:r w:rsidRPr="00947C84">
        <w:t>, därefter enbart i kombination med Clopidogrel 75 mg x 1 i ytterligare 11 månader och därefter antikoagulantia i monoterapi (om inte annat anges i PCI-utlåtandet). V</w:t>
      </w:r>
      <w:r w:rsidRPr="00947C84">
        <w:rPr>
          <w:color w:val="000000"/>
          <w:shd w:val="clear" w:color="auto" w:fill="FFFFFF"/>
        </w:rPr>
        <w:t>iktigt att notera är att PK-INR bör ligga inom intervallet 2,0–2,5 eller lägre dos för NOAK bör användas för patienter med trippelbehandling, samt att patienten skall ha PPI-behandling som profylax mot magblödning.</w:t>
      </w:r>
    </w:p>
    <w:p w14:paraId="5BDF3677" w14:textId="77777777" w:rsidR="00947C84" w:rsidRPr="00947C84" w:rsidRDefault="00947C84" w:rsidP="00947C84">
      <w:pPr>
        <w:spacing w:after="0" w:line="240" w:lineRule="auto"/>
        <w:ind w:left="0" w:right="0"/>
        <w:rPr>
          <w:szCs w:val="20"/>
        </w:rPr>
      </w:pPr>
      <w:r w:rsidRPr="00947C84">
        <w:rPr>
          <w:szCs w:val="20"/>
        </w:rPr>
        <w:t>Individuell bedömning av blödningsrisk och trombosrisk är nödvändig, eventuellt i samråd med PCI-operatören.</w:t>
      </w:r>
    </w:p>
    <w:p w14:paraId="1D394953" w14:textId="77777777" w:rsidR="00947C84" w:rsidRPr="00947C84" w:rsidRDefault="00947C84" w:rsidP="00947C84">
      <w:pPr>
        <w:spacing w:after="0" w:line="240" w:lineRule="auto"/>
        <w:ind w:left="0" w:right="0"/>
      </w:pPr>
      <w:r w:rsidRPr="00947C84">
        <w:t>Se även ESC Guidelines om dubbel trombocythämmare behandling nedan***</w:t>
      </w:r>
    </w:p>
    <w:p w14:paraId="39BEC3AE" w14:textId="77777777" w:rsidR="00947C84" w:rsidRPr="00947C84" w:rsidRDefault="00947C84" w:rsidP="00947C84">
      <w:pPr>
        <w:spacing w:after="0" w:line="240" w:lineRule="auto"/>
        <w:ind w:left="0" w:right="0"/>
        <w:rPr>
          <w:szCs w:val="20"/>
        </w:rPr>
      </w:pPr>
    </w:p>
    <w:p w14:paraId="6665AB79" w14:textId="77777777" w:rsidR="00947C84" w:rsidRPr="00947C84" w:rsidRDefault="00947C84" w:rsidP="00947C84">
      <w:pPr>
        <w:spacing w:after="0" w:line="240" w:lineRule="auto"/>
        <w:ind w:left="0" w:right="0"/>
        <w:rPr>
          <w:szCs w:val="20"/>
        </w:rPr>
      </w:pPr>
      <w:r w:rsidRPr="00947C84">
        <w:rPr>
          <w:szCs w:val="20"/>
        </w:rPr>
        <w:t xml:space="preserve">Patient med AKS och indikation för antikoagulation som inte genomgått PCI bör behandlas med antikoagulantia och Clopidogrel 75 mg x 1 i 12 månader, därefter antikoagulantia i monoterapi. </w:t>
      </w:r>
    </w:p>
    <w:p w14:paraId="657022D0" w14:textId="77777777" w:rsidR="00947C84" w:rsidRPr="00947C84" w:rsidRDefault="00947C84" w:rsidP="00947C84">
      <w:pPr>
        <w:spacing w:after="0" w:line="240" w:lineRule="auto"/>
        <w:ind w:left="0" w:right="0"/>
        <w:rPr>
          <w:szCs w:val="20"/>
        </w:rPr>
      </w:pPr>
    </w:p>
    <w:p w14:paraId="19F467F2" w14:textId="77777777" w:rsidR="00947C84" w:rsidRPr="00947C84" w:rsidRDefault="00947C84" w:rsidP="00947C84">
      <w:pPr>
        <w:spacing w:after="0" w:line="240" w:lineRule="auto"/>
        <w:ind w:left="0" w:right="0"/>
        <w:rPr>
          <w:szCs w:val="20"/>
        </w:rPr>
      </w:pPr>
      <w:r w:rsidRPr="00947C84">
        <w:rPr>
          <w:szCs w:val="20"/>
        </w:rPr>
        <w:t xml:space="preserve">Nya trombocythämmare (Ticagrelor, Prasugrel) ska inte kombineras med antikoagulantia. </w:t>
      </w:r>
    </w:p>
    <w:p w14:paraId="50447559" w14:textId="77777777" w:rsidR="00947C84" w:rsidRPr="00947C84" w:rsidRDefault="00947C84" w:rsidP="00947C84">
      <w:pPr>
        <w:spacing w:after="0" w:line="240" w:lineRule="auto"/>
        <w:ind w:left="0" w:right="0"/>
        <w:rPr>
          <w:szCs w:val="20"/>
        </w:rPr>
      </w:pPr>
    </w:p>
    <w:p w14:paraId="6D56A747" w14:textId="77777777" w:rsidR="00947C84" w:rsidRPr="00947C84" w:rsidRDefault="00947C84" w:rsidP="00947C84">
      <w:pPr>
        <w:spacing w:after="0" w:line="240" w:lineRule="auto"/>
        <w:ind w:left="0" w:right="0"/>
        <w:rPr>
          <w:szCs w:val="20"/>
        </w:rPr>
      </w:pPr>
    </w:p>
    <w:p w14:paraId="305C47BB" w14:textId="77777777" w:rsidR="00947C84" w:rsidRPr="00947C84" w:rsidRDefault="00947C84" w:rsidP="00947C84">
      <w:pPr>
        <w:spacing w:after="0" w:line="240" w:lineRule="auto"/>
        <w:ind w:left="0" w:right="0"/>
        <w:rPr>
          <w:sz w:val="20"/>
          <w:szCs w:val="20"/>
        </w:rPr>
      </w:pPr>
    </w:p>
    <w:p w14:paraId="5F388B00" w14:textId="77777777" w:rsidR="00947C84" w:rsidRPr="00947C84" w:rsidRDefault="00947C84" w:rsidP="00947C84">
      <w:pPr>
        <w:spacing w:after="0" w:line="240" w:lineRule="auto"/>
        <w:ind w:left="0" w:right="0"/>
        <w:rPr>
          <w:sz w:val="20"/>
          <w:szCs w:val="20"/>
          <w:u w:val="single"/>
        </w:rPr>
      </w:pPr>
      <w:r w:rsidRPr="00947C84">
        <w:rPr>
          <w:sz w:val="20"/>
          <w:szCs w:val="20"/>
        </w:rPr>
        <w:t xml:space="preserve">* </w:t>
      </w:r>
      <w:r w:rsidRPr="00947C84">
        <w:rPr>
          <w:sz w:val="20"/>
          <w:szCs w:val="20"/>
          <w:u w:val="single"/>
        </w:rPr>
        <w:t xml:space="preserve">Icke ST-höjningsinfarkt och instabil angina. </w:t>
      </w:r>
    </w:p>
    <w:p w14:paraId="17397670" w14:textId="77777777" w:rsidR="00947C84" w:rsidRPr="00947C84" w:rsidRDefault="00947C84" w:rsidP="00947C84">
      <w:pPr>
        <w:spacing w:after="0" w:line="240" w:lineRule="auto"/>
        <w:ind w:left="0" w:right="0"/>
        <w:rPr>
          <w:sz w:val="20"/>
          <w:szCs w:val="20"/>
        </w:rPr>
      </w:pPr>
      <w:r w:rsidRPr="00947C84">
        <w:rPr>
          <w:sz w:val="20"/>
          <w:szCs w:val="20"/>
        </w:rPr>
        <w:br/>
        <w:t xml:space="preserve">Det finns inga randomiserade studier som stödjer rutinmässig förbehandling med P2Y12-hämmande läkemedel (Ticagrelor, Prasugrel, Clopidogrel) före planerad kranskärlsröntgen. </w:t>
      </w:r>
    </w:p>
    <w:p w14:paraId="12816EB2" w14:textId="77777777" w:rsidR="00947C84" w:rsidRPr="00947C84" w:rsidRDefault="00947C84" w:rsidP="00947C84">
      <w:pPr>
        <w:spacing w:after="0" w:line="240" w:lineRule="auto"/>
        <w:ind w:left="0" w:right="0"/>
        <w:rPr>
          <w:sz w:val="20"/>
          <w:szCs w:val="20"/>
        </w:rPr>
      </w:pPr>
    </w:p>
    <w:p w14:paraId="0A806B7F" w14:textId="77777777" w:rsidR="00947C84" w:rsidRPr="00947C84" w:rsidRDefault="00947C84" w:rsidP="00947C84">
      <w:pPr>
        <w:spacing w:after="0" w:line="240" w:lineRule="auto"/>
        <w:ind w:left="0" w:right="0"/>
        <w:rPr>
          <w:sz w:val="20"/>
          <w:szCs w:val="20"/>
        </w:rPr>
      </w:pPr>
      <w:r w:rsidRPr="00947C84">
        <w:rPr>
          <w:sz w:val="20"/>
          <w:szCs w:val="20"/>
        </w:rPr>
        <w:t xml:space="preserve">Vår rekommendation är att i rutinfallet starta behandling med Acetylsalicylsyra (ASA) och Fondaparinux (Arixtra) då AKS-diagnos etableras utifrån symtom, EKG och troponinstegring, men avstå från P2Y12-hämmare före kranskärlsröntgen. </w:t>
      </w:r>
    </w:p>
    <w:p w14:paraId="7BA8AFE4" w14:textId="77777777" w:rsidR="00947C84" w:rsidRPr="00947C84" w:rsidRDefault="00947C84" w:rsidP="00947C84">
      <w:pPr>
        <w:spacing w:after="0" w:line="240" w:lineRule="auto"/>
        <w:ind w:left="0" w:right="0"/>
        <w:rPr>
          <w:sz w:val="20"/>
          <w:szCs w:val="20"/>
        </w:rPr>
      </w:pPr>
    </w:p>
    <w:p w14:paraId="1170A5FB" w14:textId="77777777" w:rsidR="00947C84" w:rsidRPr="00947C84" w:rsidRDefault="00947C84" w:rsidP="00947C84">
      <w:pPr>
        <w:spacing w:after="0" w:line="240" w:lineRule="auto"/>
        <w:ind w:left="0" w:right="-427"/>
        <w:rPr>
          <w:sz w:val="20"/>
          <w:szCs w:val="20"/>
          <w:u w:val="single"/>
        </w:rPr>
      </w:pPr>
      <w:r w:rsidRPr="00947C84">
        <w:rPr>
          <w:sz w:val="20"/>
          <w:szCs w:val="20"/>
        </w:rPr>
        <w:t xml:space="preserve">** </w:t>
      </w:r>
      <w:r w:rsidRPr="00947C84">
        <w:rPr>
          <w:sz w:val="20"/>
          <w:szCs w:val="20"/>
          <w:u w:val="single"/>
        </w:rPr>
        <w:t>ST-höjningsinfarkt (STEMI)</w:t>
      </w:r>
    </w:p>
    <w:p w14:paraId="299C543E" w14:textId="77777777" w:rsidR="00947C84" w:rsidRPr="00947C84" w:rsidRDefault="00947C84" w:rsidP="00947C84">
      <w:pPr>
        <w:spacing w:after="0" w:line="240" w:lineRule="auto"/>
        <w:ind w:left="0" w:right="0"/>
        <w:rPr>
          <w:sz w:val="20"/>
          <w:szCs w:val="20"/>
        </w:rPr>
      </w:pPr>
    </w:p>
    <w:p w14:paraId="6D58A1FE" w14:textId="77777777" w:rsidR="00947C84" w:rsidRPr="00947C84" w:rsidRDefault="00947C84" w:rsidP="00947C84">
      <w:pPr>
        <w:spacing w:after="0" w:line="240" w:lineRule="auto"/>
        <w:ind w:left="0" w:right="0"/>
        <w:rPr>
          <w:sz w:val="20"/>
          <w:szCs w:val="20"/>
        </w:rPr>
      </w:pPr>
      <w:r w:rsidRPr="00947C84">
        <w:rPr>
          <w:sz w:val="20"/>
          <w:szCs w:val="20"/>
        </w:rPr>
        <w:t xml:space="preserve">Det finns inga randomiserade studier som stödjer rutinmässig förbehandling med P2Y12-hämmande läkemedel (Ticagrelor, Prasugrel, Clopidogrel) före reperfusionsbehandling med PCI. Patienter med misstänkt STEMI bör behandlas med 300-320 mg ASA peroral och 5 000 enheter Heparin intravenöst så snart som möjligt. Behandling med P2Y12-hämmare initieras EFTER kranskärlsröntgen. </w:t>
      </w:r>
    </w:p>
    <w:p w14:paraId="7C4B7472" w14:textId="77777777" w:rsidR="00947C84" w:rsidRPr="00947C84" w:rsidRDefault="00947C84" w:rsidP="00947C84">
      <w:pPr>
        <w:keepNext/>
        <w:shd w:val="clear" w:color="auto" w:fill="FFFFFF"/>
        <w:spacing w:after="0" w:line="240" w:lineRule="auto"/>
        <w:ind w:left="0" w:right="0"/>
        <w:textAlignment w:val="baseline"/>
        <w:outlineLvl w:val="0"/>
        <w:rPr>
          <w:bCs/>
          <w:color w:val="2A2A2A"/>
          <w:kern w:val="32"/>
          <w:sz w:val="20"/>
          <w:szCs w:val="22"/>
        </w:rPr>
      </w:pPr>
      <w:r w:rsidRPr="00947C84">
        <w:rPr>
          <w:bCs/>
          <w:kern w:val="32"/>
          <w:sz w:val="20"/>
          <w:szCs w:val="22"/>
        </w:rPr>
        <w:t xml:space="preserve">*** 2017 ESC focused update on dual antiplatelet therapy in coronary artery disease: </w:t>
      </w:r>
      <w:hyperlink r:id="rId17" w:history="1">
        <w:r w:rsidRPr="00947C84">
          <w:rPr>
            <w:bCs/>
            <w:color w:val="000000"/>
            <w:kern w:val="32"/>
            <w:sz w:val="20"/>
            <w:szCs w:val="32"/>
          </w:rPr>
          <w:t>https://academic.oup.com/eurheartj/article/39/3/213/4095043</w:t>
        </w:r>
      </w:hyperlink>
      <w:r w:rsidRPr="00947C84">
        <w:rPr>
          <w:bCs/>
          <w:color w:val="000000"/>
          <w:kern w:val="32"/>
          <w:sz w:val="20"/>
          <w:szCs w:val="32"/>
        </w:rPr>
        <w:t xml:space="preserve"> </w:t>
      </w:r>
    </w:p>
    <w:p w14:paraId="75BF3E42" w14:textId="77777777" w:rsidR="00947C84" w:rsidRPr="00947C84" w:rsidRDefault="00947C84" w:rsidP="00947C84">
      <w:pPr>
        <w:spacing w:after="0" w:line="240" w:lineRule="auto"/>
        <w:ind w:left="0" w:right="0"/>
        <w:rPr>
          <w:sz w:val="20"/>
          <w:szCs w:val="20"/>
        </w:rPr>
      </w:pPr>
    </w:p>
    <w:p w14:paraId="44C46C21" w14:textId="77777777" w:rsidR="00947C84" w:rsidRPr="00947C84" w:rsidRDefault="00947C84" w:rsidP="00947C84">
      <w:pPr>
        <w:spacing w:after="0" w:line="240" w:lineRule="auto"/>
        <w:ind w:left="0" w:right="0"/>
        <w:rPr>
          <w:sz w:val="20"/>
          <w:szCs w:val="20"/>
        </w:rPr>
      </w:pPr>
    </w:p>
    <w:p w14:paraId="3E74F518" w14:textId="77777777" w:rsidR="00947C84" w:rsidRPr="00947C84" w:rsidRDefault="00947C84" w:rsidP="00947C84">
      <w:pPr>
        <w:spacing w:after="0" w:line="240" w:lineRule="auto"/>
        <w:ind w:left="0" w:right="0"/>
        <w:rPr>
          <w:sz w:val="28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947C8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6402AC" w14:textId="77777777" w:rsidR="00C85B71" w:rsidRDefault="00C85B71">
      <w:r>
        <w:separator/>
      </w:r>
    </w:p>
  </w:endnote>
  <w:endnote w:type="continuationSeparator" w:id="0">
    <w:p w14:paraId="5EDF4486" w14:textId="77777777" w:rsidR="00C85B71" w:rsidRDefault="00C85B71">
      <w:r>
        <w:continuationSeparator/>
      </w:r>
    </w:p>
  </w:endnote>
  <w:endnote w:type="continuationNotice" w:id="1">
    <w:p w14:paraId="680858B1" w14:textId="77777777" w:rsidR="00C85B71" w:rsidRDefault="00C85B7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97B7DD" w14:textId="77777777" w:rsidR="00C85B71" w:rsidRDefault="00C85B71"/>
  </w:footnote>
  <w:footnote w:type="continuationSeparator" w:id="0">
    <w:p w14:paraId="7E1B52C3" w14:textId="77777777" w:rsidR="00C85B71" w:rsidRDefault="00C85B71">
      <w:r>
        <w:continuationSeparator/>
      </w:r>
    </w:p>
  </w:footnote>
  <w:footnote w:type="continuationNotice" w:id="1">
    <w:p w14:paraId="19F578E3" w14:textId="77777777" w:rsidR="00C85B71" w:rsidRDefault="00C85B7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3C011C0"/>
    <w:multiLevelType w:val="hybridMultilevel"/>
    <w:tmpl w:val="D194C106"/>
    <w:lvl w:ilvl="0" w:tplc="FFFFFFF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222" w:hanging="360"/>
      </w:pPr>
    </w:lvl>
    <w:lvl w:ilvl="2" w:tplc="FFFFFFFF" w:tentative="1">
      <w:start w:val="1"/>
      <w:numFmt w:val="lowerRoman"/>
      <w:lvlText w:val="%3."/>
      <w:lvlJc w:val="right"/>
      <w:pPr>
        <w:ind w:left="1942" w:hanging="180"/>
      </w:pPr>
    </w:lvl>
    <w:lvl w:ilvl="3" w:tplc="FFFFFFFF" w:tentative="1">
      <w:start w:val="1"/>
      <w:numFmt w:val="decimal"/>
      <w:lvlText w:val="%4."/>
      <w:lvlJc w:val="left"/>
      <w:pPr>
        <w:ind w:left="2662" w:hanging="360"/>
      </w:pPr>
    </w:lvl>
    <w:lvl w:ilvl="4" w:tplc="FFFFFFFF" w:tentative="1">
      <w:start w:val="1"/>
      <w:numFmt w:val="lowerLetter"/>
      <w:lvlText w:val="%5."/>
      <w:lvlJc w:val="left"/>
      <w:pPr>
        <w:ind w:left="3382" w:hanging="360"/>
      </w:pPr>
    </w:lvl>
    <w:lvl w:ilvl="5" w:tplc="FFFFFFFF" w:tentative="1">
      <w:start w:val="1"/>
      <w:numFmt w:val="lowerRoman"/>
      <w:lvlText w:val="%6."/>
      <w:lvlJc w:val="right"/>
      <w:pPr>
        <w:ind w:left="4102" w:hanging="180"/>
      </w:pPr>
    </w:lvl>
    <w:lvl w:ilvl="6" w:tplc="FFFFFFFF" w:tentative="1">
      <w:start w:val="1"/>
      <w:numFmt w:val="decimal"/>
      <w:lvlText w:val="%7."/>
      <w:lvlJc w:val="left"/>
      <w:pPr>
        <w:ind w:left="4822" w:hanging="360"/>
      </w:pPr>
    </w:lvl>
    <w:lvl w:ilvl="7" w:tplc="FFFFFFFF" w:tentative="1">
      <w:start w:val="1"/>
      <w:numFmt w:val="lowerLetter"/>
      <w:lvlText w:val="%8."/>
      <w:lvlJc w:val="left"/>
      <w:pPr>
        <w:ind w:left="5542" w:hanging="360"/>
      </w:pPr>
    </w:lvl>
    <w:lvl w:ilvl="8" w:tplc="FFFFFFFF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71274912">
    <w:abstractNumId w:val="18"/>
  </w:num>
  <w:num w:numId="2" w16cid:durableId="450904839">
    <w:abstractNumId w:val="14"/>
  </w:num>
  <w:num w:numId="3" w16cid:durableId="66078738">
    <w:abstractNumId w:val="0"/>
  </w:num>
  <w:num w:numId="4" w16cid:durableId="664863983">
    <w:abstractNumId w:val="6"/>
  </w:num>
  <w:num w:numId="5" w16cid:durableId="1772584546">
    <w:abstractNumId w:val="16"/>
  </w:num>
  <w:num w:numId="6" w16cid:durableId="927890661">
    <w:abstractNumId w:val="2"/>
  </w:num>
  <w:num w:numId="7" w16cid:durableId="63142493">
    <w:abstractNumId w:val="11"/>
  </w:num>
  <w:num w:numId="8" w16cid:durableId="1208493364">
    <w:abstractNumId w:val="8"/>
  </w:num>
  <w:num w:numId="9" w16cid:durableId="1008748638">
    <w:abstractNumId w:val="1"/>
  </w:num>
  <w:num w:numId="10" w16cid:durableId="949317514">
    <w:abstractNumId w:val="1"/>
  </w:num>
  <w:num w:numId="11" w16cid:durableId="1029642603">
    <w:abstractNumId w:val="3"/>
  </w:num>
  <w:num w:numId="12" w16cid:durableId="1029338891">
    <w:abstractNumId w:val="4"/>
  </w:num>
  <w:num w:numId="13" w16cid:durableId="1027831431">
    <w:abstractNumId w:val="13"/>
  </w:num>
  <w:num w:numId="14" w16cid:durableId="1302224833">
    <w:abstractNumId w:val="9"/>
  </w:num>
  <w:num w:numId="15" w16cid:durableId="398211359">
    <w:abstractNumId w:val="7"/>
  </w:num>
  <w:num w:numId="16" w16cid:durableId="438451478">
    <w:abstractNumId w:val="12"/>
  </w:num>
  <w:num w:numId="17" w16cid:durableId="233203915">
    <w:abstractNumId w:val="5"/>
  </w:num>
  <w:num w:numId="18" w16cid:durableId="57823533">
    <w:abstractNumId w:val="10"/>
  </w:num>
  <w:num w:numId="19" w16cid:durableId="896353022">
    <w:abstractNumId w:val="17"/>
  </w:num>
  <w:num w:numId="20" w16cid:durableId="52201710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1A57"/>
    <w:rsid w:val="00084024"/>
    <w:rsid w:val="0009062C"/>
    <w:rsid w:val="00095368"/>
    <w:rsid w:val="000954C4"/>
    <w:rsid w:val="000962FD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C7A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E74F5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4A32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47C84"/>
    <w:rsid w:val="00950E4E"/>
    <w:rsid w:val="009529BD"/>
    <w:rsid w:val="009533B4"/>
    <w:rsid w:val="00964D8A"/>
    <w:rsid w:val="00971D93"/>
    <w:rsid w:val="009B1F6B"/>
    <w:rsid w:val="009C0D12"/>
    <w:rsid w:val="009C192E"/>
    <w:rsid w:val="009D6690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273D7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B71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75AA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2F17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cademic.oup.com/eurheartj/article/39/3/213/4095043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2</Pages>
  <Words>600</Words>
  <Characters>3186</Characters>
  <Application>Microsoft Office Word</Application>
  <DocSecurity>0</DocSecurity>
  <Lines>26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3779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Trombocythämning samt antikoagulation i samband med PCI</dc:title>
  <dc:subject/>
  <dc:creator>patrik.jens.johansson@vgregion.se</dc:creator>
  <keywords/>
  <lastModifiedBy>Emma Husberg</lastModifiedBy>
  <revision>12</revision>
  <lastPrinted>2016-03-31T10:56:00.0000000Z</lastPrinted>
  <dcterms:created xsi:type="dcterms:W3CDTF">2022-05-04T03:41:00.0000000Z</dcterms:created>
  <dcterms:modified xsi:type="dcterms:W3CDTF">2024-03-11T09:28:00.0000000Z</dcterms:modified>
</coreProperties>
</file>