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142CFF" w:rsidR="00184167" w:rsidP="001065E3" w:rsidRDefault="0032086D" w14:paraId="061914D4" w14:textId="4074A71E">
      <w:pPr>
        <w:pStyle w:val="Rubrik1"/>
      </w:pPr>
      <w:proofErr w:type="spellStart"/>
      <w:r w:rsidRPr="00142CFF">
        <w:t>Prasugrel</w:t>
      </w:r>
      <w:proofErr w:type="spellEnd"/>
      <w:r w:rsidRPr="00142CFF">
        <w:t xml:space="preserve"> (</w:t>
      </w:r>
      <w:proofErr w:type="spellStart"/>
      <w:r w:rsidRPr="00142CFF">
        <w:t>Efient</w:t>
      </w:r>
      <w:proofErr w:type="spellEnd"/>
      <w:r w:rsidRPr="00142CFF">
        <w:t xml:space="preserve">) vid akut </w:t>
      </w:r>
      <w:proofErr w:type="spellStart"/>
      <w:r w:rsidRPr="00142CFF">
        <w:t>koronart</w:t>
      </w:r>
      <w:proofErr w:type="spellEnd"/>
      <w:r w:rsidRPr="00142CFF">
        <w:t xml:space="preserve"> syndrom</w:t>
      </w:r>
      <w:bookmarkStart w:name="_Toc321146591" w:id="0"/>
    </w:p>
    <w:p w:rsidRPr="001065E3" w:rsidR="009A32ED" w:rsidP="001065E3" w:rsidRDefault="000565C5" w14:paraId="11BC1DCA" w14:textId="5B2132CF">
      <w:pPr>
        <w:pStyle w:val="Rubrik2"/>
      </w:pPr>
      <w:bookmarkStart w:name="_Toc100327184" w:id="1"/>
      <w:bookmarkStart w:name="_Toc106874287" w:id="2"/>
      <w:bookmarkEnd w:id="0"/>
      <w:r w:rsidRPr="001065E3">
        <w:t>Syfte</w:t>
      </w:r>
      <w:bookmarkEnd w:id="1"/>
      <w:bookmarkEnd w:id="2"/>
    </w:p>
    <w:p w:rsidRPr="001D1863" w:rsidR="009A32ED" w:rsidP="001D1863" w:rsidRDefault="002C5152" w14:paraId="78CF957D" w14:textId="39EF6BFD">
      <w:r w:rsidRPr="00142CFF">
        <w:t xml:space="preserve">Rutinen syftar till att skapa en tydlighet kring trombocythämmande behandling hos patienter som vårdas för en akut kranskärlshändelse. </w:t>
      </w:r>
    </w:p>
    <w:p w:rsidRPr="001065E3" w:rsidR="009A32ED" w:rsidP="001065E3" w:rsidRDefault="002C5152" w14:paraId="69BCFD87" w14:textId="1699E39F">
      <w:pPr>
        <w:pStyle w:val="Rubrik2"/>
      </w:pPr>
      <w:bookmarkStart w:name="_Toc72840807" w:id="3"/>
      <w:r w:rsidRPr="001065E3">
        <w:t>Arbetsbeskrivning</w:t>
      </w:r>
    </w:p>
    <w:p w:rsidRPr="00142CFF" w:rsidR="009A32ED" w:rsidP="001065E3" w:rsidRDefault="00123F1F" w14:paraId="12570B26" w14:textId="1E501EE7">
      <w:r w:rsidRPr="00142CFF">
        <w:t xml:space="preserve">Patienter som vårdats för en akut kranskärlshändelse ska erhållas trombocythämmande behandling. </w:t>
      </w:r>
      <w:proofErr w:type="spellStart"/>
      <w:r w:rsidRPr="00142CFF">
        <w:t>Prasugrel</w:t>
      </w:r>
      <w:proofErr w:type="spellEnd"/>
      <w:r w:rsidRPr="00142CFF">
        <w:t xml:space="preserve"> (</w:t>
      </w:r>
      <w:proofErr w:type="spellStart"/>
      <w:r w:rsidRPr="00142CFF">
        <w:t>Effient</w:t>
      </w:r>
      <w:proofErr w:type="spellEnd"/>
      <w:r w:rsidRPr="00142CFF">
        <w:t xml:space="preserve">), tillsammans med acetylsalicylsyra (Trombyl), är från 2024-01-01 förstahandsalternativ för trombocythämning vid akut </w:t>
      </w:r>
      <w:proofErr w:type="spellStart"/>
      <w:r w:rsidRPr="00142CFF">
        <w:t>koronart</w:t>
      </w:r>
      <w:proofErr w:type="spellEnd"/>
      <w:r w:rsidRPr="00142CFF">
        <w:t xml:space="preserve"> syndrom.</w:t>
      </w:r>
    </w:p>
    <w:p w:rsidRPr="00142CFF" w:rsidR="00B405A1" w:rsidP="001065E3" w:rsidRDefault="00123F1F" w14:paraId="6660DA9D" w14:textId="7C99FDC3">
      <w:pPr>
        <w:pStyle w:val="Rubrik2"/>
      </w:pPr>
      <w:r w:rsidRPr="00142CFF">
        <w:t>Bakgrund</w:t>
      </w:r>
    </w:p>
    <w:p w:rsidRPr="001D1863" w:rsidR="00B405A1" w:rsidP="001D1863" w:rsidRDefault="00E64F28" w14:paraId="1FC6584C" w14:textId="706F3001">
      <w:pPr>
        <w:rPr>
          <w:u w:val="single"/>
        </w:rPr>
      </w:pPr>
      <w:proofErr w:type="spellStart"/>
      <w:r w:rsidRPr="00142CFF">
        <w:t>Prasugrel</w:t>
      </w:r>
      <w:proofErr w:type="spellEnd"/>
      <w:r w:rsidRPr="00142CFF">
        <w:t>, en så kallad P2Y12-hämmare, hämmar trombocytaktiveringen och trombocytaggregationen genom att irreversibelt binda till P2Y</w:t>
      </w:r>
      <w:r w:rsidRPr="00142CFF">
        <w:rPr>
          <w:vertAlign w:val="subscript"/>
        </w:rPr>
        <w:t>12</w:t>
      </w:r>
      <w:r w:rsidRPr="00142CFF">
        <w:t xml:space="preserve">-gruppen på trombocyternas </w:t>
      </w:r>
      <w:proofErr w:type="spellStart"/>
      <w:r w:rsidRPr="00142CFF">
        <w:t>adenosindifosfatreceptorer</w:t>
      </w:r>
      <w:proofErr w:type="spellEnd"/>
      <w:r w:rsidRPr="00142CFF">
        <w:t xml:space="preserve"> (ADP). Behandling och förskrivning ska ske enligt rekommendationer i </w:t>
      </w:r>
      <w:proofErr w:type="spellStart"/>
      <w:r w:rsidRPr="00142CFF">
        <w:t>Fass</w:t>
      </w:r>
      <w:proofErr w:type="spellEnd"/>
      <w:r w:rsidRPr="00142CFF">
        <w:t>.</w:t>
      </w:r>
      <w:r w:rsidRPr="00142CFF">
        <w:rPr>
          <w:u w:val="single"/>
        </w:rPr>
        <w:t xml:space="preserve"> </w:t>
      </w:r>
    </w:p>
    <w:bookmarkEnd w:id="3"/>
    <w:p w:rsidRPr="00142CFF" w:rsidR="009A32ED" w:rsidP="001065E3" w:rsidRDefault="00406540" w14:paraId="29B03EF5" w14:textId="2E41F6F8">
      <w:pPr>
        <w:pStyle w:val="Rubrik2"/>
      </w:pPr>
      <w:r w:rsidRPr="00142CFF">
        <w:t>Indikation</w:t>
      </w:r>
      <w:r w:rsidRPr="00142CFF" w:rsidR="009A32ED">
        <w:t xml:space="preserve"> </w:t>
      </w:r>
    </w:p>
    <w:p w:rsidRPr="00D34298" w:rsidR="001F5A00" w:rsidP="00D34298" w:rsidRDefault="00A45864" w14:paraId="655803EB" w14:textId="0687F64F">
      <w:r w:rsidRPr="00142CFF">
        <w:t xml:space="preserve">Förstahandsbehandling vid AKS tillsammans med ASA (DAPT). </w:t>
      </w:r>
      <w:proofErr w:type="spellStart"/>
      <w:r w:rsidRPr="00142CFF">
        <w:t>Prasugrel</w:t>
      </w:r>
      <w:proofErr w:type="spellEnd"/>
      <w:r w:rsidRPr="00142CFF">
        <w:t xml:space="preserve"> ges på PCI-lab på ordination av PCI-operatör. Det kan övervägas vid säkerställd typ-I-infarkt före PCI, särskilt om PCI genomförs &gt;24 timmar efter debut.</w:t>
      </w:r>
    </w:p>
    <w:p w:rsidRPr="00142CFF" w:rsidR="009A32ED" w:rsidP="001065E3" w:rsidRDefault="00A45864" w14:paraId="70B2A54A" w14:textId="332BEB91">
      <w:pPr>
        <w:pStyle w:val="Rubrik2"/>
      </w:pPr>
      <w:r w:rsidRPr="00142CFF">
        <w:t>Kontra</w:t>
      </w:r>
      <w:r w:rsidRPr="00142CFF" w:rsidR="008E2D0D">
        <w:t>ind</w:t>
      </w:r>
      <w:r w:rsidR="001D1863">
        <w:t>ikation</w:t>
      </w:r>
    </w:p>
    <w:p w:rsidRPr="00142CFF" w:rsidR="001F5A00" w:rsidP="001065E3" w:rsidRDefault="001F5A00" w14:paraId="703FA10C" w14:textId="77777777">
      <w:r w:rsidRPr="00142CFF">
        <w:rPr>
          <w:b/>
          <w:bCs/>
        </w:rPr>
        <w:t>Tidigare stroke/TIA</w:t>
      </w:r>
      <w:r w:rsidRPr="00142CFF">
        <w:t>/</w:t>
      </w:r>
      <w:proofErr w:type="spellStart"/>
      <w:r w:rsidRPr="00142CFF">
        <w:rPr>
          <w:b/>
          <w:bCs/>
        </w:rPr>
        <w:t>intrakraniell</w:t>
      </w:r>
      <w:proofErr w:type="spellEnd"/>
      <w:r w:rsidRPr="00142CFF">
        <w:rPr>
          <w:b/>
          <w:bCs/>
        </w:rPr>
        <w:t xml:space="preserve"> blödning. </w:t>
      </w:r>
      <w:r w:rsidRPr="00142CFF">
        <w:t xml:space="preserve">Välj </w:t>
      </w:r>
      <w:proofErr w:type="spellStart"/>
      <w:r w:rsidRPr="00142CFF">
        <w:t>ticagrelor</w:t>
      </w:r>
      <w:proofErr w:type="spellEnd"/>
      <w:r w:rsidRPr="00142CFF">
        <w:t xml:space="preserve"> eller </w:t>
      </w:r>
      <w:proofErr w:type="spellStart"/>
      <w:r w:rsidRPr="00142CFF">
        <w:t>clopidogrel</w:t>
      </w:r>
      <w:proofErr w:type="spellEnd"/>
      <w:r w:rsidRPr="00142CFF">
        <w:t xml:space="preserve"> i stället. </w:t>
      </w:r>
    </w:p>
    <w:p w:rsidRPr="00142CFF" w:rsidR="001F5A00" w:rsidP="001065E3" w:rsidRDefault="001F5A00" w14:paraId="54124956" w14:textId="77777777">
      <w:r w:rsidRPr="00142CFF">
        <w:rPr>
          <w:b/>
          <w:bCs/>
        </w:rPr>
        <w:t>Ges ej vid långtidsbehandling med OAK (NOAK/Waran) behandling</w:t>
      </w:r>
      <w:r w:rsidRPr="00142CFF">
        <w:t xml:space="preserve">. </w:t>
      </w:r>
    </w:p>
    <w:p w:rsidRPr="00142CFF" w:rsidR="001F5A00" w:rsidP="001065E3" w:rsidRDefault="001F5A00" w14:paraId="5C944B5F" w14:textId="77777777"/>
    <w:p w:rsidRPr="001065E3" w:rsidR="009A32ED" w:rsidP="001065E3" w:rsidRDefault="001F5A00" w14:paraId="107BEA0B" w14:textId="2D53D5BB">
      <w:r w:rsidRPr="00142CFF">
        <w:lastRenderedPageBreak/>
        <w:t xml:space="preserve">Vid behov av OAK välj i första hand </w:t>
      </w:r>
      <w:proofErr w:type="spellStart"/>
      <w:r w:rsidRPr="00142CFF">
        <w:t>clopidogrel</w:t>
      </w:r>
      <w:proofErr w:type="spellEnd"/>
      <w:r w:rsidRPr="00142CFF">
        <w:t xml:space="preserve">. </w:t>
      </w:r>
      <w:proofErr w:type="spellStart"/>
      <w:r w:rsidRPr="00142CFF">
        <w:t>Prasugrel</w:t>
      </w:r>
      <w:proofErr w:type="spellEnd"/>
      <w:r w:rsidRPr="00142CFF">
        <w:t xml:space="preserve"> kan ges vid PCI trots OAK, men ska bytas ut till </w:t>
      </w:r>
      <w:proofErr w:type="spellStart"/>
      <w:r w:rsidRPr="00142CFF">
        <w:t>clopidogrel</w:t>
      </w:r>
      <w:proofErr w:type="spellEnd"/>
      <w:r w:rsidRPr="00142CFF">
        <w:t xml:space="preserve"> innan hemgång. </w:t>
      </w:r>
    </w:p>
    <w:p w:rsidRPr="00142CFF" w:rsidR="009A32ED" w:rsidP="001065E3" w:rsidRDefault="0026662C" w14:paraId="7CCE59AC" w14:textId="1FE556D8">
      <w:pPr>
        <w:pStyle w:val="Rubrik2"/>
      </w:pPr>
      <w:r w:rsidRPr="00142CFF">
        <w:t>Dosering</w:t>
      </w:r>
    </w:p>
    <w:p w:rsidRPr="00142CFF" w:rsidR="008C683C" w:rsidP="001065E3" w:rsidRDefault="0026662C" w14:paraId="791DF2B1" w14:textId="77777777">
      <w:r w:rsidRPr="00142CFF">
        <w:rPr>
          <w:b/>
          <w:bCs/>
        </w:rPr>
        <w:t>Laddningsdos</w:t>
      </w:r>
      <w:r w:rsidRPr="00142CFF" w:rsidR="00613CCD">
        <w:t xml:space="preserve"> 60</w:t>
      </w:r>
      <w:r w:rsidRPr="00142CFF" w:rsidR="0080257F">
        <w:t xml:space="preserve"> </w:t>
      </w:r>
      <w:r w:rsidRPr="00142CFF" w:rsidR="00613CCD">
        <w:t>mg</w:t>
      </w:r>
      <w:r w:rsidRPr="00142CFF" w:rsidR="0080257F">
        <w:t xml:space="preserve"> </w:t>
      </w:r>
      <w:proofErr w:type="spellStart"/>
      <w:r w:rsidRPr="00142CFF" w:rsidR="0080257F">
        <w:t>p.o</w:t>
      </w:r>
      <w:proofErr w:type="spellEnd"/>
      <w:r w:rsidRPr="00142CFF" w:rsidR="0080257F">
        <w:t xml:space="preserve"> (6x10 mg) oavsett om man fortsätter</w:t>
      </w:r>
      <w:r w:rsidRPr="00142CFF" w:rsidR="008C683C">
        <w:t xml:space="preserve"> med 5 eller 10 mg.</w:t>
      </w:r>
    </w:p>
    <w:p w:rsidRPr="00142CFF" w:rsidR="003C3898" w:rsidP="001065E3" w:rsidRDefault="008C683C" w14:paraId="62789BA6" w14:textId="77777777">
      <w:r w:rsidRPr="00142CFF">
        <w:rPr>
          <w:b/>
          <w:bCs/>
        </w:rPr>
        <w:t xml:space="preserve">Underhållsdos </w:t>
      </w:r>
      <w:r w:rsidRPr="00142CFF">
        <w:t xml:space="preserve">10 mg 1x1. </w:t>
      </w:r>
      <w:r w:rsidRPr="00142CFF">
        <w:rPr>
          <w:b/>
          <w:bCs/>
        </w:rPr>
        <w:t>Vid vikt &lt;60kg, ålder</w:t>
      </w:r>
      <w:r w:rsidRPr="00142CFF" w:rsidR="009960C6">
        <w:rPr>
          <w:b/>
          <w:bCs/>
        </w:rPr>
        <w:t xml:space="preserve"> ≥75 år eller annan anledning</w:t>
      </w:r>
      <w:r w:rsidRPr="00142CFF" w:rsidR="00AB79E9">
        <w:rPr>
          <w:b/>
          <w:bCs/>
        </w:rPr>
        <w:t xml:space="preserve"> till ökad blödningsrisk</w:t>
      </w:r>
      <w:r w:rsidRPr="00142CFF" w:rsidR="00AB79E9">
        <w:t xml:space="preserve"> </w:t>
      </w:r>
      <w:r w:rsidRPr="00142CFF" w:rsidR="00AB79E9">
        <w:rPr>
          <w:b/>
          <w:bCs/>
        </w:rPr>
        <w:t>ges 5 mg 1x1</w:t>
      </w:r>
    </w:p>
    <w:p w:rsidRPr="00142CFF" w:rsidR="00BA26F9" w:rsidP="001065E3" w:rsidRDefault="003C3898" w14:paraId="7198AC1E" w14:textId="77777777">
      <w:r w:rsidRPr="00142CFF">
        <w:rPr>
          <w:b/>
          <w:bCs/>
        </w:rPr>
        <w:t>Behandlingstid</w:t>
      </w:r>
      <w:r w:rsidRPr="00142CFF" w:rsidR="00781619">
        <w:t xml:space="preserve"> som rutin 12 månaders DAPT behandling men </w:t>
      </w:r>
      <w:r w:rsidRPr="00142CFF" w:rsidR="00526266">
        <w:t xml:space="preserve">kan justeras efter blödningsrisk och </w:t>
      </w:r>
      <w:proofErr w:type="spellStart"/>
      <w:r w:rsidRPr="00142CFF" w:rsidR="00526266">
        <w:t>ichemisk</w:t>
      </w:r>
      <w:proofErr w:type="spellEnd"/>
      <w:r w:rsidRPr="00142CFF" w:rsidR="00526266">
        <w:t xml:space="preserve"> risk. Se PCI-berättelse eller diskutera </w:t>
      </w:r>
      <w:r w:rsidRPr="00142CFF" w:rsidR="00BA26F9">
        <w:t xml:space="preserve">med PCI-läkare vid osäkerhet. </w:t>
      </w:r>
    </w:p>
    <w:p w:rsidRPr="00142CFF" w:rsidR="00BA26F9" w:rsidP="001065E3" w:rsidRDefault="00BA26F9" w14:paraId="4468EE78" w14:textId="757315B0">
      <w:pPr>
        <w:rPr>
          <w:b/>
          <w:bCs/>
        </w:rPr>
      </w:pPr>
      <w:r w:rsidRPr="00142CFF">
        <w:rPr>
          <w:b/>
          <w:bCs/>
        </w:rPr>
        <w:t>Dosjustering</w:t>
      </w:r>
    </w:p>
    <w:p w:rsidRPr="00142CFF" w:rsidR="007C1B50" w:rsidP="001065E3" w:rsidRDefault="00BA26F9" w14:paraId="14A8E54F" w14:textId="77777777">
      <w:r w:rsidRPr="00142CFF">
        <w:t>Ingen dosjustering vid kronisk njursvikt, dock ingen data för GFR</w:t>
      </w:r>
      <w:r w:rsidRPr="00142CFF" w:rsidR="007C1B50">
        <w:t xml:space="preserve"> &lt;15 eller dialys</w:t>
      </w:r>
    </w:p>
    <w:p w:rsidRPr="00142CFF" w:rsidR="007C1B50" w:rsidP="001065E3" w:rsidRDefault="5B9D1E74" w14:paraId="58FF1322" w14:textId="4603521F">
      <w:r>
        <w:t xml:space="preserve">Dosjustering vid låg vikt </w:t>
      </w:r>
      <w:r w:rsidR="6C1FC7D1">
        <w:t>&lt;60</w:t>
      </w:r>
      <w:r>
        <w:t xml:space="preserve"> kg: 5 mg 1x1</w:t>
      </w:r>
    </w:p>
    <w:p w:rsidRPr="00142CFF" w:rsidR="001B077E" w:rsidP="001065E3" w:rsidRDefault="5B9D1E74" w14:paraId="2EDA1046" w14:textId="5F68235E">
      <w:r>
        <w:t xml:space="preserve">Dosjustering </w:t>
      </w:r>
      <w:r w:rsidR="5FDAD07A">
        <w:t xml:space="preserve">vid </w:t>
      </w:r>
      <w:r w:rsidR="635404D4">
        <w:t>ålder&gt;</w:t>
      </w:r>
      <w:r w:rsidR="5FDAD07A">
        <w:t xml:space="preserve"> 75 år: 5 mg 1x1</w:t>
      </w:r>
    </w:p>
    <w:p w:rsidRPr="00142CFF" w:rsidR="001C4C2F" w:rsidP="001065E3" w:rsidRDefault="001B077E" w14:paraId="5EA65BA8" w14:textId="2A380F97">
      <w:pPr>
        <w:rPr>
          <w:b/>
          <w:bCs/>
        </w:rPr>
      </w:pPr>
      <w:r w:rsidRPr="00142CFF">
        <w:rPr>
          <w:b/>
          <w:bCs/>
        </w:rPr>
        <w:t xml:space="preserve">Patienter som inte kan svälja </w:t>
      </w:r>
      <w:r w:rsidRPr="00142CFF" w:rsidR="00600E3C">
        <w:rPr>
          <w:b/>
          <w:bCs/>
        </w:rPr>
        <w:t>(intuberad</w:t>
      </w:r>
      <w:r w:rsidRPr="00142CFF" w:rsidR="001C4C2F">
        <w:rPr>
          <w:b/>
          <w:bCs/>
        </w:rPr>
        <w:t>/sond)</w:t>
      </w:r>
    </w:p>
    <w:p w:rsidRPr="00142CFF" w:rsidR="006009B9" w:rsidP="001065E3" w:rsidRDefault="001C4C2F" w14:paraId="386807AB" w14:textId="77777777">
      <w:proofErr w:type="spellStart"/>
      <w:r w:rsidRPr="00142CFF">
        <w:t>Prasugrel</w:t>
      </w:r>
      <w:proofErr w:type="spellEnd"/>
      <w:r w:rsidRPr="00142CFF">
        <w:t xml:space="preserve"> ska inte krossas. Om patienten </w:t>
      </w:r>
      <w:r w:rsidRPr="00142CFF" w:rsidR="00EF78F3">
        <w:t xml:space="preserve">ej kan svälja/ har sond, ge </w:t>
      </w:r>
      <w:proofErr w:type="gramStart"/>
      <w:r w:rsidRPr="00142CFF" w:rsidR="00EF78F3">
        <w:t>istället</w:t>
      </w:r>
      <w:proofErr w:type="gramEnd"/>
      <w:r w:rsidRPr="00142CFF" w:rsidR="00EF78F3">
        <w:t xml:space="preserve"> krossad </w:t>
      </w:r>
      <w:proofErr w:type="spellStart"/>
      <w:r w:rsidRPr="00142CFF" w:rsidR="00EF78F3">
        <w:t>ticagrelor</w:t>
      </w:r>
      <w:proofErr w:type="spellEnd"/>
      <w:r w:rsidRPr="00142CFF" w:rsidR="009F31B7">
        <w:t xml:space="preserve"> (90 mg, laddningsdos 2 tabletter och sedan 1x2). När sond avlägs</w:t>
      </w:r>
      <w:r w:rsidRPr="00142CFF" w:rsidR="006009B9">
        <w:t xml:space="preserve">nats kan man byta till </w:t>
      </w:r>
      <w:proofErr w:type="spellStart"/>
      <w:r w:rsidRPr="00142CFF" w:rsidR="006009B9">
        <w:t>prasugrel</w:t>
      </w:r>
      <w:proofErr w:type="spellEnd"/>
      <w:r w:rsidRPr="00142CFF" w:rsidR="006009B9">
        <w:t xml:space="preserve">. OBS! Ge då laddningsdos </w:t>
      </w:r>
      <w:proofErr w:type="spellStart"/>
      <w:r w:rsidRPr="00142CFF" w:rsidR="006009B9">
        <w:t>prasugrel</w:t>
      </w:r>
      <w:proofErr w:type="spellEnd"/>
      <w:r w:rsidRPr="00142CFF" w:rsidR="006009B9">
        <w:t xml:space="preserve"> 60 mg </w:t>
      </w:r>
      <w:proofErr w:type="spellStart"/>
      <w:r w:rsidRPr="00142CFF" w:rsidR="006009B9">
        <w:t>p.o</w:t>
      </w:r>
      <w:proofErr w:type="spellEnd"/>
      <w:r w:rsidRPr="00142CFF" w:rsidR="006009B9">
        <w:t xml:space="preserve"> (6x10mg) och sedan </w:t>
      </w:r>
      <w:proofErr w:type="spellStart"/>
      <w:r w:rsidRPr="00142CFF" w:rsidR="006009B9">
        <w:t>enl</w:t>
      </w:r>
      <w:proofErr w:type="spellEnd"/>
      <w:r w:rsidRPr="00142CFF" w:rsidR="006009B9">
        <w:t xml:space="preserve"> ovan. </w:t>
      </w:r>
    </w:p>
    <w:p w:rsidRPr="00142CFF" w:rsidR="00600E3C" w:rsidP="001065E3" w:rsidRDefault="00600E3C" w14:paraId="21F453D3" w14:textId="79D21F00">
      <w:pPr>
        <w:rPr>
          <w:b/>
          <w:bCs/>
        </w:rPr>
      </w:pPr>
      <w:bookmarkStart w:name="_Toc100327189" w:id="4"/>
      <w:r w:rsidRPr="00142CFF">
        <w:rPr>
          <w:b/>
          <w:bCs/>
        </w:rPr>
        <w:t>Övrigt</w:t>
      </w:r>
    </w:p>
    <w:p w:rsidRPr="00142CFF" w:rsidR="00600E3C" w:rsidP="001065E3" w:rsidRDefault="00600E3C" w14:paraId="4160B99B" w14:textId="4890D25F">
      <w:r w:rsidRPr="00142CFF">
        <w:t>Sätt ut 7 dagar innan kirurgi</w:t>
      </w:r>
    </w:p>
    <w:p w:rsidRPr="00142CFF" w:rsidR="00600E3C" w:rsidP="001065E3" w:rsidRDefault="00600E3C" w14:paraId="0B7893EF" w14:textId="3953CF08">
      <w:r w:rsidR="00600E3C">
        <w:rPr/>
        <w:t xml:space="preserve">Ges mot slutet av </w:t>
      </w:r>
      <w:r w:rsidR="00600E3C">
        <w:rPr/>
        <w:t>Kengre</w:t>
      </w:r>
      <w:r w:rsidR="007A6592">
        <w:rPr/>
        <w:t>xal</w:t>
      </w:r>
      <w:r w:rsidR="007A6592">
        <w:rPr/>
        <w:t xml:space="preserve">- infusion </w:t>
      </w:r>
      <w:r w:rsidR="007A6592">
        <w:rPr/>
        <w:t>(tidigast</w:t>
      </w:r>
      <w:r w:rsidR="007A6592">
        <w:rPr/>
        <w:t xml:space="preserve"> 30 min) </w:t>
      </w:r>
    </w:p>
    <w:p w:rsidR="00CB1F6D" w:rsidP="001065E3" w:rsidRDefault="00031674" w14:paraId="71BABF7C" w14:textId="6AA5904C">
      <w:proofErr w:type="spellStart"/>
      <w:r w:rsidRPr="00142CFF">
        <w:t>Prasugrel</w:t>
      </w:r>
      <w:proofErr w:type="spellEnd"/>
      <w:r w:rsidRPr="00142CFF">
        <w:t xml:space="preserve"> kan inte dos-dispenseras utan helförpackning får ordineras. För DOS</w:t>
      </w:r>
      <w:r w:rsidRPr="00142CFF" w:rsidR="004D0F0B">
        <w:t>-patienter bör annan P2Y12-hämmare övervägas vid bristande följsamhet.</w:t>
      </w:r>
    </w:p>
    <w:p w:rsidRPr="001065E3" w:rsidR="004D0F0B" w:rsidP="001065E3" w:rsidRDefault="004D0F0B" w14:paraId="07FED874" w14:textId="21D133BE">
      <w:pPr>
        <w:rPr>
          <w:b/>
          <w:bCs/>
        </w:rPr>
      </w:pPr>
      <w:r w:rsidRPr="001065E3">
        <w:rPr>
          <w:b/>
          <w:bCs/>
        </w:rPr>
        <w:t>Försiktighet</w:t>
      </w:r>
    </w:p>
    <w:p w:rsidRPr="00142CFF" w:rsidR="00600E3C" w:rsidP="001065E3" w:rsidRDefault="00CB1F6D" w14:paraId="06065D92" w14:textId="0B3CF679">
      <w:r w:rsidRPr="00142CFF">
        <w:t>Värdera blödningsrisk</w:t>
      </w:r>
    </w:p>
    <w:p w:rsidRPr="00142CFF" w:rsidR="00CB1F6D" w:rsidP="001065E3" w:rsidRDefault="0022470C" w14:paraId="50732B07" w14:textId="1DC32CFC">
      <w:r w:rsidRPr="00142CFF">
        <w:t>Använd ARC-</w:t>
      </w:r>
      <w:r w:rsidRPr="00142CFF" w:rsidR="005A039B">
        <w:t>HBR (</w:t>
      </w:r>
      <w:proofErr w:type="spellStart"/>
      <w:r w:rsidRPr="00142CFF" w:rsidR="00142CFF">
        <w:t>High</w:t>
      </w:r>
      <w:proofErr w:type="spellEnd"/>
      <w:r w:rsidRPr="00142CFF">
        <w:t xml:space="preserve"> Bleeding Risk </w:t>
      </w:r>
      <w:proofErr w:type="spellStart"/>
      <w:r w:rsidRPr="00142CFF">
        <w:t>evaluator</w:t>
      </w:r>
      <w:proofErr w:type="spellEnd"/>
      <w:r w:rsidRPr="00142CFF">
        <w:t xml:space="preserve">) </w:t>
      </w:r>
      <w:r w:rsidRPr="00142CFF" w:rsidR="006660D3">
        <w:t xml:space="preserve">via mobilapplikation ARC-HBR eller via tabellen </w:t>
      </w:r>
      <w:proofErr w:type="spellStart"/>
      <w:r w:rsidRPr="00142CFF" w:rsidR="006660D3">
        <w:t>lägnst</w:t>
      </w:r>
      <w:proofErr w:type="spellEnd"/>
      <w:r w:rsidRPr="00142CFF" w:rsidR="006660D3">
        <w:t xml:space="preserve"> ner i detta PM. Hög blödningsrisk</w:t>
      </w:r>
      <w:r w:rsidRPr="00142CFF" w:rsidR="00BB2A3A">
        <w:t xml:space="preserve"> föreligger vid 1 major eller 2 minor kriterier</w:t>
      </w:r>
      <w:r w:rsidRPr="00142CFF" w:rsidR="00FF256D">
        <w:t>. Patienten som behandlas med OAK har alltid hög blödningsrisk enl. ARC-HB</w:t>
      </w:r>
      <w:r w:rsidRPr="00142CFF" w:rsidR="00312409">
        <w:t xml:space="preserve">R och ska inte ha </w:t>
      </w:r>
      <w:proofErr w:type="spellStart"/>
      <w:r w:rsidRPr="00142CFF" w:rsidR="00312409">
        <w:t>prasugel</w:t>
      </w:r>
      <w:proofErr w:type="spellEnd"/>
      <w:r w:rsidRPr="00142CFF" w:rsidR="00312409">
        <w:t xml:space="preserve"> utan </w:t>
      </w:r>
      <w:proofErr w:type="spellStart"/>
      <w:r w:rsidRPr="00142CFF" w:rsidR="00312409">
        <w:t>clopidogrel</w:t>
      </w:r>
      <w:proofErr w:type="spellEnd"/>
      <w:r w:rsidRPr="00142CFF" w:rsidR="00F307B6">
        <w:t>.</w:t>
      </w:r>
    </w:p>
    <w:p w:rsidRPr="00142CFF" w:rsidR="00F307B6" w:rsidP="001065E3" w:rsidRDefault="00F307B6" w14:paraId="5FC2E7F8" w14:textId="21E174FF">
      <w:r w:rsidRPr="00142CFF">
        <w:t>Reversering</w:t>
      </w:r>
    </w:p>
    <w:p w:rsidRPr="00142CFF" w:rsidR="007B70AB" w:rsidP="001065E3" w:rsidRDefault="00F307B6" w14:paraId="396628AD" w14:textId="0CD895D0">
      <w:r w:rsidRPr="00142CFF">
        <w:lastRenderedPageBreak/>
        <w:t xml:space="preserve">Antidot saknas. Efter </w:t>
      </w:r>
      <w:r w:rsidRPr="00142CFF" w:rsidR="00727AA0">
        <w:t>3–4</w:t>
      </w:r>
      <w:r w:rsidRPr="00142CFF" w:rsidR="00071604">
        <w:t xml:space="preserve"> timmar är den </w:t>
      </w:r>
      <w:r w:rsidRPr="00142CFF" w:rsidR="001F18E0">
        <w:t>aktiva metaboliten borta och trombocyter kan ges med viss effekt.</w:t>
      </w:r>
      <w:bookmarkEnd w:id="4"/>
    </w:p>
    <w:p w:rsidR="008D1EA1" w:rsidP="13E14E67" w:rsidRDefault="00102408" w14:paraId="00106EE6" w14:textId="061EF26D">
      <w:pPr>
        <w:rPr>
          <w:i/>
          <w:iCs/>
        </w:rPr>
      </w:pPr>
      <w:r>
        <w:rPr>
          <w:noProof/>
        </w:rPr>
        <w:drawing>
          <wp:inline distT="0" distB="0" distL="0" distR="0" wp14:anchorId="45FFED00" wp14:editId="33A6B13E">
            <wp:extent cx="5398491" cy="5144652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2838" r="1947"/>
                    <a:stretch/>
                  </pic:blipFill>
                  <pic:spPr bwMode="auto">
                    <a:xfrm>
                      <a:off x="0" y="0"/>
                      <a:ext cx="5398614" cy="51447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13E14E67" w:rsidR="5435E138">
        <w:rPr>
          <w:i/>
          <w:iCs/>
        </w:rPr>
        <w:t>Hög blödningsrisk om antingen en major eller 2 min</w:t>
      </w:r>
      <w:r w:rsidRPr="13E14E67" w:rsidR="19B41D66">
        <w:rPr>
          <w:i/>
          <w:iCs/>
        </w:rPr>
        <w:t xml:space="preserve">or kriterier föreligger. Högblödningsrisk </w:t>
      </w:r>
      <w:proofErr w:type="spellStart"/>
      <w:r w:rsidRPr="13E14E67" w:rsidR="19B41D66">
        <w:rPr>
          <w:i/>
          <w:iCs/>
        </w:rPr>
        <w:t>defineras</w:t>
      </w:r>
      <w:proofErr w:type="spellEnd"/>
      <w:r w:rsidRPr="13E14E67" w:rsidR="19B41D66">
        <w:rPr>
          <w:i/>
          <w:iCs/>
        </w:rPr>
        <w:t xml:space="preserve"> som risk ≥4</w:t>
      </w:r>
      <w:r w:rsidRPr="13E14E67" w:rsidR="7F2FCF47">
        <w:rPr>
          <w:i/>
          <w:iCs/>
        </w:rPr>
        <w:t xml:space="preserve"> % för BARC 3 eller 5 blödning eller risk ≥1% för </w:t>
      </w:r>
      <w:proofErr w:type="spellStart"/>
      <w:r w:rsidRPr="13E14E67" w:rsidR="7F2FCF47">
        <w:rPr>
          <w:i/>
          <w:iCs/>
        </w:rPr>
        <w:t>inra</w:t>
      </w:r>
      <w:r w:rsidRPr="13E14E67" w:rsidR="2CD74677">
        <w:rPr>
          <w:i/>
          <w:iCs/>
        </w:rPr>
        <w:t>kraniell</w:t>
      </w:r>
      <w:proofErr w:type="spellEnd"/>
      <w:r w:rsidRPr="13E14E67" w:rsidR="2CD74677">
        <w:rPr>
          <w:i/>
          <w:iCs/>
        </w:rPr>
        <w:t xml:space="preserve"> blödning, inom 1 år respektive. </w:t>
      </w:r>
    </w:p>
    <w:p w:rsidRPr="001065E3" w:rsidR="00383B3E" w:rsidP="001065E3" w:rsidRDefault="00383B3E" w14:paraId="69EA4967" w14:textId="12747A4F">
      <w:pPr>
        <w:rPr>
          <w:rFonts w:cstheme="minorHAnsi"/>
          <w:b/>
          <w:bCs/>
          <w:i/>
          <w:iCs/>
          <w:u w:val="single"/>
        </w:rPr>
      </w:pPr>
      <w:r w:rsidRPr="001065E3">
        <w:rPr>
          <w:rFonts w:cstheme="minorHAnsi"/>
          <w:b/>
          <w:bCs/>
          <w:i/>
          <w:iCs/>
          <w:u w:val="single"/>
        </w:rPr>
        <w:t xml:space="preserve">Referenser: </w:t>
      </w:r>
    </w:p>
    <w:p w:rsidRPr="001065E3" w:rsidR="00383B3E" w:rsidP="001065E3" w:rsidRDefault="00383B3E" w14:paraId="5C0EDB71" w14:textId="77777777">
      <w:pPr>
        <w:rPr>
          <w:rFonts w:cstheme="minorHAnsi"/>
          <w:i/>
          <w:iCs/>
        </w:rPr>
      </w:pPr>
      <w:r w:rsidRPr="001065E3">
        <w:rPr>
          <w:rFonts w:cstheme="minorHAnsi"/>
          <w:i/>
          <w:iCs/>
        </w:rPr>
        <w:t>Fass.se</w:t>
      </w:r>
    </w:p>
    <w:p w:rsidRPr="001065E3" w:rsidR="00383B3E" w:rsidP="13E14E67" w:rsidRDefault="05E9BD11" w14:paraId="410574E3" w14:textId="77DD1D8A">
      <w:pPr>
        <w:rPr>
          <w:rFonts w:cstheme="minorBidi"/>
          <w:i/>
          <w:iCs/>
        </w:rPr>
      </w:pPr>
      <w:r w:rsidRPr="13E14E67">
        <w:rPr>
          <w:rFonts w:cstheme="minorBidi"/>
          <w:i/>
          <w:iCs/>
          <w:lang w:val="en-US"/>
        </w:rPr>
        <w:t xml:space="preserve">Urban P, Mehran R, </w:t>
      </w:r>
      <w:proofErr w:type="spellStart"/>
      <w:r w:rsidRPr="13E14E67">
        <w:rPr>
          <w:rFonts w:cstheme="minorBidi"/>
          <w:i/>
          <w:iCs/>
          <w:lang w:val="en-US"/>
        </w:rPr>
        <w:t>Colleran</w:t>
      </w:r>
      <w:proofErr w:type="spellEnd"/>
      <w:r w:rsidRPr="13E14E67">
        <w:rPr>
          <w:rFonts w:cstheme="minorBidi"/>
          <w:i/>
          <w:iCs/>
          <w:lang w:val="en-US"/>
        </w:rPr>
        <w:t xml:space="preserve"> R, et al. Defining High Bleeding Risk in Patients Undergoing Percutaneous Coronary Intervention. </w:t>
      </w:r>
      <w:proofErr w:type="spellStart"/>
      <w:r w:rsidRPr="13E14E67">
        <w:rPr>
          <w:rFonts w:cstheme="minorBidi"/>
          <w:i/>
          <w:iCs/>
        </w:rPr>
        <w:t>Circulation</w:t>
      </w:r>
      <w:proofErr w:type="spellEnd"/>
      <w:r w:rsidRPr="13E14E67">
        <w:rPr>
          <w:rFonts w:cstheme="minorBidi"/>
          <w:i/>
          <w:iCs/>
        </w:rPr>
        <w:t>. 2019;140(3):</w:t>
      </w:r>
      <w:r w:rsidRPr="13E14E67" w:rsidR="2E3FC62B">
        <w:rPr>
          <w:rFonts w:cstheme="minorBidi"/>
          <w:i/>
          <w:iCs/>
        </w:rPr>
        <w:t>240–261</w:t>
      </w:r>
      <w:r w:rsidRPr="13E14E67">
        <w:rPr>
          <w:rFonts w:cstheme="minorBidi"/>
          <w:i/>
          <w:iCs/>
        </w:rPr>
        <w:t>. doi:</w:t>
      </w:r>
      <w:proofErr w:type="gramStart"/>
      <w:r w:rsidRPr="13E14E67">
        <w:rPr>
          <w:rFonts w:cstheme="minorBidi"/>
          <w:i/>
          <w:iCs/>
        </w:rPr>
        <w:t>10.1161</w:t>
      </w:r>
      <w:proofErr w:type="gramEnd"/>
      <w:r w:rsidRPr="13E14E67">
        <w:rPr>
          <w:rFonts w:cstheme="minorBidi"/>
          <w:i/>
          <w:iCs/>
        </w:rPr>
        <w:t>/CIRCULATIONAHA.119.040167</w:t>
      </w:r>
    </w:p>
    <w:p w:rsidRPr="001065E3" w:rsidR="00383B3E" w:rsidP="13E14E67" w:rsidRDefault="05E9BD11" w14:paraId="09620574" w14:textId="22724172">
      <w:pPr>
        <w:rPr>
          <w:rFonts w:cstheme="minorBidi"/>
          <w:i/>
          <w:iCs/>
        </w:rPr>
      </w:pPr>
      <w:proofErr w:type="spellStart"/>
      <w:r w:rsidRPr="13E14E67">
        <w:rPr>
          <w:rFonts w:cstheme="minorBidi"/>
          <w:i/>
          <w:iCs/>
        </w:rPr>
        <w:t>Schüpke</w:t>
      </w:r>
      <w:proofErr w:type="spellEnd"/>
      <w:r w:rsidRPr="13E14E67">
        <w:rPr>
          <w:rFonts w:cstheme="minorBidi"/>
          <w:i/>
          <w:iCs/>
        </w:rPr>
        <w:t xml:space="preserve"> S et al. </w:t>
      </w:r>
      <w:proofErr w:type="spellStart"/>
      <w:r w:rsidRPr="13E14E67">
        <w:rPr>
          <w:rFonts w:cstheme="minorBidi"/>
          <w:i/>
          <w:iCs/>
        </w:rPr>
        <w:t>Ticagrelor</w:t>
      </w:r>
      <w:proofErr w:type="spellEnd"/>
      <w:r w:rsidRPr="13E14E67">
        <w:rPr>
          <w:rFonts w:cstheme="minorBidi"/>
          <w:i/>
          <w:iCs/>
        </w:rPr>
        <w:t xml:space="preserve"> or </w:t>
      </w:r>
      <w:proofErr w:type="spellStart"/>
      <w:r w:rsidRPr="13E14E67">
        <w:rPr>
          <w:rFonts w:cstheme="minorBidi"/>
          <w:i/>
          <w:iCs/>
        </w:rPr>
        <w:t>Prasugrel</w:t>
      </w:r>
      <w:proofErr w:type="spellEnd"/>
      <w:r w:rsidRPr="13E14E67">
        <w:rPr>
          <w:rFonts w:cstheme="minorBidi"/>
          <w:i/>
          <w:iCs/>
        </w:rPr>
        <w:t xml:space="preserve"> in Patients </w:t>
      </w:r>
      <w:proofErr w:type="spellStart"/>
      <w:r w:rsidRPr="13E14E67">
        <w:rPr>
          <w:rFonts w:cstheme="minorBidi"/>
          <w:i/>
          <w:iCs/>
        </w:rPr>
        <w:t>with</w:t>
      </w:r>
      <w:proofErr w:type="spellEnd"/>
      <w:r w:rsidRPr="13E14E67">
        <w:rPr>
          <w:rFonts w:cstheme="minorBidi"/>
          <w:i/>
          <w:iCs/>
        </w:rPr>
        <w:t xml:space="preserve"> </w:t>
      </w:r>
      <w:proofErr w:type="spellStart"/>
      <w:r w:rsidRPr="13E14E67">
        <w:rPr>
          <w:rFonts w:cstheme="minorBidi"/>
          <w:i/>
          <w:iCs/>
        </w:rPr>
        <w:t>Acute</w:t>
      </w:r>
      <w:proofErr w:type="spellEnd"/>
      <w:r w:rsidRPr="13E14E67">
        <w:rPr>
          <w:rFonts w:cstheme="minorBidi"/>
          <w:i/>
          <w:iCs/>
        </w:rPr>
        <w:t xml:space="preserve"> </w:t>
      </w:r>
      <w:proofErr w:type="spellStart"/>
      <w:r w:rsidRPr="13E14E67">
        <w:rPr>
          <w:rFonts w:cstheme="minorBidi"/>
          <w:i/>
          <w:iCs/>
        </w:rPr>
        <w:t>Coronary</w:t>
      </w:r>
      <w:proofErr w:type="spellEnd"/>
      <w:r w:rsidRPr="13E14E67">
        <w:rPr>
          <w:rFonts w:cstheme="minorBidi"/>
          <w:i/>
          <w:iCs/>
        </w:rPr>
        <w:t xml:space="preserve"> </w:t>
      </w:r>
      <w:proofErr w:type="spellStart"/>
      <w:r w:rsidRPr="13E14E67">
        <w:rPr>
          <w:rFonts w:cstheme="minorBidi"/>
          <w:i/>
          <w:iCs/>
        </w:rPr>
        <w:t>Syndromes</w:t>
      </w:r>
      <w:proofErr w:type="spellEnd"/>
      <w:r w:rsidRPr="13E14E67">
        <w:rPr>
          <w:rFonts w:cstheme="minorBidi"/>
          <w:i/>
          <w:iCs/>
        </w:rPr>
        <w:t xml:space="preserve">. N </w:t>
      </w:r>
      <w:proofErr w:type="spellStart"/>
      <w:r w:rsidRPr="13E14E67">
        <w:rPr>
          <w:rFonts w:cstheme="minorBidi"/>
          <w:i/>
          <w:iCs/>
        </w:rPr>
        <w:t>Engl</w:t>
      </w:r>
      <w:proofErr w:type="spellEnd"/>
      <w:r w:rsidRPr="13E14E67">
        <w:rPr>
          <w:rFonts w:cstheme="minorBidi"/>
          <w:i/>
          <w:iCs/>
        </w:rPr>
        <w:t xml:space="preserve"> J Med 2019; 381:</w:t>
      </w:r>
      <w:r w:rsidRPr="13E14E67" w:rsidR="2AA3A8B3">
        <w:rPr>
          <w:rFonts w:cstheme="minorBidi"/>
          <w:i/>
          <w:iCs/>
        </w:rPr>
        <w:t>1524–1534</w:t>
      </w:r>
      <w:r w:rsidRPr="13E14E67">
        <w:rPr>
          <w:rFonts w:cstheme="minorBidi"/>
          <w:i/>
          <w:iCs/>
        </w:rPr>
        <w:t xml:space="preserve">. DOI: </w:t>
      </w:r>
      <w:proofErr w:type="gramStart"/>
      <w:r w:rsidRPr="13E14E67">
        <w:rPr>
          <w:rFonts w:cstheme="minorBidi"/>
          <w:i/>
          <w:iCs/>
        </w:rPr>
        <w:t>10.1056</w:t>
      </w:r>
      <w:proofErr w:type="gramEnd"/>
      <w:r w:rsidRPr="13E14E67">
        <w:rPr>
          <w:rFonts w:cstheme="minorBidi"/>
          <w:i/>
          <w:iCs/>
        </w:rPr>
        <w:t>/NEJMoa1908973</w:t>
      </w:r>
    </w:p>
    <w:p w:rsidRPr="001065E3" w:rsidR="00383B3E" w:rsidP="001065E3" w:rsidRDefault="00383B3E" w14:paraId="1077F694" w14:textId="77777777">
      <w:pPr>
        <w:rPr>
          <w:rFonts w:cstheme="minorHAnsi"/>
          <w:i/>
          <w:iCs/>
        </w:rPr>
      </w:pPr>
      <w:proofErr w:type="spellStart"/>
      <w:r w:rsidRPr="001065E3">
        <w:rPr>
          <w:rFonts w:cstheme="minorHAnsi"/>
          <w:i/>
          <w:iCs/>
        </w:rPr>
        <w:t>Bentzel</w:t>
      </w:r>
      <w:proofErr w:type="spellEnd"/>
      <w:r w:rsidRPr="001065E3">
        <w:rPr>
          <w:rFonts w:cstheme="minorHAnsi"/>
          <w:i/>
          <w:iCs/>
        </w:rPr>
        <w:t xml:space="preserve"> S, Jonsson H, Skoglund K. </w:t>
      </w:r>
      <w:proofErr w:type="spellStart"/>
      <w:r w:rsidRPr="001065E3">
        <w:rPr>
          <w:rFonts w:cstheme="minorHAnsi"/>
          <w:i/>
          <w:iCs/>
        </w:rPr>
        <w:t>Prasugrel</w:t>
      </w:r>
      <w:proofErr w:type="spellEnd"/>
      <w:r w:rsidRPr="001065E3">
        <w:rPr>
          <w:rFonts w:cstheme="minorHAnsi"/>
          <w:i/>
          <w:iCs/>
        </w:rPr>
        <w:t xml:space="preserve"> (</w:t>
      </w:r>
      <w:proofErr w:type="spellStart"/>
      <w:r w:rsidRPr="001065E3">
        <w:rPr>
          <w:rFonts w:cstheme="minorHAnsi"/>
          <w:i/>
          <w:iCs/>
        </w:rPr>
        <w:t>Efient</w:t>
      </w:r>
      <w:proofErr w:type="spellEnd"/>
      <w:r w:rsidRPr="001065E3">
        <w:rPr>
          <w:rFonts w:cstheme="minorHAnsi"/>
          <w:i/>
          <w:iCs/>
        </w:rPr>
        <w:t>). Intern rutin Verksamhet kardiologi, Sahlgrenska Universitetssjukhuset. Dokument-ID: SU9777-819499373-481</w:t>
      </w:r>
    </w:p>
    <w:p w:rsidRPr="001065E3" w:rsidR="00B417B6" w:rsidP="001065E3" w:rsidRDefault="00B417B6" w14:paraId="45E29B18" w14:textId="77777777">
      <w:pPr>
        <w:rPr>
          <w:i/>
          <w:iCs/>
        </w:rPr>
      </w:pPr>
    </w:p>
    <w:sectPr w:rsidRPr="001065E3" w:rsidR="00B417B6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93245" w:rsidRDefault="00993245" w14:paraId="63253844" w14:textId="77777777">
      <w:r>
        <w:separator/>
      </w:r>
    </w:p>
  </w:endnote>
  <w:endnote w:type="continuationSeparator" w:id="0">
    <w:p w:rsidR="00993245" w:rsidRDefault="00993245" w14:paraId="7A0E6ED6" w14:textId="77777777">
      <w:r>
        <w:continuationSeparator/>
      </w:r>
    </w:p>
  </w:endnote>
  <w:endnote w:type="continuationNotice" w:id="1">
    <w:p w:rsidR="00993245" w:rsidRDefault="00993245" w14:paraId="374ABB9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93245" w:rsidRDefault="00993245" w14:paraId="48522EEB" w14:textId="77777777"/>
  </w:footnote>
  <w:footnote w:type="continuationSeparator" w:id="0">
    <w:p w:rsidR="00993245" w:rsidRDefault="00993245" w14:paraId="65B826D6" w14:textId="77777777">
      <w:r>
        <w:continuationSeparator/>
      </w:r>
    </w:p>
  </w:footnote>
  <w:footnote w:type="continuationNotice" w:id="1">
    <w:p w:rsidR="00993245" w:rsidRDefault="00993245" w14:paraId="55ABE4B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BFE646C"/>
    <w:multiLevelType w:val="hybridMultilevel"/>
    <w:tmpl w:val="849E49FC"/>
    <w:lvl w:ilvl="0" w:tplc="041D0001">
      <w:start w:val="1"/>
      <w:numFmt w:val="bullet"/>
      <w:lvlText w:val=""/>
      <w:lvlJc w:val="left"/>
      <w:pPr>
        <w:ind w:left="92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9F44001"/>
    <w:multiLevelType w:val="hybridMultilevel"/>
    <w:tmpl w:val="700E5D0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7" w15:restartNumberingAfterBreak="0">
    <w:nsid w:val="6DBB6F43"/>
    <w:multiLevelType w:val="hybridMultilevel"/>
    <w:tmpl w:val="7F02DAA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A211238"/>
    <w:multiLevelType w:val="hybridMultilevel"/>
    <w:tmpl w:val="59E064B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91584394">
    <w:abstractNumId w:val="21"/>
  </w:num>
  <w:num w:numId="2" w16cid:durableId="2086416547">
    <w:abstractNumId w:val="15"/>
  </w:num>
  <w:num w:numId="3" w16cid:durableId="21177681">
    <w:abstractNumId w:val="0"/>
  </w:num>
  <w:num w:numId="4" w16cid:durableId="1895385960">
    <w:abstractNumId w:val="6"/>
  </w:num>
  <w:num w:numId="5" w16cid:durableId="288050731">
    <w:abstractNumId w:val="18"/>
  </w:num>
  <w:num w:numId="6" w16cid:durableId="376320004">
    <w:abstractNumId w:val="2"/>
  </w:num>
  <w:num w:numId="7" w16cid:durableId="2021279005">
    <w:abstractNumId w:val="12"/>
  </w:num>
  <w:num w:numId="8" w16cid:durableId="317614702">
    <w:abstractNumId w:val="9"/>
  </w:num>
  <w:num w:numId="9" w16cid:durableId="250283092">
    <w:abstractNumId w:val="1"/>
  </w:num>
  <w:num w:numId="10" w16cid:durableId="1124154177">
    <w:abstractNumId w:val="1"/>
  </w:num>
  <w:num w:numId="11" w16cid:durableId="311525109">
    <w:abstractNumId w:val="3"/>
  </w:num>
  <w:num w:numId="12" w16cid:durableId="476725331">
    <w:abstractNumId w:val="4"/>
  </w:num>
  <w:num w:numId="13" w16cid:durableId="1760252977">
    <w:abstractNumId w:val="14"/>
  </w:num>
  <w:num w:numId="14" w16cid:durableId="1133869829">
    <w:abstractNumId w:val="10"/>
  </w:num>
  <w:num w:numId="15" w16cid:durableId="747071676">
    <w:abstractNumId w:val="7"/>
  </w:num>
  <w:num w:numId="16" w16cid:durableId="317150038">
    <w:abstractNumId w:val="13"/>
  </w:num>
  <w:num w:numId="17" w16cid:durableId="430396764">
    <w:abstractNumId w:val="5"/>
  </w:num>
  <w:num w:numId="18" w16cid:durableId="1464159114">
    <w:abstractNumId w:val="11"/>
  </w:num>
  <w:num w:numId="19" w16cid:durableId="1312756727">
    <w:abstractNumId w:val="20"/>
  </w:num>
  <w:num w:numId="20" w16cid:durableId="1025520919">
    <w:abstractNumId w:val="8"/>
  </w:num>
  <w:num w:numId="21" w16cid:durableId="1498231299">
    <w:abstractNumId w:val="16"/>
  </w:num>
  <w:num w:numId="22" w16cid:durableId="1806657809">
    <w:abstractNumId w:val="17"/>
  </w:num>
  <w:num w:numId="23" w16cid:durableId="38837894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769"/>
    <w:rsid w:val="00010D47"/>
    <w:rsid w:val="00016CF0"/>
    <w:rsid w:val="00030DDD"/>
    <w:rsid w:val="000313BB"/>
    <w:rsid w:val="00031674"/>
    <w:rsid w:val="00033ED5"/>
    <w:rsid w:val="00050500"/>
    <w:rsid w:val="000565C5"/>
    <w:rsid w:val="0005691C"/>
    <w:rsid w:val="00056ECB"/>
    <w:rsid w:val="00056ED5"/>
    <w:rsid w:val="00061969"/>
    <w:rsid w:val="000655CC"/>
    <w:rsid w:val="000700AE"/>
    <w:rsid w:val="00071604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2408"/>
    <w:rsid w:val="00103031"/>
    <w:rsid w:val="001044FE"/>
    <w:rsid w:val="001065E3"/>
    <w:rsid w:val="001139D4"/>
    <w:rsid w:val="00123F1F"/>
    <w:rsid w:val="00131B08"/>
    <w:rsid w:val="00132A59"/>
    <w:rsid w:val="00133337"/>
    <w:rsid w:val="00133A0F"/>
    <w:rsid w:val="0013580F"/>
    <w:rsid w:val="00137B6D"/>
    <w:rsid w:val="0014070B"/>
    <w:rsid w:val="001422C1"/>
    <w:rsid w:val="00142CFF"/>
    <w:rsid w:val="001434C5"/>
    <w:rsid w:val="001522AE"/>
    <w:rsid w:val="001567C4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077E"/>
    <w:rsid w:val="001B762C"/>
    <w:rsid w:val="001C4C2F"/>
    <w:rsid w:val="001C4D0A"/>
    <w:rsid w:val="001C5FEF"/>
    <w:rsid w:val="001D1863"/>
    <w:rsid w:val="001E3789"/>
    <w:rsid w:val="001F18E0"/>
    <w:rsid w:val="001F5A00"/>
    <w:rsid w:val="00211487"/>
    <w:rsid w:val="00211D91"/>
    <w:rsid w:val="00217DEC"/>
    <w:rsid w:val="0022470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62C"/>
    <w:rsid w:val="0027009E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588E"/>
    <w:rsid w:val="002C0C02"/>
    <w:rsid w:val="002C1277"/>
    <w:rsid w:val="002C515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409"/>
    <w:rsid w:val="003203D7"/>
    <w:rsid w:val="0032086D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3B3E"/>
    <w:rsid w:val="00384019"/>
    <w:rsid w:val="003854F1"/>
    <w:rsid w:val="0039118E"/>
    <w:rsid w:val="00397F54"/>
    <w:rsid w:val="003A0D43"/>
    <w:rsid w:val="003B2A4B"/>
    <w:rsid w:val="003C3898"/>
    <w:rsid w:val="003D099E"/>
    <w:rsid w:val="003D21A2"/>
    <w:rsid w:val="003D29D2"/>
    <w:rsid w:val="003D6DF1"/>
    <w:rsid w:val="003E0705"/>
    <w:rsid w:val="003E2FF7"/>
    <w:rsid w:val="003F1013"/>
    <w:rsid w:val="003F1ACF"/>
    <w:rsid w:val="00402761"/>
    <w:rsid w:val="00404948"/>
    <w:rsid w:val="00406540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0F0B"/>
    <w:rsid w:val="004D7BA3"/>
    <w:rsid w:val="004F4518"/>
    <w:rsid w:val="004F4C62"/>
    <w:rsid w:val="00501433"/>
    <w:rsid w:val="00511CC4"/>
    <w:rsid w:val="00526266"/>
    <w:rsid w:val="00531E60"/>
    <w:rsid w:val="005403BD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039B"/>
    <w:rsid w:val="005A54ED"/>
    <w:rsid w:val="005A5D5B"/>
    <w:rsid w:val="005A6081"/>
    <w:rsid w:val="005A627D"/>
    <w:rsid w:val="005C0045"/>
    <w:rsid w:val="005C084E"/>
    <w:rsid w:val="005C4606"/>
    <w:rsid w:val="005D0B0C"/>
    <w:rsid w:val="005D0C3A"/>
    <w:rsid w:val="005E02B3"/>
    <w:rsid w:val="005E1E24"/>
    <w:rsid w:val="006009B9"/>
    <w:rsid w:val="00600E3C"/>
    <w:rsid w:val="0060596B"/>
    <w:rsid w:val="00606D97"/>
    <w:rsid w:val="00613CCD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660D3"/>
    <w:rsid w:val="00673C92"/>
    <w:rsid w:val="006753EC"/>
    <w:rsid w:val="00685193"/>
    <w:rsid w:val="006A2789"/>
    <w:rsid w:val="006A4978"/>
    <w:rsid w:val="006A7261"/>
    <w:rsid w:val="006B0D29"/>
    <w:rsid w:val="006B1819"/>
    <w:rsid w:val="006C274C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7AA0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619"/>
    <w:rsid w:val="0078609F"/>
    <w:rsid w:val="007917BA"/>
    <w:rsid w:val="007A334E"/>
    <w:rsid w:val="007A5C6F"/>
    <w:rsid w:val="007A6592"/>
    <w:rsid w:val="007B70AB"/>
    <w:rsid w:val="007C1B50"/>
    <w:rsid w:val="007C3809"/>
    <w:rsid w:val="007D4241"/>
    <w:rsid w:val="007D4317"/>
    <w:rsid w:val="007D4EA3"/>
    <w:rsid w:val="007F1CFF"/>
    <w:rsid w:val="007F5DD5"/>
    <w:rsid w:val="0080257F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683C"/>
    <w:rsid w:val="008C7F0C"/>
    <w:rsid w:val="008C7F2A"/>
    <w:rsid w:val="008D1EA1"/>
    <w:rsid w:val="008D4B13"/>
    <w:rsid w:val="008E2D0D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3245"/>
    <w:rsid w:val="009960C6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31B7"/>
    <w:rsid w:val="009F4A56"/>
    <w:rsid w:val="009F4E65"/>
    <w:rsid w:val="00A006A5"/>
    <w:rsid w:val="00A05942"/>
    <w:rsid w:val="00A07BEC"/>
    <w:rsid w:val="00A14C01"/>
    <w:rsid w:val="00A2094B"/>
    <w:rsid w:val="00A264BE"/>
    <w:rsid w:val="00A272CA"/>
    <w:rsid w:val="00A33051"/>
    <w:rsid w:val="00A407AD"/>
    <w:rsid w:val="00A40923"/>
    <w:rsid w:val="00A41C05"/>
    <w:rsid w:val="00A42426"/>
    <w:rsid w:val="00A4586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9E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17B6"/>
    <w:rsid w:val="00B46C03"/>
    <w:rsid w:val="00B5477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26F9"/>
    <w:rsid w:val="00BB2A3A"/>
    <w:rsid w:val="00BB69DB"/>
    <w:rsid w:val="00BC322E"/>
    <w:rsid w:val="00BC44CD"/>
    <w:rsid w:val="00BC48A6"/>
    <w:rsid w:val="00BC6C68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DC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1F6D"/>
    <w:rsid w:val="00CC167C"/>
    <w:rsid w:val="00CC52D9"/>
    <w:rsid w:val="00CD6647"/>
    <w:rsid w:val="00CE4B73"/>
    <w:rsid w:val="00CF70BB"/>
    <w:rsid w:val="00D03047"/>
    <w:rsid w:val="00D074DB"/>
    <w:rsid w:val="00D139CF"/>
    <w:rsid w:val="00D20779"/>
    <w:rsid w:val="00D34298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F2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78F3"/>
    <w:rsid w:val="00F22264"/>
    <w:rsid w:val="00F2564D"/>
    <w:rsid w:val="00F307B6"/>
    <w:rsid w:val="00F35B05"/>
    <w:rsid w:val="00F413D9"/>
    <w:rsid w:val="00F5135F"/>
    <w:rsid w:val="00F51F78"/>
    <w:rsid w:val="00F62639"/>
    <w:rsid w:val="00F86F47"/>
    <w:rsid w:val="00F90B64"/>
    <w:rsid w:val="00F96D40"/>
    <w:rsid w:val="00FB2F0F"/>
    <w:rsid w:val="00FB5086"/>
    <w:rsid w:val="00FB5411"/>
    <w:rsid w:val="00FB6392"/>
    <w:rsid w:val="00FC4F36"/>
    <w:rsid w:val="00FC79F5"/>
    <w:rsid w:val="00FD3C70"/>
    <w:rsid w:val="00FD6820"/>
    <w:rsid w:val="00FE12D8"/>
    <w:rsid w:val="00FF256D"/>
    <w:rsid w:val="00FF7C02"/>
    <w:rsid w:val="024801E3"/>
    <w:rsid w:val="05E9BD11"/>
    <w:rsid w:val="13E14E67"/>
    <w:rsid w:val="19B41D66"/>
    <w:rsid w:val="29FACB60"/>
    <w:rsid w:val="2AA3A8B3"/>
    <w:rsid w:val="2CD74677"/>
    <w:rsid w:val="2E3FC62B"/>
    <w:rsid w:val="47C615B7"/>
    <w:rsid w:val="4DAB6E43"/>
    <w:rsid w:val="5435E138"/>
    <w:rsid w:val="5B9D1E74"/>
    <w:rsid w:val="5FDAD07A"/>
    <w:rsid w:val="635404D4"/>
    <w:rsid w:val="64582B4D"/>
    <w:rsid w:val="647B2B65"/>
    <w:rsid w:val="6B2CF8ED"/>
    <w:rsid w:val="6C1FC7D1"/>
    <w:rsid w:val="7F2FC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Default" w:customStyle="1">
    <w:name w:val="Default"/>
    <w:rsid w:val="00E64F28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Prasugrel (Efient) vid akut koronart syndrom</dc:title>
  <dc:subject/>
  <dc:creator/>
  <keywords/>
  <lastModifiedBy>Emma Husberg</lastModifiedBy>
  <revision>83</revision>
  <lastPrinted>2016-03-31T10:56:00.0000000Z</lastPrinted>
  <dcterms:created xsi:type="dcterms:W3CDTF">2021-05-27T09:47:00.0000000Z</dcterms:created>
  <dcterms:modified xsi:type="dcterms:W3CDTF">2024-01-02T12:23:44.0000000Z</dcterms:modified>
</coreProperties>
</file>