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84167" w:rsidP="009A32ED" w:rsidRDefault="00D4179E" w14:paraId="061914D4" w14:textId="066C3A8A">
      <w:pPr>
        <w:pStyle w:val="Heading1"/>
      </w:pPr>
      <w:r>
        <w:t>Monofer</w:t>
      </w:r>
      <w:bookmarkStart w:name="_Toc321146591" w:id="0"/>
    </w:p>
    <w:bookmarkEnd w:id="0"/>
    <w:p w:rsidR="009A32ED" w:rsidP="009A32ED" w:rsidRDefault="009B39FD" w14:paraId="11BC1DCA" w14:textId="594CE1D6">
      <w:pPr>
        <w:pStyle w:val="Heading2"/>
        <w:ind w:right="-143"/>
      </w:pPr>
      <w:r w:rsidR="009B39FD">
        <w:rPr/>
        <w:t>Revidering</w:t>
      </w:r>
    </w:p>
    <w:p w:rsidR="009A32ED" w:rsidP="18C1436C" w:rsidRDefault="00376A66" w14:paraId="6189F8FC" w14:textId="1724B715">
      <w:pPr>
        <w:spacing w:before="0" w:beforeAutospacing="off" w:after="160" w:afterAutospacing="off" w:line="257" w:lineRule="auto"/>
        <w:rPr>
          <w:rFonts w:ascii="Calibri" w:hAnsi="Calibri" w:eastAsia="Calibri" w:cs="Calibri"/>
          <w:noProof w:val="0"/>
          <w:sz w:val="24"/>
          <w:szCs w:val="24"/>
          <w:lang w:val="sv-SE"/>
        </w:rPr>
      </w:pPr>
      <w:r w:rsidR="009A32ED">
        <w:rPr/>
        <w:t xml:space="preserve"> </w:t>
      </w:r>
      <w:r w:rsidRPr="18C1436C" w:rsidR="3368435E">
        <w:rPr>
          <w:rFonts w:ascii="Calibri" w:hAnsi="Calibri" w:eastAsia="Calibri" w:cs="Calibri"/>
          <w:noProof w:val="0"/>
          <w:sz w:val="24"/>
          <w:szCs w:val="24"/>
          <w:lang w:val="sv-SE"/>
        </w:rPr>
        <w:t>Tillägg under biverkningar.</w:t>
      </w:r>
    </w:p>
    <w:p w:rsidR="009A32ED" w:rsidP="18C1436C" w:rsidRDefault="00376A66" w14:paraId="69BCFD87" w14:textId="139EB150">
      <w:pPr>
        <w:pStyle w:val="Heading3"/>
        <w:ind w:right="-143"/>
      </w:pPr>
      <w:bookmarkStart w:name="_Toc72840807" w:id="1"/>
      <w:r w:rsidR="00376A66">
        <w:rPr/>
        <w:t xml:space="preserve">Indikation </w:t>
      </w:r>
    </w:p>
    <w:p w:rsidR="009A32ED" w:rsidP="009A32ED" w:rsidRDefault="000063CC" w14:paraId="12570B26" w14:textId="5E003C8C">
      <w:pPr>
        <w:ind w:right="-143"/>
      </w:pPr>
      <w:r>
        <w:t>Intra</w:t>
      </w:r>
      <w:r w:rsidR="00A5784F">
        <w:t>venöst järn är inducerat för patienter med symptom givande systolisk kronisk hjärtsvikt med nedsatt funktions</w:t>
      </w:r>
      <w:r w:rsidR="00EE2894">
        <w:t>förmåga och nedsatt livskvalité, dvs NYHA II-IV med EF &lt;</w:t>
      </w:r>
      <w:r w:rsidR="00E73880">
        <w:t>45%.</w:t>
      </w:r>
    </w:p>
    <w:p w:rsidR="00E73880" w:rsidP="009A32ED" w:rsidRDefault="00E73880" w14:paraId="3CD488A3" w14:textId="499FB77E">
      <w:pPr>
        <w:ind w:right="-143"/>
      </w:pPr>
      <w:r>
        <w:t>Prover bör ej vara äldre än 2 månader</w:t>
      </w:r>
      <w:r w:rsidR="00463AF3">
        <w:t xml:space="preserve"> när järn ges</w:t>
      </w:r>
    </w:p>
    <w:p w:rsidR="00B405A1" w:rsidP="00B034A1" w:rsidRDefault="00B034A1" w14:paraId="6660DA9D" w14:textId="59BC5652">
      <w:pPr>
        <w:pStyle w:val="Heading3"/>
      </w:pPr>
      <w:r>
        <w:t>Kontraindikationer</w:t>
      </w:r>
    </w:p>
    <w:p w:rsidR="00B405A1" w:rsidP="0086789D" w:rsidRDefault="0086789D" w14:paraId="1FC6584C" w14:textId="4BBDD26B">
      <w:pPr>
        <w:pStyle w:val="ListParagraph"/>
        <w:numPr>
          <w:ilvl w:val="0"/>
          <w:numId w:val="20"/>
        </w:numPr>
        <w:ind w:right="-143"/>
      </w:pPr>
      <w:proofErr w:type="spellStart"/>
      <w:r>
        <w:t>Dekompenserad</w:t>
      </w:r>
      <w:proofErr w:type="spellEnd"/>
      <w:r>
        <w:t xml:space="preserve"> leversjukdom</w:t>
      </w:r>
    </w:p>
    <w:p w:rsidR="0086789D" w:rsidP="0086789D" w:rsidRDefault="0086789D" w14:paraId="6117B4D5" w14:textId="4056FC9F">
      <w:pPr>
        <w:pStyle w:val="ListParagraph"/>
        <w:numPr>
          <w:ilvl w:val="0"/>
          <w:numId w:val="20"/>
        </w:numPr>
        <w:ind w:right="-143"/>
      </w:pPr>
      <w:r>
        <w:t>Dialyspatienter ska diskuteras med njurläkare</w:t>
      </w:r>
    </w:p>
    <w:p w:rsidR="0086789D" w:rsidP="0086789D" w:rsidRDefault="0086789D" w14:paraId="2A5CD088" w14:textId="4D48C418">
      <w:pPr>
        <w:pStyle w:val="ListParagraph"/>
        <w:numPr>
          <w:ilvl w:val="0"/>
          <w:numId w:val="20"/>
        </w:numPr>
        <w:ind w:right="-143"/>
      </w:pPr>
      <w:r>
        <w:t xml:space="preserve">Anemi som </w:t>
      </w:r>
      <w:r w:rsidR="00C03952">
        <w:t>ej orsakas av järnbrist</w:t>
      </w:r>
    </w:p>
    <w:p w:rsidR="009A32ED" w:rsidP="00A91333" w:rsidRDefault="009A32ED" w14:paraId="29B03EF5" w14:textId="7A973776">
      <w:pPr>
        <w:pStyle w:val="Heading3"/>
      </w:pPr>
      <w:bookmarkStart w:name="_Toc100327186" w:id="2"/>
      <w:bookmarkStart w:name="_Toc106874289" w:id="3"/>
      <w:bookmarkEnd w:id="1"/>
      <w:r>
        <w:t>B</w:t>
      </w:r>
      <w:bookmarkEnd w:id="2"/>
      <w:bookmarkEnd w:id="3"/>
      <w:r w:rsidR="00C03952">
        <w:t>iverkni</w:t>
      </w:r>
      <w:r w:rsidR="00A91333">
        <w:t>ngar</w:t>
      </w:r>
      <w:r>
        <w:t xml:space="preserve"> </w:t>
      </w:r>
    </w:p>
    <w:p w:rsidR="00A91333" w:rsidP="00ED3B43" w:rsidRDefault="00A91333" w14:paraId="12CA6C8D" w14:textId="446F8813">
      <w:pPr>
        <w:pStyle w:val="ListParagraph"/>
        <w:numPr>
          <w:ilvl w:val="0"/>
          <w:numId w:val="21"/>
        </w:numPr>
      </w:pPr>
      <w:r>
        <w:t>Illamående</w:t>
      </w:r>
    </w:p>
    <w:p w:rsidR="398C6E4B" w:rsidP="3FC362D0" w:rsidRDefault="398C6E4B" w14:paraId="1D3208EF" w14:textId="4602682F">
      <w:pPr>
        <w:pStyle w:val="ListParagraph"/>
        <w:rPr>
          <w:noProof w:val="0"/>
          <w:lang w:val="sv-SE"/>
        </w:rPr>
      </w:pPr>
      <w:r w:rsidR="00A91333">
        <w:rPr/>
        <w:t>Paravenöst läckage av Monofer kan leda till hudirritation och ev långvarig brun missfärgning</w:t>
      </w:r>
      <w:r w:rsidR="00ED3B43">
        <w:rPr/>
        <w:t xml:space="preserve"> vid injektionsstället.</w:t>
      </w:r>
    </w:p>
    <w:p w:rsidR="398C6E4B" w:rsidP="18C1436C" w:rsidRDefault="398C6E4B" w14:paraId="77C019A4" w14:textId="3E48248F">
      <w:pPr>
        <w:pStyle w:val="ListParagraph"/>
        <w:rPr>
          <w:rFonts w:ascii="Calibri" w:hAnsi="Calibri" w:eastAsia="Calibri" w:cs="Calibri"/>
          <w:noProof w:val="0"/>
          <w:sz w:val="24"/>
          <w:szCs w:val="24"/>
          <w:lang w:val="sv-SE"/>
        </w:rPr>
      </w:pPr>
      <w:r w:rsidR="00ED3B43">
        <w:rPr/>
        <w:t>Fishbane</w:t>
      </w:r>
      <w:r w:rsidR="00ED3B43">
        <w:rPr/>
        <w:t xml:space="preserve"> reaktion: blodvallningar</w:t>
      </w:r>
      <w:r w:rsidR="003B1D54">
        <w:rPr/>
        <w:t xml:space="preserve"> i ansikte, akut bröst och/eller ryggsmärta ibland tillsammans med </w:t>
      </w:r>
      <w:r w:rsidR="000F0478">
        <w:rPr/>
        <w:t>dyspne</w:t>
      </w:r>
      <w:r w:rsidR="000F0478">
        <w:rPr/>
        <w:t>. Dett</w:t>
      </w:r>
      <w:r w:rsidR="00E23979">
        <w:rPr/>
        <w:t>a</w:t>
      </w:r>
      <w:r w:rsidR="000F0478">
        <w:rPr/>
        <w:t xml:space="preserve"> kan likna tidiga symtom på </w:t>
      </w:r>
      <w:r w:rsidR="009D164A">
        <w:rPr/>
        <w:t>en anafylaktisk reaktion</w:t>
      </w:r>
      <w:r w:rsidR="00275628">
        <w:rPr/>
        <w:t>. Infusion ska STOPPAS och patient</w:t>
      </w:r>
      <w:r w:rsidR="009D164A">
        <w:rPr/>
        <w:t>ens vitala baromet</w:t>
      </w:r>
      <w:r w:rsidR="003E7980">
        <w:rPr/>
        <w:t>rar ska kontrolleras. Symtomen försvinner strax efter att järnadministrering</w:t>
      </w:r>
      <w:r w:rsidR="00E23979">
        <w:rPr/>
        <w:t xml:space="preserve"> stoppats. De återkommer vanligtvis inte järninfusionen startas igen med lägre infusionshastighet.</w:t>
      </w:r>
    </w:p>
    <w:p w:rsidR="398C6E4B" w:rsidP="18C1436C" w:rsidRDefault="398C6E4B" w14:paraId="794E35B4" w14:textId="0EF8EA83">
      <w:pPr>
        <w:pStyle w:val="ListParagraph"/>
        <w:rPr>
          <w:rFonts w:ascii="Calibri" w:hAnsi="Calibri" w:eastAsia="Calibri" w:cs="Calibri"/>
          <w:noProof w:val="0"/>
          <w:sz w:val="24"/>
          <w:szCs w:val="24"/>
          <w:lang w:val="sv-SE"/>
        </w:rPr>
      </w:pPr>
      <w:r w:rsidRPr="3FC362D0" w:rsidR="398C6E4B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Stäng av järninfusionen i ca 15 min och om alla symtom försvinner återuppta infusionen med halverad hastighet </w:t>
      </w:r>
      <w:r w:rsidRPr="3FC362D0" w:rsidR="398C6E4B">
        <w:rPr>
          <w:rFonts w:ascii="Calibri" w:hAnsi="Calibri" w:eastAsia="Calibri" w:cs="Calibri"/>
          <w:noProof w:val="0"/>
          <w:sz w:val="24"/>
          <w:szCs w:val="24"/>
          <w:lang w:val="sv-SE"/>
        </w:rPr>
        <w:t>enl</w:t>
      </w:r>
      <w:r w:rsidRPr="3FC362D0" w:rsidR="398C6E4B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regionala spädningslistan.</w:t>
      </w:r>
    </w:p>
    <w:p w:rsidR="18C1436C" w:rsidP="18C1436C" w:rsidRDefault="18C1436C" w14:paraId="39965947" w14:textId="3B8AA41D">
      <w:pPr>
        <w:pStyle w:val="ListParagraph"/>
        <w:numPr>
          <w:ilvl w:val="0"/>
          <w:numId w:val="0"/>
        </w:numPr>
        <w:ind w:left="1287"/>
      </w:pPr>
    </w:p>
    <w:p w:rsidRPr="00023FF4" w:rsidR="009A32ED" w:rsidP="009A32ED" w:rsidRDefault="009A32ED" w14:paraId="696C096E" w14:textId="5E6F30CE">
      <w:pPr>
        <w:ind w:right="-143"/>
      </w:pPr>
      <w:r>
        <w:br/>
      </w:r>
    </w:p>
    <w:p w:rsidR="009A32ED" w:rsidP="000C7B3E" w:rsidRDefault="000C7B3E" w14:paraId="70B2A54A" w14:textId="7CF5C9B2">
      <w:pPr>
        <w:pStyle w:val="Heading3"/>
      </w:pPr>
      <w:r>
        <w:t xml:space="preserve">Beräkning av </w:t>
      </w:r>
      <w:r w:rsidR="0026665D">
        <w:t>kumulativ järndos- Monofer</w:t>
      </w:r>
    </w:p>
    <w:tbl>
      <w:tblPr>
        <w:tblStyle w:val="TableGrid"/>
        <w:tblpPr w:leftFromText="141" w:rightFromText="141" w:vertAnchor="text" w:horzAnchor="page" w:tblpX="1637" w:tblpY="178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088"/>
        <w:gridCol w:w="2088"/>
        <w:gridCol w:w="2340"/>
      </w:tblGrid>
      <w:tr w:rsidR="00F41A70" w:rsidTr="086E2E97" w14:paraId="432BCC74" w14:textId="77777777">
        <w:trPr>
          <w:tblHeader/>
        </w:trPr>
        <w:tc>
          <w:tcPr>
            <w:tcW w:w="2088" w:type="dxa"/>
            <w:tcBorders>
              <w:bottom w:val="single" w:color="auto" w:sz="18" w:space="0"/>
            </w:tcBorders>
            <w:tcMar/>
            <w:vAlign w:val="center"/>
          </w:tcPr>
          <w:p w:rsidRPr="00B655A8" w:rsidR="00F41A70" w:rsidP="00F41A70" w:rsidRDefault="00F41A70" w14:paraId="31CC21BD" w14:textId="77777777">
            <w:pPr>
              <w:pStyle w:val="Tabell"/>
              <w:rPr>
                <w:b/>
                <w:bCs/>
              </w:rPr>
            </w:pPr>
            <w:r w:rsidRPr="00B655A8">
              <w:rPr>
                <w:b/>
                <w:bCs/>
              </w:rPr>
              <w:t>Hb</w:t>
            </w:r>
          </w:p>
        </w:tc>
        <w:tc>
          <w:tcPr>
            <w:tcW w:w="2088" w:type="dxa"/>
            <w:tcBorders>
              <w:bottom w:val="single" w:color="auto" w:sz="18" w:space="0"/>
            </w:tcBorders>
            <w:tcMar/>
          </w:tcPr>
          <w:p w:rsidRPr="00B655A8" w:rsidR="00F41A70" w:rsidP="00F41A70" w:rsidRDefault="00F41A70" w14:paraId="7F371D35" w14:textId="77777777">
            <w:pPr>
              <w:pStyle w:val="Tabell"/>
              <w:rPr>
                <w:b/>
                <w:bCs/>
              </w:rPr>
            </w:pPr>
            <w:r w:rsidRPr="00B655A8">
              <w:rPr>
                <w:b/>
                <w:bCs/>
              </w:rPr>
              <w:t>Vikt 50–75 kg</w:t>
            </w:r>
          </w:p>
        </w:tc>
        <w:tc>
          <w:tcPr>
            <w:tcW w:w="2340" w:type="dxa"/>
            <w:tcBorders>
              <w:bottom w:val="single" w:color="auto" w:sz="18" w:space="0"/>
            </w:tcBorders>
            <w:tcMar/>
          </w:tcPr>
          <w:p w:rsidRPr="00B655A8" w:rsidR="00F41A70" w:rsidP="00F41A70" w:rsidRDefault="00F41A70" w14:paraId="00687A63" w14:textId="37FDA0AB">
            <w:pPr>
              <w:pStyle w:val="Tabell"/>
              <w:rPr>
                <w:b/>
                <w:bCs/>
              </w:rPr>
            </w:pPr>
            <w:r w:rsidRPr="00B655A8">
              <w:rPr>
                <w:b/>
                <w:bCs/>
              </w:rPr>
              <w:t>Vikt</w:t>
            </w:r>
            <w:r w:rsidRPr="00B655A8">
              <w:rPr>
                <w:b/>
                <w:bCs/>
                <w:u w:val="single"/>
              </w:rPr>
              <w:t>&gt;</w:t>
            </w:r>
            <w:r w:rsidRPr="00B655A8">
              <w:rPr>
                <w:b/>
                <w:bCs/>
              </w:rPr>
              <w:t xml:space="preserve"> 75 kg </w:t>
            </w:r>
            <w:r w:rsidR="00885315">
              <w:rPr>
                <w:b/>
                <w:bCs/>
              </w:rPr>
              <w:t xml:space="preserve"> </w:t>
            </w:r>
          </w:p>
        </w:tc>
      </w:tr>
      <w:tr w:rsidR="00F41A70" w:rsidTr="086E2E97" w14:paraId="62342D29" w14:textId="77777777">
        <w:tc>
          <w:tcPr>
            <w:tcW w:w="2088" w:type="dxa"/>
            <w:tcBorders>
              <w:top w:val="single" w:color="auto" w:sz="18" w:space="0"/>
            </w:tcBorders>
            <w:tcMar/>
          </w:tcPr>
          <w:p w:rsidR="00F41A70" w:rsidP="00F41A70" w:rsidRDefault="00D61963" w14:paraId="024F6998" w14:textId="0BC7BAE9">
            <w:pPr>
              <w:pStyle w:val="Tabell"/>
            </w:pPr>
            <w:r w:rsidR="59463BFF">
              <w:rPr/>
              <w:t>&lt;</w:t>
            </w:r>
            <w:r w:rsidR="00D61963">
              <w:rPr/>
              <w:t>100</w:t>
            </w:r>
          </w:p>
        </w:tc>
        <w:tc>
          <w:tcPr>
            <w:tcW w:w="2088" w:type="dxa"/>
            <w:tcBorders>
              <w:top w:val="single" w:color="auto" w:sz="18" w:space="0"/>
            </w:tcBorders>
            <w:tcMar/>
          </w:tcPr>
          <w:p w:rsidR="00F41A70" w:rsidP="00F41A70" w:rsidRDefault="00010B33" w14:paraId="3B9299DA" w14:textId="38BC5983">
            <w:pPr>
              <w:pStyle w:val="Tabell"/>
            </w:pPr>
            <w:r>
              <w:t>1500 mg</w:t>
            </w:r>
          </w:p>
        </w:tc>
        <w:tc>
          <w:tcPr>
            <w:tcW w:w="2340" w:type="dxa"/>
            <w:tcBorders>
              <w:top w:val="single" w:color="auto" w:sz="18" w:space="0"/>
            </w:tcBorders>
            <w:tcMar/>
          </w:tcPr>
          <w:p w:rsidR="00F41A70" w:rsidP="00F41A70" w:rsidRDefault="00010B33" w14:paraId="02250B6E" w14:textId="33C8DB88">
            <w:pPr>
              <w:pStyle w:val="Tabell"/>
            </w:pPr>
            <w:r>
              <w:t>2000 mg</w:t>
            </w:r>
          </w:p>
        </w:tc>
      </w:tr>
      <w:tr w:rsidR="00F41A70" w:rsidTr="086E2E97" w14:paraId="1F5FF773" w14:textId="77777777">
        <w:tc>
          <w:tcPr>
            <w:tcW w:w="2088" w:type="dxa"/>
            <w:tcMar/>
          </w:tcPr>
          <w:p w:rsidR="00F41A70" w:rsidP="00F41A70" w:rsidRDefault="00F41A70" w14:paraId="06B57290" w14:textId="270895A5">
            <w:pPr>
              <w:pStyle w:val="Tabell"/>
            </w:pPr>
            <w:r>
              <w:t>&gt;100</w:t>
            </w:r>
          </w:p>
        </w:tc>
        <w:tc>
          <w:tcPr>
            <w:tcW w:w="2088" w:type="dxa"/>
            <w:tcMar/>
          </w:tcPr>
          <w:p w:rsidR="00F41A70" w:rsidP="00F41A70" w:rsidRDefault="00010B33" w14:paraId="79F8C1AB" w14:textId="29DC7291">
            <w:pPr>
              <w:pStyle w:val="Tabell"/>
            </w:pPr>
            <w:r>
              <w:t>1000 mg</w:t>
            </w:r>
          </w:p>
        </w:tc>
        <w:tc>
          <w:tcPr>
            <w:tcW w:w="2340" w:type="dxa"/>
            <w:tcMar/>
          </w:tcPr>
          <w:p w:rsidR="00F41A70" w:rsidP="00F41A70" w:rsidRDefault="00010B33" w14:paraId="572AC8A3" w14:textId="1946C909">
            <w:pPr>
              <w:pStyle w:val="Tabell"/>
            </w:pPr>
            <w:r>
              <w:t>1500 mg</w:t>
            </w:r>
          </w:p>
        </w:tc>
      </w:tr>
      <w:tr w:rsidR="00D61963" w:rsidTr="086E2E97" w14:paraId="1A07459D" w14:textId="77777777">
        <w:tc>
          <w:tcPr>
            <w:tcW w:w="2088" w:type="dxa"/>
            <w:tcMar/>
          </w:tcPr>
          <w:p w:rsidR="00D61963" w:rsidP="00F41A70" w:rsidRDefault="00D61963" w14:paraId="54C87C26" w14:textId="05098109">
            <w:pPr>
              <w:pStyle w:val="Tabell"/>
            </w:pPr>
            <w:r>
              <w:t>normalt</w:t>
            </w:r>
          </w:p>
        </w:tc>
        <w:tc>
          <w:tcPr>
            <w:tcW w:w="2088" w:type="dxa"/>
            <w:tcMar/>
          </w:tcPr>
          <w:p w:rsidR="00D61963" w:rsidP="00F41A70" w:rsidRDefault="00E152A9" w14:paraId="2A4FB23F" w14:textId="4C67431B">
            <w:pPr>
              <w:pStyle w:val="Tabell"/>
            </w:pPr>
            <w:r>
              <w:t>500 mg</w:t>
            </w:r>
          </w:p>
        </w:tc>
        <w:tc>
          <w:tcPr>
            <w:tcW w:w="2340" w:type="dxa"/>
            <w:tcMar/>
          </w:tcPr>
          <w:p w:rsidR="00D61963" w:rsidP="00F41A70" w:rsidRDefault="00010B33" w14:paraId="4E75D8B4" w14:textId="5BF694F3">
            <w:pPr>
              <w:pStyle w:val="Tabell"/>
            </w:pPr>
            <w:r>
              <w:t xml:space="preserve">500 mg </w:t>
            </w:r>
          </w:p>
        </w:tc>
      </w:tr>
    </w:tbl>
    <w:p w:rsidR="00CB5B86" w:rsidP="00CB5B86" w:rsidRDefault="00CB5B86" w14:paraId="5ADE517E" w14:textId="77777777">
      <w:pPr>
        <w:ind w:left="1712" w:hanging="357"/>
      </w:pPr>
    </w:p>
    <w:p w:rsidR="0026665D" w:rsidP="0026665D" w:rsidRDefault="0026665D" w14:paraId="7641D31E" w14:textId="77777777"/>
    <w:p w:rsidR="00F41A70" w:rsidP="0026665D" w:rsidRDefault="00F41A70" w14:paraId="2BE4E89F" w14:textId="77777777"/>
    <w:p w:rsidR="00F41A70" w:rsidP="0026665D" w:rsidRDefault="00F41A70" w14:paraId="75F35474" w14:textId="77777777"/>
    <w:p w:rsidR="000939F5" w:rsidP="0026665D" w:rsidRDefault="000939F5" w14:paraId="2E04A6BE" w14:textId="77777777"/>
    <w:p w:rsidR="0099767F" w:rsidP="008F50B4" w:rsidRDefault="0099767F" w14:paraId="48768F50" w14:textId="16729E80">
      <w:pPr>
        <w:pStyle w:val="ListParagraph"/>
        <w:numPr>
          <w:ilvl w:val="0"/>
          <w:numId w:val="22"/>
        </w:numPr>
      </w:pPr>
      <w:r>
        <w:t>En engångsdos</w:t>
      </w:r>
      <w:r w:rsidR="003A2FC4">
        <w:t xml:space="preserve"> av Monofer</w:t>
      </w:r>
      <w:r w:rsidR="00B655A8">
        <w:t xml:space="preserve"> </w:t>
      </w:r>
      <w:r w:rsidR="0002478B">
        <w:t>s</w:t>
      </w:r>
      <w:r w:rsidR="002805E5">
        <w:t>ka inte överstiga</w:t>
      </w:r>
      <w:r w:rsidR="008F50B4">
        <w:t xml:space="preserve"> 20 mg/kg</w:t>
      </w:r>
    </w:p>
    <w:p w:rsidR="008F50B4" w:rsidP="008F50B4" w:rsidRDefault="00CA10AB" w14:paraId="5A92A78D" w14:textId="37D1174F">
      <w:pPr>
        <w:pStyle w:val="ListParagraph"/>
        <w:numPr>
          <w:ilvl w:val="0"/>
          <w:numId w:val="22"/>
        </w:numPr>
      </w:pPr>
      <w:r>
        <w:t xml:space="preserve">Administrering av Monofer ska inte ske oftare än 1 gång/ vecka </w:t>
      </w:r>
    </w:p>
    <w:p w:rsidR="0002478B" w:rsidP="0002478B" w:rsidRDefault="0002478B" w14:paraId="5446972B" w14:textId="77777777">
      <w:pPr>
        <w:pStyle w:val="ListParagraph"/>
        <w:numPr>
          <w:ilvl w:val="0"/>
          <w:numId w:val="0"/>
        </w:numPr>
        <w:ind w:left="1287"/>
      </w:pPr>
    </w:p>
    <w:tbl>
      <w:tblPr>
        <w:tblStyle w:val="TableGrid"/>
        <w:tblpPr w:leftFromText="141" w:rightFromText="141" w:vertAnchor="text" w:horzAnchor="margin" w:tblpXSpec="center" w:tblpY="-31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088"/>
        <w:gridCol w:w="2088"/>
        <w:gridCol w:w="2088"/>
        <w:gridCol w:w="2177"/>
      </w:tblGrid>
      <w:tr w:rsidR="00CB5B86" w:rsidTr="001C60F1" w14:paraId="63EE005F" w14:textId="77777777">
        <w:trPr>
          <w:tblHeader/>
        </w:trPr>
        <w:tc>
          <w:tcPr>
            <w:tcW w:w="2088" w:type="dxa"/>
            <w:tcBorders>
              <w:bottom w:val="single" w:color="auto" w:sz="18" w:space="0"/>
            </w:tcBorders>
            <w:vAlign w:val="center"/>
          </w:tcPr>
          <w:p w:rsidRPr="00B655A8" w:rsidR="00CB5B86" w:rsidP="00CB5B86" w:rsidRDefault="00CB5B86" w14:paraId="502CCA82" w14:textId="77777777">
            <w:pPr>
              <w:pStyle w:val="Tabell"/>
              <w:rPr>
                <w:b/>
                <w:bCs/>
              </w:rPr>
            </w:pPr>
            <w:r w:rsidRPr="00B655A8">
              <w:rPr>
                <w:b/>
                <w:bCs/>
              </w:rPr>
              <w:t>Monofer</w:t>
            </w:r>
          </w:p>
        </w:tc>
        <w:tc>
          <w:tcPr>
            <w:tcW w:w="2088" w:type="dxa"/>
            <w:tcBorders>
              <w:bottom w:val="single" w:color="auto" w:sz="18" w:space="0"/>
            </w:tcBorders>
          </w:tcPr>
          <w:p w:rsidRPr="00B655A8" w:rsidR="00CB5B86" w:rsidP="00CB5B86" w:rsidRDefault="00CB5B86" w14:paraId="6161C659" w14:textId="77777777">
            <w:pPr>
              <w:pStyle w:val="Tabell"/>
              <w:rPr>
                <w:b/>
                <w:bCs/>
              </w:rPr>
            </w:pPr>
            <w:r w:rsidRPr="00B655A8">
              <w:rPr>
                <w:b/>
                <w:bCs/>
              </w:rPr>
              <w:t>Administrering</w:t>
            </w:r>
          </w:p>
        </w:tc>
        <w:tc>
          <w:tcPr>
            <w:tcW w:w="2088" w:type="dxa"/>
            <w:tcBorders>
              <w:bottom w:val="single" w:color="auto" w:sz="18" w:space="0"/>
            </w:tcBorders>
          </w:tcPr>
          <w:p w:rsidRPr="00B655A8" w:rsidR="00CB5B86" w:rsidP="00CB5B86" w:rsidRDefault="00CB5B86" w14:paraId="7F033E76" w14:textId="77777777">
            <w:pPr>
              <w:pStyle w:val="Tabell"/>
              <w:rPr>
                <w:b/>
                <w:bCs/>
              </w:rPr>
            </w:pPr>
            <w:r w:rsidRPr="00B655A8">
              <w:rPr>
                <w:b/>
                <w:bCs/>
              </w:rPr>
              <w:t xml:space="preserve">Inf </w:t>
            </w:r>
            <w:proofErr w:type="spellStart"/>
            <w:r w:rsidRPr="00B655A8">
              <w:rPr>
                <w:b/>
                <w:bCs/>
              </w:rPr>
              <w:t>Nacl</w:t>
            </w:r>
            <w:proofErr w:type="spellEnd"/>
            <w:r w:rsidRPr="00B655A8">
              <w:rPr>
                <w:b/>
                <w:bCs/>
              </w:rPr>
              <w:t xml:space="preserve"> 9mg/ml</w:t>
            </w:r>
          </w:p>
        </w:tc>
        <w:tc>
          <w:tcPr>
            <w:tcW w:w="2088" w:type="dxa"/>
            <w:tcBorders>
              <w:bottom w:val="single" w:color="auto" w:sz="18" w:space="0"/>
            </w:tcBorders>
          </w:tcPr>
          <w:p w:rsidRPr="00B655A8" w:rsidR="00CB5B86" w:rsidP="00CB5B86" w:rsidRDefault="00CB5B86" w14:paraId="3A8037EB" w14:textId="58A6050E">
            <w:pPr>
              <w:pStyle w:val="Tabell"/>
              <w:rPr>
                <w:b/>
                <w:bCs/>
              </w:rPr>
            </w:pPr>
            <w:r w:rsidRPr="00B655A8">
              <w:rPr>
                <w:b/>
                <w:bCs/>
              </w:rPr>
              <w:t>Minsta Administ</w:t>
            </w:r>
            <w:r w:rsidR="00716B52">
              <w:rPr>
                <w:b/>
                <w:bCs/>
              </w:rPr>
              <w:t>r</w:t>
            </w:r>
            <w:r w:rsidRPr="00B655A8">
              <w:rPr>
                <w:b/>
                <w:bCs/>
              </w:rPr>
              <w:t>eringstid</w:t>
            </w:r>
          </w:p>
        </w:tc>
      </w:tr>
      <w:tr w:rsidR="00CB5B86" w:rsidTr="001C60F1" w14:paraId="054B9FC8" w14:textId="77777777">
        <w:tc>
          <w:tcPr>
            <w:tcW w:w="2088" w:type="dxa"/>
            <w:tcBorders>
              <w:top w:val="single" w:color="auto" w:sz="18" w:space="0"/>
            </w:tcBorders>
          </w:tcPr>
          <w:p w:rsidR="00CB5B86" w:rsidP="00CB5B86" w:rsidRDefault="00CB5B86" w14:paraId="3C9119B9" w14:textId="77777777">
            <w:pPr>
              <w:pStyle w:val="Tabell"/>
            </w:pPr>
            <w:r>
              <w:t>500-1000 mg</w:t>
            </w:r>
          </w:p>
        </w:tc>
        <w:tc>
          <w:tcPr>
            <w:tcW w:w="2088" w:type="dxa"/>
            <w:tcBorders>
              <w:top w:val="single" w:color="auto" w:sz="18" w:space="0"/>
            </w:tcBorders>
          </w:tcPr>
          <w:p w:rsidR="00CB5B86" w:rsidP="00CB5B86" w:rsidRDefault="00CB5B86" w14:paraId="2594A68D" w14:textId="77777777">
            <w:pPr>
              <w:pStyle w:val="Tabell"/>
            </w:pPr>
            <w:proofErr w:type="spellStart"/>
            <w:r>
              <w:t>Iv</w:t>
            </w:r>
            <w:proofErr w:type="spellEnd"/>
            <w:r>
              <w:t xml:space="preserve"> infusion</w:t>
            </w:r>
          </w:p>
        </w:tc>
        <w:tc>
          <w:tcPr>
            <w:tcW w:w="2088" w:type="dxa"/>
            <w:tcBorders>
              <w:top w:val="single" w:color="auto" w:sz="18" w:space="0"/>
            </w:tcBorders>
          </w:tcPr>
          <w:p w:rsidR="00CB5B86" w:rsidP="00CB5B86" w:rsidRDefault="00CB5B86" w14:paraId="52C6289E" w14:textId="77777777">
            <w:pPr>
              <w:pStyle w:val="Tabell"/>
            </w:pPr>
            <w:r>
              <w:t>100 ml (max 500ml)</w:t>
            </w:r>
          </w:p>
        </w:tc>
        <w:tc>
          <w:tcPr>
            <w:tcW w:w="2088" w:type="dxa"/>
            <w:tcBorders>
              <w:top w:val="single" w:color="auto" w:sz="18" w:space="0"/>
            </w:tcBorders>
          </w:tcPr>
          <w:p w:rsidR="00CB5B86" w:rsidP="00CB5B86" w:rsidRDefault="00CB5B86" w14:paraId="1711147C" w14:textId="77777777">
            <w:pPr>
              <w:pStyle w:val="Tabell"/>
            </w:pPr>
            <w:r>
              <w:t>Minst 15 minuter</w:t>
            </w:r>
          </w:p>
        </w:tc>
      </w:tr>
      <w:tr w:rsidR="00CB5B86" w:rsidTr="00CB5B86" w14:paraId="773F7FE2" w14:textId="77777777">
        <w:tc>
          <w:tcPr>
            <w:tcW w:w="2088" w:type="dxa"/>
          </w:tcPr>
          <w:p w:rsidR="00CB5B86" w:rsidP="00CB5B86" w:rsidRDefault="00CB5B86" w14:paraId="413D811D" w14:textId="77777777">
            <w:pPr>
              <w:pStyle w:val="Tabell"/>
            </w:pPr>
            <w:r>
              <w:t>&gt;1000 mg</w:t>
            </w:r>
          </w:p>
        </w:tc>
        <w:tc>
          <w:tcPr>
            <w:tcW w:w="2088" w:type="dxa"/>
          </w:tcPr>
          <w:p w:rsidR="00CB5B86" w:rsidP="00CB5B86" w:rsidRDefault="00CB5B86" w14:paraId="6F8F1DFC" w14:textId="77777777">
            <w:pPr>
              <w:pStyle w:val="Tabell"/>
            </w:pPr>
            <w:proofErr w:type="spellStart"/>
            <w:r>
              <w:t>Iv</w:t>
            </w:r>
            <w:proofErr w:type="spellEnd"/>
            <w:r>
              <w:t xml:space="preserve"> infusion</w:t>
            </w:r>
          </w:p>
        </w:tc>
        <w:tc>
          <w:tcPr>
            <w:tcW w:w="2088" w:type="dxa"/>
          </w:tcPr>
          <w:p w:rsidR="00CB5B86" w:rsidP="00CB5B86" w:rsidRDefault="00CB5B86" w14:paraId="607E2E54" w14:textId="77777777">
            <w:pPr>
              <w:pStyle w:val="Tabell"/>
            </w:pPr>
            <w:r>
              <w:t>100 ml (max 500ml)</w:t>
            </w:r>
          </w:p>
        </w:tc>
        <w:tc>
          <w:tcPr>
            <w:tcW w:w="2088" w:type="dxa"/>
          </w:tcPr>
          <w:p w:rsidR="00CB5B86" w:rsidP="00CB5B86" w:rsidRDefault="00CB5B86" w14:paraId="63C42800" w14:textId="77777777">
            <w:pPr>
              <w:pStyle w:val="Tabell"/>
            </w:pPr>
            <w:r>
              <w:t>Minst 30 minuter</w:t>
            </w:r>
          </w:p>
        </w:tc>
      </w:tr>
    </w:tbl>
    <w:p w:rsidR="007647CF" w:rsidP="007647CF" w:rsidRDefault="007647CF" w14:paraId="4D4A1F94" w14:textId="77777777"/>
    <w:p w:rsidR="008F50B4" w:rsidP="0002478B" w:rsidRDefault="006B24DE" w14:paraId="32787EEE" w14:textId="32A9AE63">
      <w:pPr>
        <w:pStyle w:val="Heading3"/>
      </w:pPr>
      <w:r>
        <w:t xml:space="preserve">Spädning </w:t>
      </w:r>
    </w:p>
    <w:p w:rsidR="006B24DE" w:rsidP="006B24DE" w:rsidRDefault="006B24DE" w14:paraId="6A82D3F1" w14:textId="485AA62E">
      <w:pPr>
        <w:pStyle w:val="ListParagraph"/>
        <w:numPr>
          <w:ilvl w:val="0"/>
          <w:numId w:val="23"/>
        </w:numPr>
      </w:pPr>
      <w:r>
        <w:t xml:space="preserve">Monofer kan ges som </w:t>
      </w:r>
      <w:r w:rsidR="00716B52">
        <w:t>outspädd</w:t>
      </w:r>
      <w:r>
        <w:t xml:space="preserve"> infusion (vid dialys) eller spädas med steril natrium</w:t>
      </w:r>
      <w:r w:rsidR="004A3840">
        <w:t>kloridlösning 9 mg/ml</w:t>
      </w:r>
    </w:p>
    <w:p w:rsidR="004A3840" w:rsidP="006B24DE" w:rsidRDefault="004A3840" w14:paraId="28738850" w14:textId="22840C19">
      <w:pPr>
        <w:pStyle w:val="ListParagraph"/>
        <w:numPr>
          <w:ilvl w:val="0"/>
          <w:numId w:val="23"/>
        </w:numPr>
      </w:pPr>
      <w:r>
        <w:t>Av stabilitetsskäl får Monofer inte spädas till mindre än 1 mg</w:t>
      </w:r>
      <w:r w:rsidR="00775B29">
        <w:t>/ml och aldrig spädas i mer än 500 ml.</w:t>
      </w:r>
    </w:p>
    <w:p w:rsidRPr="0026665D" w:rsidR="00775B29" w:rsidP="00775B29" w:rsidRDefault="00775B29" w14:paraId="70599E87" w14:textId="77777777">
      <w:pPr>
        <w:ind w:left="927"/>
      </w:pPr>
    </w:p>
    <w:p w:rsidR="009A32ED" w:rsidP="009A32ED" w:rsidRDefault="00775B29" w14:paraId="7CCE59AC" w14:textId="24CF3A6C">
      <w:pPr>
        <w:pStyle w:val="Heading3"/>
        <w:ind w:right="-143"/>
      </w:pPr>
      <w:r>
        <w:t>Observation</w:t>
      </w:r>
    </w:p>
    <w:p w:rsidR="009A32ED" w:rsidP="003B6A81" w:rsidRDefault="003B6A81" w14:paraId="135305BC" w14:textId="34F762A3">
      <w:pPr>
        <w:pStyle w:val="ListParagraph"/>
        <w:numPr>
          <w:ilvl w:val="0"/>
          <w:numId w:val="24"/>
        </w:numPr>
        <w:ind w:right="-143"/>
      </w:pPr>
      <w:r>
        <w:t xml:space="preserve">Hypotensiva reaktioner kan uppträda om den </w:t>
      </w:r>
      <w:r w:rsidR="00B508CC">
        <w:t xml:space="preserve">intravenösa </w:t>
      </w:r>
      <w:proofErr w:type="spellStart"/>
      <w:r w:rsidR="00B508CC">
        <w:t>inj</w:t>
      </w:r>
      <w:proofErr w:type="spellEnd"/>
      <w:r w:rsidR="00B508CC">
        <w:t>/infusion</w:t>
      </w:r>
      <w:r w:rsidR="00421886">
        <w:t xml:space="preserve">en </w:t>
      </w:r>
      <w:proofErr w:type="spellStart"/>
      <w:r w:rsidR="00421886">
        <w:t>gesför</w:t>
      </w:r>
      <w:proofErr w:type="spellEnd"/>
      <w:r w:rsidR="00421886">
        <w:t xml:space="preserve"> snabbt. Bltr kontrolleras vid behov.</w:t>
      </w:r>
    </w:p>
    <w:p w:rsidR="00421886" w:rsidP="003B6A81" w:rsidRDefault="008C57BF" w14:paraId="554703F3" w14:textId="78BC97F1">
      <w:pPr>
        <w:pStyle w:val="ListParagraph"/>
        <w:numPr>
          <w:ilvl w:val="0"/>
          <w:numId w:val="24"/>
        </w:numPr>
        <w:ind w:right="-143"/>
      </w:pPr>
      <w:r>
        <w:t>Varje patient ska observeras avseende</w:t>
      </w:r>
      <w:r w:rsidR="00981196">
        <w:t xml:space="preserve"> biverkningar under minst </w:t>
      </w:r>
      <w:r w:rsidR="00134382">
        <w:t>30 min efter given Monofer.</w:t>
      </w:r>
    </w:p>
    <w:p w:rsidR="00134382" w:rsidP="003B6A81" w:rsidRDefault="00134382" w14:paraId="7669DB08" w14:textId="5B33843E">
      <w:pPr>
        <w:pStyle w:val="ListParagraph"/>
        <w:numPr>
          <w:ilvl w:val="0"/>
          <w:numId w:val="24"/>
        </w:numPr>
        <w:ind w:right="-143"/>
      </w:pPr>
      <w:r>
        <w:t>Ska finnas handlingsberedskap</w:t>
      </w:r>
      <w:r w:rsidR="008A354D">
        <w:t xml:space="preserve"> för anafylaktisk/allergisk reaktion eller hjärtstopp.</w:t>
      </w:r>
    </w:p>
    <w:p w:rsidR="008A354D" w:rsidP="003B6A81" w:rsidRDefault="008A354D" w14:paraId="6032C21B" w14:textId="5304359A">
      <w:pPr>
        <w:pStyle w:val="ListParagraph"/>
        <w:numPr>
          <w:ilvl w:val="0"/>
          <w:numId w:val="24"/>
        </w:numPr>
        <w:ind w:right="-143"/>
      </w:pPr>
      <w:r>
        <w:t>Oral järnmedic</w:t>
      </w:r>
      <w:r w:rsidR="00EB08F1">
        <w:t>in</w:t>
      </w:r>
      <w:r>
        <w:t xml:space="preserve">ering kan i de mesta fall sättas ut. Enligt </w:t>
      </w:r>
      <w:r w:rsidR="007F1891">
        <w:t>FASS</w:t>
      </w:r>
      <w:r>
        <w:t xml:space="preserve"> bör Monofer inte ges samtidigt med peroral</w:t>
      </w:r>
      <w:r w:rsidR="00BC6978">
        <w:t>a järnpreparat eftersom detta minskar absor</w:t>
      </w:r>
      <w:r w:rsidR="00120B96">
        <w:t>ptionen av peroraltjärn</w:t>
      </w:r>
      <w:r w:rsidR="00AA33DC">
        <w:t xml:space="preserve">. Därför bör </w:t>
      </w:r>
      <w:r w:rsidR="003A1BDD">
        <w:t>peroral järnbehandling inte påbörjas förrän tidigast fem dagar efter sista Monofer infusionen</w:t>
      </w:r>
    </w:p>
    <w:p w:rsidRPr="00CB5B86" w:rsidR="00CB5B86" w:rsidP="341D12FD" w:rsidRDefault="00CB5B86" w14:paraId="666DA492" w14:textId="77777777">
      <w:pPr>
        <w:keepNext/>
      </w:pPr>
    </w:p>
    <w:sectPr w:rsidRPr="00CB5B86" w:rsidR="00CB5B86" w:rsidSect="00F60314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FC1CAE" w:rsidRDefault="00FC1CAE" w14:paraId="33ABB97B" w14:textId="77777777">
      <w:r>
        <w:separator/>
      </w:r>
    </w:p>
  </w:endnote>
  <w:endnote w:type="continuationSeparator" w:id="0">
    <w:p w:rsidR="00FC1CAE" w:rsidRDefault="00FC1CAE" w14:paraId="79248008" w14:textId="77777777">
      <w:r>
        <w:continuationSeparator/>
      </w:r>
    </w:p>
  </w:endnote>
  <w:endnote w:type="continuationNotice" w:id="1">
    <w:p w:rsidR="00FC1CAE" w:rsidRDefault="00FC1CAE" w14:paraId="1A10F51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FC1CAE" w:rsidRDefault="00FC1CAE" w14:paraId="6B6EECDD" w14:textId="77777777"/>
  </w:footnote>
  <w:footnote w:type="continuationSeparator" w:id="0">
    <w:p w:rsidR="00FC1CAE" w:rsidRDefault="00FC1CAE" w14:paraId="20F9152A" w14:textId="77777777">
      <w:r>
        <w:continuationSeparator/>
      </w:r>
    </w:p>
  </w:footnote>
  <w:footnote w:type="continuationNotice" w:id="1">
    <w:p w:rsidR="00FC1CAE" w:rsidRDefault="00FC1CAE" w14:paraId="36AD574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3BB36A7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0B09BF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55718B"/>
    <w:multiLevelType w:val="hybridMultilevel"/>
    <w:tmpl w:val="69DC9FF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AFD04F0"/>
    <w:multiLevelType w:val="hybridMultilevel"/>
    <w:tmpl w:val="389C45C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97E3103"/>
    <w:multiLevelType w:val="hybridMultilevel"/>
    <w:tmpl w:val="FC48E3B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5" w15:restartNumberingAfterBreak="0">
    <w:nsid w:val="51392D45"/>
    <w:multiLevelType w:val="hybridMultilevel"/>
    <w:tmpl w:val="83D2847C"/>
    <w:lvl w:ilvl="0">
      <w:start w:val="1"/>
      <w:numFmt w:val="bullet"/>
      <w:lvlText w:val="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1720173"/>
    <w:multiLevelType w:val="hybridMultilevel"/>
    <w:tmpl w:val="6B8A0A7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19261348">
    <w:abstractNumId w:val="22"/>
  </w:num>
  <w:num w:numId="2" w16cid:durableId="928124234">
    <w:abstractNumId w:val="18"/>
  </w:num>
  <w:num w:numId="3" w16cid:durableId="131338958">
    <w:abstractNumId w:val="0"/>
  </w:num>
  <w:num w:numId="4" w16cid:durableId="849951337">
    <w:abstractNumId w:val="8"/>
  </w:num>
  <w:num w:numId="5" w16cid:durableId="179897558">
    <w:abstractNumId w:val="19"/>
  </w:num>
  <w:num w:numId="6" w16cid:durableId="446240973">
    <w:abstractNumId w:val="2"/>
  </w:num>
  <w:num w:numId="7" w16cid:durableId="1234664729">
    <w:abstractNumId w:val="13"/>
  </w:num>
  <w:num w:numId="8" w16cid:durableId="1677804525">
    <w:abstractNumId w:val="10"/>
  </w:num>
  <w:num w:numId="9" w16cid:durableId="1109736334">
    <w:abstractNumId w:val="1"/>
  </w:num>
  <w:num w:numId="10" w16cid:durableId="1189224207">
    <w:abstractNumId w:val="1"/>
  </w:num>
  <w:num w:numId="11" w16cid:durableId="1656643836">
    <w:abstractNumId w:val="4"/>
  </w:num>
  <w:num w:numId="12" w16cid:durableId="639463791">
    <w:abstractNumId w:val="5"/>
  </w:num>
  <w:num w:numId="13" w16cid:durableId="1631980781">
    <w:abstractNumId w:val="17"/>
  </w:num>
  <w:num w:numId="14" w16cid:durableId="2134513021">
    <w:abstractNumId w:val="11"/>
  </w:num>
  <w:num w:numId="15" w16cid:durableId="125239331">
    <w:abstractNumId w:val="9"/>
  </w:num>
  <w:num w:numId="16" w16cid:durableId="1768883717">
    <w:abstractNumId w:val="16"/>
  </w:num>
  <w:num w:numId="17" w16cid:durableId="1140071224">
    <w:abstractNumId w:val="6"/>
  </w:num>
  <w:num w:numId="18" w16cid:durableId="1954435185">
    <w:abstractNumId w:val="12"/>
  </w:num>
  <w:num w:numId="19" w16cid:durableId="1455515496">
    <w:abstractNumId w:val="21"/>
  </w:num>
  <w:num w:numId="20" w16cid:durableId="2141414794">
    <w:abstractNumId w:val="7"/>
  </w:num>
  <w:num w:numId="21" w16cid:durableId="1300307661">
    <w:abstractNumId w:val="15"/>
  </w:num>
  <w:num w:numId="22" w16cid:durableId="1057044913">
    <w:abstractNumId w:val="20"/>
  </w:num>
  <w:num w:numId="23" w16cid:durableId="672151498">
    <w:abstractNumId w:val="3"/>
  </w:num>
  <w:num w:numId="24" w16cid:durableId="3383848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3CC"/>
    <w:rsid w:val="00006D2A"/>
    <w:rsid w:val="00010B33"/>
    <w:rsid w:val="00010D47"/>
    <w:rsid w:val="00016CF0"/>
    <w:rsid w:val="0002478B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39F5"/>
    <w:rsid w:val="00095368"/>
    <w:rsid w:val="000954C4"/>
    <w:rsid w:val="000A23F7"/>
    <w:rsid w:val="000A611A"/>
    <w:rsid w:val="000B12D9"/>
    <w:rsid w:val="000B4536"/>
    <w:rsid w:val="000B7715"/>
    <w:rsid w:val="000C4050"/>
    <w:rsid w:val="000C4775"/>
    <w:rsid w:val="000C7B3E"/>
    <w:rsid w:val="000E463B"/>
    <w:rsid w:val="000E5A7E"/>
    <w:rsid w:val="000F0478"/>
    <w:rsid w:val="000F43A3"/>
    <w:rsid w:val="000F7681"/>
    <w:rsid w:val="00103031"/>
    <w:rsid w:val="001044FE"/>
    <w:rsid w:val="00110049"/>
    <w:rsid w:val="001139D4"/>
    <w:rsid w:val="00120B96"/>
    <w:rsid w:val="00131B08"/>
    <w:rsid w:val="00132A59"/>
    <w:rsid w:val="00133337"/>
    <w:rsid w:val="00133A0F"/>
    <w:rsid w:val="00134382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0F1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65D"/>
    <w:rsid w:val="00270FA8"/>
    <w:rsid w:val="00275628"/>
    <w:rsid w:val="0027715B"/>
    <w:rsid w:val="002805E5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424B"/>
    <w:rsid w:val="002D6023"/>
    <w:rsid w:val="002D6696"/>
    <w:rsid w:val="002E263F"/>
    <w:rsid w:val="002E6F81"/>
    <w:rsid w:val="002F08BA"/>
    <w:rsid w:val="002F2CFF"/>
    <w:rsid w:val="002F568B"/>
    <w:rsid w:val="002F6FEA"/>
    <w:rsid w:val="002F7818"/>
    <w:rsid w:val="003066D0"/>
    <w:rsid w:val="00311401"/>
    <w:rsid w:val="003203D7"/>
    <w:rsid w:val="00320F86"/>
    <w:rsid w:val="00324171"/>
    <w:rsid w:val="00326C24"/>
    <w:rsid w:val="00330CAC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A66"/>
    <w:rsid w:val="00384019"/>
    <w:rsid w:val="003854F1"/>
    <w:rsid w:val="0039118E"/>
    <w:rsid w:val="00397F54"/>
    <w:rsid w:val="003A0D43"/>
    <w:rsid w:val="003A1BDD"/>
    <w:rsid w:val="003A2FC4"/>
    <w:rsid w:val="003A3D0F"/>
    <w:rsid w:val="003B1D54"/>
    <w:rsid w:val="003B2A4B"/>
    <w:rsid w:val="003B6A81"/>
    <w:rsid w:val="003C581D"/>
    <w:rsid w:val="003D099E"/>
    <w:rsid w:val="003D21A2"/>
    <w:rsid w:val="003D29D2"/>
    <w:rsid w:val="003D6DF1"/>
    <w:rsid w:val="003E0705"/>
    <w:rsid w:val="003E2FF7"/>
    <w:rsid w:val="003E7980"/>
    <w:rsid w:val="003F1013"/>
    <w:rsid w:val="003F1ACF"/>
    <w:rsid w:val="00404948"/>
    <w:rsid w:val="00406BEA"/>
    <w:rsid w:val="00413A60"/>
    <w:rsid w:val="00421886"/>
    <w:rsid w:val="004230F7"/>
    <w:rsid w:val="0043167E"/>
    <w:rsid w:val="0043409A"/>
    <w:rsid w:val="00446255"/>
    <w:rsid w:val="00451935"/>
    <w:rsid w:val="00452915"/>
    <w:rsid w:val="00460ED0"/>
    <w:rsid w:val="00463AF3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840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5902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0D6C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24D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6B52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47CF"/>
    <w:rsid w:val="00765C41"/>
    <w:rsid w:val="00771100"/>
    <w:rsid w:val="007759DD"/>
    <w:rsid w:val="00775B29"/>
    <w:rsid w:val="0078609F"/>
    <w:rsid w:val="007917BA"/>
    <w:rsid w:val="0079199B"/>
    <w:rsid w:val="007A334E"/>
    <w:rsid w:val="007A5C6F"/>
    <w:rsid w:val="007D4241"/>
    <w:rsid w:val="007D4317"/>
    <w:rsid w:val="007D4EA3"/>
    <w:rsid w:val="007F189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789D"/>
    <w:rsid w:val="0087139C"/>
    <w:rsid w:val="00873419"/>
    <w:rsid w:val="00880E83"/>
    <w:rsid w:val="00885315"/>
    <w:rsid w:val="00892F28"/>
    <w:rsid w:val="008A0C5F"/>
    <w:rsid w:val="008A354D"/>
    <w:rsid w:val="008A3DEA"/>
    <w:rsid w:val="008A4EB9"/>
    <w:rsid w:val="008A74C0"/>
    <w:rsid w:val="008B1694"/>
    <w:rsid w:val="008C4B27"/>
    <w:rsid w:val="008C57BF"/>
    <w:rsid w:val="008C7F0C"/>
    <w:rsid w:val="008C7F2A"/>
    <w:rsid w:val="008D4B13"/>
    <w:rsid w:val="008E36F8"/>
    <w:rsid w:val="008E46B2"/>
    <w:rsid w:val="008E682C"/>
    <w:rsid w:val="008E72DE"/>
    <w:rsid w:val="008E78A1"/>
    <w:rsid w:val="008F50B4"/>
    <w:rsid w:val="008F589F"/>
    <w:rsid w:val="008F6644"/>
    <w:rsid w:val="009016E8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1196"/>
    <w:rsid w:val="00985EAF"/>
    <w:rsid w:val="0099767F"/>
    <w:rsid w:val="009A07DC"/>
    <w:rsid w:val="009A32ED"/>
    <w:rsid w:val="009A7FB8"/>
    <w:rsid w:val="009B1F6B"/>
    <w:rsid w:val="009B39FD"/>
    <w:rsid w:val="009C0D12"/>
    <w:rsid w:val="009C192E"/>
    <w:rsid w:val="009C2E3E"/>
    <w:rsid w:val="009C6C0C"/>
    <w:rsid w:val="009C7D9D"/>
    <w:rsid w:val="009D164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D1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84F"/>
    <w:rsid w:val="00A65FD4"/>
    <w:rsid w:val="00A81198"/>
    <w:rsid w:val="00A81E48"/>
    <w:rsid w:val="00A82035"/>
    <w:rsid w:val="00A90D77"/>
    <w:rsid w:val="00A91333"/>
    <w:rsid w:val="00A92E07"/>
    <w:rsid w:val="00AA0B3A"/>
    <w:rsid w:val="00AA33DC"/>
    <w:rsid w:val="00AA6EB4"/>
    <w:rsid w:val="00AA767D"/>
    <w:rsid w:val="00AB0CC9"/>
    <w:rsid w:val="00AC3FF6"/>
    <w:rsid w:val="00AD73EC"/>
    <w:rsid w:val="00AD7AD5"/>
    <w:rsid w:val="00AE5BC7"/>
    <w:rsid w:val="00AF5AAF"/>
    <w:rsid w:val="00B034A1"/>
    <w:rsid w:val="00B046D8"/>
    <w:rsid w:val="00B04A87"/>
    <w:rsid w:val="00B13F4C"/>
    <w:rsid w:val="00B16219"/>
    <w:rsid w:val="00B164F7"/>
    <w:rsid w:val="00B16C59"/>
    <w:rsid w:val="00B33FDD"/>
    <w:rsid w:val="00B359CC"/>
    <w:rsid w:val="00B36107"/>
    <w:rsid w:val="00B405A1"/>
    <w:rsid w:val="00B41789"/>
    <w:rsid w:val="00B46C03"/>
    <w:rsid w:val="00B508CC"/>
    <w:rsid w:val="00B60C6C"/>
    <w:rsid w:val="00B619A9"/>
    <w:rsid w:val="00B63C30"/>
    <w:rsid w:val="00B655A8"/>
    <w:rsid w:val="00B65A9D"/>
    <w:rsid w:val="00B66B28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6978"/>
    <w:rsid w:val="00BC6F47"/>
    <w:rsid w:val="00BE5B17"/>
    <w:rsid w:val="00BE7978"/>
    <w:rsid w:val="00C01F0D"/>
    <w:rsid w:val="00C0395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3AC"/>
    <w:rsid w:val="00C70BCB"/>
    <w:rsid w:val="00C70E19"/>
    <w:rsid w:val="00C72574"/>
    <w:rsid w:val="00C7430C"/>
    <w:rsid w:val="00C85DA1"/>
    <w:rsid w:val="00C9071C"/>
    <w:rsid w:val="00C908FF"/>
    <w:rsid w:val="00C97BD3"/>
    <w:rsid w:val="00CA10AB"/>
    <w:rsid w:val="00CA39EF"/>
    <w:rsid w:val="00CA521F"/>
    <w:rsid w:val="00CB0493"/>
    <w:rsid w:val="00CB17FF"/>
    <w:rsid w:val="00CB1ED7"/>
    <w:rsid w:val="00CB5B86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179E"/>
    <w:rsid w:val="00D47AD7"/>
    <w:rsid w:val="00D51529"/>
    <w:rsid w:val="00D61963"/>
    <w:rsid w:val="00D67C88"/>
    <w:rsid w:val="00D85218"/>
    <w:rsid w:val="00D915B1"/>
    <w:rsid w:val="00DA299D"/>
    <w:rsid w:val="00DA65C4"/>
    <w:rsid w:val="00DB472C"/>
    <w:rsid w:val="00DD2245"/>
    <w:rsid w:val="00DE35F2"/>
    <w:rsid w:val="00DE4447"/>
    <w:rsid w:val="00DE5DA2"/>
    <w:rsid w:val="00DE63C6"/>
    <w:rsid w:val="00DF0033"/>
    <w:rsid w:val="00E026BF"/>
    <w:rsid w:val="00E07B1B"/>
    <w:rsid w:val="00E11853"/>
    <w:rsid w:val="00E152A9"/>
    <w:rsid w:val="00E23979"/>
    <w:rsid w:val="00E518A1"/>
    <w:rsid w:val="00E52A86"/>
    <w:rsid w:val="00E54B47"/>
    <w:rsid w:val="00E553BF"/>
    <w:rsid w:val="00E55D93"/>
    <w:rsid w:val="00E61294"/>
    <w:rsid w:val="00E7237C"/>
    <w:rsid w:val="00E73880"/>
    <w:rsid w:val="00E77C46"/>
    <w:rsid w:val="00E86CE8"/>
    <w:rsid w:val="00E90E82"/>
    <w:rsid w:val="00EA00CB"/>
    <w:rsid w:val="00EA1BAA"/>
    <w:rsid w:val="00EA3FCD"/>
    <w:rsid w:val="00EA42A0"/>
    <w:rsid w:val="00EB08F1"/>
    <w:rsid w:val="00EB6714"/>
    <w:rsid w:val="00EC0A68"/>
    <w:rsid w:val="00EC3C32"/>
    <w:rsid w:val="00EC5006"/>
    <w:rsid w:val="00ED3B43"/>
    <w:rsid w:val="00ED49C3"/>
    <w:rsid w:val="00ED6CE8"/>
    <w:rsid w:val="00ED7AA6"/>
    <w:rsid w:val="00EE2894"/>
    <w:rsid w:val="00EE2A56"/>
    <w:rsid w:val="00EE3818"/>
    <w:rsid w:val="00F156AC"/>
    <w:rsid w:val="00F22264"/>
    <w:rsid w:val="00F2564D"/>
    <w:rsid w:val="00F35B05"/>
    <w:rsid w:val="00F413D9"/>
    <w:rsid w:val="00F41A70"/>
    <w:rsid w:val="00F5135F"/>
    <w:rsid w:val="00F51F78"/>
    <w:rsid w:val="00F60314"/>
    <w:rsid w:val="00F86F47"/>
    <w:rsid w:val="00F90B64"/>
    <w:rsid w:val="00FB2F0F"/>
    <w:rsid w:val="00FB5086"/>
    <w:rsid w:val="00FB5411"/>
    <w:rsid w:val="00FB6392"/>
    <w:rsid w:val="00FC1CAE"/>
    <w:rsid w:val="00FC4F36"/>
    <w:rsid w:val="00FD3C70"/>
    <w:rsid w:val="00FD6820"/>
    <w:rsid w:val="00FE12D8"/>
    <w:rsid w:val="00FF7C02"/>
    <w:rsid w:val="024801E3"/>
    <w:rsid w:val="086E2E97"/>
    <w:rsid w:val="18C1436C"/>
    <w:rsid w:val="3368435E"/>
    <w:rsid w:val="341D12FD"/>
    <w:rsid w:val="398C6E4B"/>
    <w:rsid w:val="3FC362D0"/>
    <w:rsid w:val="59463BFF"/>
    <w:rsid w:val="647B2B65"/>
    <w:rsid w:val="6B2CF8ED"/>
    <w:rsid w:val="7F1C5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9466D25-AC7E-420F-A098-B944FA719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1 Light" w:uiPriority="4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B5B86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9A32ED"/>
    <w:rPr>
      <w:sz w:val="24"/>
      <w:szCs w:val="24"/>
    </w:rPr>
  </w:style>
  <w:style w:type="table" w:styleId="GridTable1Light">
    <w:name w:val="Grid Table 1 Light"/>
    <w:basedOn w:val="TableNormal"/>
    <w:uiPriority w:val="46"/>
    <w:rsid w:val="00452915"/>
    <w:rPr>
      <w:rFonts w:asciiTheme="minorHAnsi" w:hAnsiTheme="minorHAnsi" w:eastAsia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blPr/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Monofer</dc:title>
  <dc:subject/>
  <dc:creator/>
  <keywords/>
  <lastModifiedBy>Emma Husberg</lastModifiedBy>
  <revision>99</revision>
  <lastPrinted>2016-03-31T10:56:00.0000000Z</lastPrinted>
  <dcterms:created xsi:type="dcterms:W3CDTF">2021-05-27T09:47:00.0000000Z</dcterms:created>
  <dcterms:modified xsi:type="dcterms:W3CDTF">2025-03-27T07:34:13.0000000Z</dcterms:modified>
</coreProperties>
</file>