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94CCA3" w14:textId="77777777" w:rsidR="000150F3" w:rsidRDefault="000150F3"/>
    <w:p w14:paraId="3E570205" w14:textId="77777777" w:rsidR="000150F3" w:rsidRDefault="000150F3"/>
    <w:p w14:paraId="61CC7DFE" w14:textId="77777777" w:rsidR="000150F3" w:rsidRDefault="000150F3"/>
    <w:p w14:paraId="0271BF92" w14:textId="77777777" w:rsidR="000150F3" w:rsidRDefault="000150F3"/>
    <w:p w14:paraId="6F946388" w14:textId="77777777" w:rsidR="000150F3" w:rsidRDefault="000150F3"/>
    <w:p w14:paraId="15357A85" w14:textId="77777777" w:rsidR="00583358" w:rsidRDefault="00583358"/>
    <w:p w14:paraId="20CD1FD5" w14:textId="77777777" w:rsidR="000150F3" w:rsidRDefault="000150F3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923DD" w:rsidRPr="00E923DD" w14:paraId="23A88480" w14:textId="77777777" w:rsidTr="000150F3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2B894588" w14:textId="77777777" w:rsidR="000E757D" w:rsidRDefault="000E757D" w:rsidP="000E757D">
            <w:pPr>
              <w:rPr>
                <w:rFonts w:ascii="Calibri" w:eastAsia="Calibri" w:hAnsi="Calibri" w:cs="Calibri"/>
                <w:color w:val="000000" w:themeColor="text1"/>
                <w:sz w:val="48"/>
                <w:szCs w:val="48"/>
              </w:rPr>
            </w:pPr>
            <w:bookmarkStart w:id="0" w:name="_Toc321146591"/>
            <w:r w:rsidRPr="7AB12A6A">
              <w:rPr>
                <w:rFonts w:ascii="Calibri" w:eastAsia="Calibri" w:hAnsi="Calibri" w:cs="Calibri"/>
                <w:color w:val="000000" w:themeColor="text1"/>
                <w:sz w:val="48"/>
                <w:szCs w:val="48"/>
              </w:rPr>
              <w:t>Behandling med Sendoxan (</w:t>
            </w:r>
            <w:proofErr w:type="spellStart"/>
            <w:r w:rsidRPr="7AB12A6A">
              <w:rPr>
                <w:rFonts w:ascii="Calibri" w:eastAsia="Calibri" w:hAnsi="Calibri" w:cs="Calibri"/>
                <w:color w:val="000000" w:themeColor="text1"/>
                <w:sz w:val="48"/>
                <w:szCs w:val="48"/>
              </w:rPr>
              <w:t>Cyklofosfamid</w:t>
            </w:r>
            <w:proofErr w:type="spellEnd"/>
            <w:r w:rsidRPr="7AB12A6A">
              <w:rPr>
                <w:rFonts w:ascii="Calibri" w:eastAsia="Calibri" w:hAnsi="Calibri" w:cs="Calibri"/>
                <w:color w:val="000000" w:themeColor="text1"/>
                <w:sz w:val="48"/>
                <w:szCs w:val="48"/>
              </w:rPr>
              <w:t>)</w:t>
            </w:r>
          </w:p>
          <w:p w14:paraId="5539C0DB" w14:textId="2A0F6458" w:rsidR="00E923DD" w:rsidRPr="00E923DD" w:rsidRDefault="00E923DD" w:rsidP="00E923DD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</w:p>
        </w:tc>
      </w:tr>
    </w:tbl>
    <w:bookmarkEnd w:id="0"/>
    <w:p w14:paraId="50CDDD5D" w14:textId="7E381021" w:rsidR="002D7B26" w:rsidRPr="00583358" w:rsidRDefault="002D7B26" w:rsidP="002D7B26">
      <w:pPr>
        <w:rPr>
          <w:rFonts w:eastAsia="Calibri"/>
        </w:rPr>
      </w:pPr>
      <w:r w:rsidRPr="00583358">
        <w:rPr>
          <w:rStyle w:val="Rubrik2Char"/>
        </w:rPr>
        <w:t>Förändringar sedan föregående revidering</w:t>
      </w:r>
      <w:r w:rsidR="00583358" w:rsidRPr="00583358">
        <w:rPr>
          <w:rStyle w:val="Rubrik2Char"/>
        </w:rPr>
        <w:br/>
      </w:r>
      <w:r w:rsidRPr="00583358">
        <w:rPr>
          <w:rFonts w:eastAsia="Calibri"/>
        </w:rPr>
        <w:t>Redaktionella utifrån ny mall.</w:t>
      </w:r>
    </w:p>
    <w:p w14:paraId="7B9251D4" w14:textId="77777777" w:rsidR="00583358" w:rsidRDefault="00583358" w:rsidP="002D7B26">
      <w:pPr>
        <w:rPr>
          <w:rFonts w:ascii="Calibri" w:eastAsia="Calibri" w:hAnsi="Calibri" w:cs="Calibri"/>
          <w:color w:val="000000" w:themeColor="text1"/>
        </w:rPr>
      </w:pPr>
    </w:p>
    <w:p w14:paraId="04B224FC" w14:textId="77777777" w:rsidR="002D7B26" w:rsidRDefault="002D7B26" w:rsidP="00583358">
      <w:pPr>
        <w:pStyle w:val="Rubrik2"/>
      </w:pPr>
      <w:r w:rsidRPr="7AB12A6A">
        <w:t>Bakgrund</w:t>
      </w:r>
    </w:p>
    <w:p w14:paraId="4141961D" w14:textId="77777777" w:rsidR="002D7B26" w:rsidRDefault="002D7B26" w:rsidP="002D7B26">
      <w:pPr>
        <w:rPr>
          <w:rFonts w:ascii="Calibri" w:eastAsia="Calibri" w:hAnsi="Calibri" w:cs="Calibri"/>
          <w:color w:val="000000" w:themeColor="text1"/>
        </w:rPr>
      </w:pPr>
      <w:r w:rsidRPr="7AB12A6A">
        <w:rPr>
          <w:rFonts w:ascii="Calibri" w:eastAsia="Calibri" w:hAnsi="Calibri" w:cs="Calibri"/>
          <w:color w:val="000000" w:themeColor="text1"/>
        </w:rPr>
        <w:t>Sendoxan är ett läkemedel som ges för att dämpa immunförsvaret och därigenom minska den autoimmuna sjukdomsprocessen.</w:t>
      </w:r>
    </w:p>
    <w:p w14:paraId="252DF3C3" w14:textId="77777777" w:rsidR="004620B7" w:rsidRDefault="004620B7" w:rsidP="002D7B26">
      <w:pPr>
        <w:rPr>
          <w:rFonts w:ascii="Calibri" w:eastAsia="Calibri" w:hAnsi="Calibri" w:cs="Calibri"/>
          <w:color w:val="000000" w:themeColor="text1"/>
        </w:rPr>
      </w:pPr>
    </w:p>
    <w:p w14:paraId="0C28A3B7" w14:textId="77777777" w:rsidR="002D7B26" w:rsidRDefault="002D7B26" w:rsidP="00583358">
      <w:pPr>
        <w:pStyle w:val="Rubrik2"/>
      </w:pPr>
      <w:r w:rsidRPr="7AB12A6A">
        <w:t>Syfte</w:t>
      </w:r>
    </w:p>
    <w:p w14:paraId="0E1D5A68" w14:textId="1A9D8079" w:rsidR="002D7B26" w:rsidRDefault="002D7B26" w:rsidP="002D7B26">
      <w:pPr>
        <w:rPr>
          <w:rFonts w:ascii="Calibri" w:eastAsia="Calibri" w:hAnsi="Calibri" w:cs="Calibri"/>
          <w:color w:val="000000" w:themeColor="text1"/>
        </w:rPr>
      </w:pPr>
      <w:r w:rsidRPr="7AB12A6A">
        <w:rPr>
          <w:rFonts w:ascii="Calibri" w:eastAsia="Calibri" w:hAnsi="Calibri" w:cs="Calibri"/>
          <w:color w:val="000000" w:themeColor="text1"/>
        </w:rPr>
        <w:t xml:space="preserve">Ge Sendoxan- behandling och </w:t>
      </w:r>
      <w:r w:rsidR="004620B7" w:rsidRPr="7AB12A6A">
        <w:rPr>
          <w:rFonts w:ascii="Calibri" w:eastAsia="Calibri" w:hAnsi="Calibri" w:cs="Calibri"/>
          <w:color w:val="000000" w:themeColor="text1"/>
        </w:rPr>
        <w:t>administrera</w:t>
      </w:r>
      <w:r w:rsidRPr="7AB12A6A">
        <w:rPr>
          <w:rFonts w:ascii="Calibri" w:eastAsia="Calibri" w:hAnsi="Calibri" w:cs="Calibri"/>
          <w:color w:val="000000" w:themeColor="text1"/>
        </w:rPr>
        <w:t xml:space="preserve"> läkemedlet på ett patientsäkert sätt. </w:t>
      </w:r>
    </w:p>
    <w:p w14:paraId="367730BB" w14:textId="77777777" w:rsidR="004620B7" w:rsidRDefault="004620B7" w:rsidP="002D7B26">
      <w:pPr>
        <w:rPr>
          <w:rFonts w:ascii="Calibri" w:eastAsia="Calibri" w:hAnsi="Calibri" w:cs="Calibri"/>
          <w:color w:val="000000" w:themeColor="text1"/>
        </w:rPr>
      </w:pPr>
    </w:p>
    <w:p w14:paraId="172200BB" w14:textId="77777777" w:rsidR="002D7B26" w:rsidRDefault="002D7B26" w:rsidP="00583358">
      <w:pPr>
        <w:pStyle w:val="Rubrik2"/>
      </w:pPr>
      <w:r w:rsidRPr="7AB12A6A">
        <w:t>Information</w:t>
      </w:r>
    </w:p>
    <w:p w14:paraId="0E82BB36" w14:textId="49841458" w:rsidR="002D7B26" w:rsidRDefault="002D7B26" w:rsidP="00F457FB">
      <w:pPr>
        <w:pStyle w:val="Punktlista"/>
        <w:rPr>
          <w:rFonts w:eastAsia="Calibri"/>
        </w:rPr>
      </w:pPr>
      <w:r w:rsidRPr="7AB12A6A">
        <w:rPr>
          <w:rFonts w:eastAsia="Calibri"/>
        </w:rPr>
        <w:t>Patienten ska ta tablett Uromitexan som skyddar urinblåsan under behandlingen 2 timmar före infusion</w:t>
      </w:r>
      <w:r w:rsidR="00642B8A">
        <w:rPr>
          <w:rFonts w:eastAsia="Calibri"/>
        </w:rPr>
        <w:t>,</w:t>
      </w:r>
      <w:r w:rsidRPr="7AB12A6A">
        <w:rPr>
          <w:rFonts w:eastAsia="Calibri"/>
        </w:rPr>
        <w:t xml:space="preserve"> 2 timmar och 6 timmar efter infusionens slut.</w:t>
      </w:r>
    </w:p>
    <w:p w14:paraId="4854BFB6" w14:textId="1787003E" w:rsidR="002D7B26" w:rsidRDefault="002D7B26" w:rsidP="00F457FB">
      <w:pPr>
        <w:pStyle w:val="Punktlista"/>
        <w:rPr>
          <w:rFonts w:eastAsia="Calibri"/>
        </w:rPr>
      </w:pPr>
      <w:r w:rsidRPr="7AB12A6A">
        <w:rPr>
          <w:rFonts w:eastAsia="Calibri"/>
        </w:rPr>
        <w:t>Behandlingen kan ge illamående och för att förebygga detta ges injektion Ondansetron iv i direkt anslutning till infusionen och som tablett vid behov i 1 – 3 dagar.</w:t>
      </w:r>
    </w:p>
    <w:p w14:paraId="764B92B0" w14:textId="695499C8" w:rsidR="002D7B26" w:rsidRDefault="002D7B26" w:rsidP="00F457FB">
      <w:pPr>
        <w:pStyle w:val="Punktlista"/>
        <w:rPr>
          <w:rFonts w:eastAsia="Calibri"/>
        </w:rPr>
      </w:pPr>
      <w:r w:rsidRPr="7AB12A6A">
        <w:rPr>
          <w:rFonts w:eastAsia="Calibri"/>
        </w:rPr>
        <w:t>Patienten ska dricka rikligt under behandlingsdygnet, c</w:t>
      </w:r>
      <w:r w:rsidR="00B404FE">
        <w:rPr>
          <w:rFonts w:eastAsia="Calibri"/>
        </w:rPr>
        <w:t>irka</w:t>
      </w:r>
      <w:r w:rsidRPr="7AB12A6A">
        <w:rPr>
          <w:rFonts w:eastAsia="Calibri"/>
        </w:rPr>
        <w:t xml:space="preserve"> 2 liter (använd vätskelista). Vid vätskerestriktion på grund av hjärtsvikt eller njursvikt gör läkaren individuell bedömning. </w:t>
      </w:r>
    </w:p>
    <w:p w14:paraId="4C476784" w14:textId="44BB34A1" w:rsidR="002D7B26" w:rsidRDefault="002D7B26" w:rsidP="00F457FB">
      <w:pPr>
        <w:pStyle w:val="Punktlista"/>
      </w:pPr>
      <w:r w:rsidRPr="7AB12A6A">
        <w:rPr>
          <w:rFonts w:eastAsia="Calibri"/>
        </w:rPr>
        <w:lastRenderedPageBreak/>
        <w:t xml:space="preserve">Vara försiktig vid hantering av utsöndringar såsom </w:t>
      </w:r>
      <w:r w:rsidR="00B404FE" w:rsidRPr="7AB12A6A">
        <w:rPr>
          <w:rFonts w:eastAsia="Calibri"/>
        </w:rPr>
        <w:t>blodsspill</w:t>
      </w:r>
      <w:r w:rsidRPr="7AB12A6A">
        <w:rPr>
          <w:rFonts w:eastAsia="Calibri"/>
        </w:rPr>
        <w:t xml:space="preserve">, urin, kräkningar och avföringar hos patienter som är under aktiv cytostatikabehandling ska cytostatikahandskar och långärmad skyddsrock med mudd användas. Rester av cytostatika kan finnas i utsöndringar från patienten upp till 7 dygn efter avslutad behandling. Alla utsöndringar under dessa dygn måste därför betraktas som riskavfall och behandlas därefter. Följ NU-sjukvårdens rutin “Cytostatika hantering - </w:t>
      </w:r>
      <w:r w:rsidR="00F457FB">
        <w:rPr>
          <w:rFonts w:eastAsia="Calibri"/>
        </w:rPr>
        <w:br/>
      </w:r>
      <w:r w:rsidRPr="7AB12A6A">
        <w:t>U10092-2087047004-30"</w:t>
      </w:r>
    </w:p>
    <w:p w14:paraId="6A5B1D46" w14:textId="77777777" w:rsidR="002D7B26" w:rsidRDefault="002D7B26" w:rsidP="00F457FB">
      <w:pPr>
        <w:pStyle w:val="Liststycke"/>
        <w:numPr>
          <w:ilvl w:val="0"/>
          <w:numId w:val="0"/>
        </w:numPr>
        <w:ind w:left="1712"/>
        <w:rPr>
          <w:rFonts w:ascii="Calibri" w:eastAsia="Calibri" w:hAnsi="Calibri" w:cs="Calibri"/>
          <w:color w:val="000000" w:themeColor="text1"/>
        </w:rPr>
      </w:pPr>
    </w:p>
    <w:p w14:paraId="447EFCF7" w14:textId="77777777" w:rsidR="002D7B26" w:rsidRPr="00583358" w:rsidRDefault="002D7B26" w:rsidP="00583358">
      <w:pPr>
        <w:pStyle w:val="Rubrik2"/>
      </w:pPr>
      <w:r w:rsidRPr="00583358">
        <w:t>Arbetsbeskrivning</w:t>
      </w:r>
    </w:p>
    <w:p w14:paraId="56BB7735" w14:textId="77777777" w:rsidR="002D7B26" w:rsidRDefault="002D7B26" w:rsidP="004620B7">
      <w:pPr>
        <w:pStyle w:val="Rubrik2"/>
      </w:pPr>
      <w:r w:rsidRPr="7AB12A6A">
        <w:t>Dagen före</w:t>
      </w:r>
    </w:p>
    <w:p w14:paraId="70D9002C" w14:textId="77777777" w:rsidR="002D7B26" w:rsidRDefault="002D7B26" w:rsidP="00F457FB">
      <w:pPr>
        <w:pStyle w:val="Punktlista"/>
        <w:rPr>
          <w:rFonts w:eastAsia="Calibri"/>
        </w:rPr>
      </w:pPr>
      <w:r w:rsidRPr="7AB12A6A">
        <w:rPr>
          <w:rFonts w:eastAsia="Calibri"/>
        </w:rPr>
        <w:t xml:space="preserve">Provtagning och kontroller: CRP, blodstatus, Natrium, Kalium, </w:t>
      </w:r>
      <w:proofErr w:type="spellStart"/>
      <w:r w:rsidRPr="7AB12A6A">
        <w:rPr>
          <w:rFonts w:eastAsia="Calibri"/>
        </w:rPr>
        <w:t>Krea</w:t>
      </w:r>
      <w:proofErr w:type="spellEnd"/>
      <w:r w:rsidRPr="7AB12A6A">
        <w:rPr>
          <w:rFonts w:eastAsia="Calibri"/>
        </w:rPr>
        <w:t>, Urinsticka, U-sediment, P-glukos, resurin, vikt och blodtryck.</w:t>
      </w:r>
    </w:p>
    <w:p w14:paraId="4FE8829B" w14:textId="77777777" w:rsidR="002D7B26" w:rsidRDefault="002D7B26" w:rsidP="00F457FB">
      <w:pPr>
        <w:pStyle w:val="Punktlista"/>
        <w:rPr>
          <w:rFonts w:eastAsia="Calibri"/>
        </w:rPr>
      </w:pPr>
      <w:r w:rsidRPr="7AB12A6A">
        <w:rPr>
          <w:rFonts w:eastAsia="Calibri"/>
        </w:rPr>
        <w:t xml:space="preserve">Sätt välfungerande </w:t>
      </w:r>
      <w:proofErr w:type="spellStart"/>
      <w:r w:rsidRPr="7AB12A6A">
        <w:rPr>
          <w:rFonts w:eastAsia="Calibri"/>
        </w:rPr>
        <w:t>venflon</w:t>
      </w:r>
      <w:proofErr w:type="spellEnd"/>
      <w:r w:rsidRPr="7AB12A6A">
        <w:rPr>
          <w:rFonts w:eastAsia="Calibri"/>
        </w:rPr>
        <w:t xml:space="preserve"> (PVK), får inte sitta i sårig/retad hud eller nedanför tidigare stickställe. (OBS! Tänk på om patienten sparar arm eller har AV-fistel/graft).</w:t>
      </w:r>
    </w:p>
    <w:p w14:paraId="25E7606F" w14:textId="77777777" w:rsidR="002D7B26" w:rsidRDefault="002D7B26" w:rsidP="00F457FB">
      <w:pPr>
        <w:pStyle w:val="Punktlista"/>
        <w:rPr>
          <w:rFonts w:eastAsia="Calibri"/>
        </w:rPr>
      </w:pPr>
      <w:r w:rsidRPr="7AB12A6A">
        <w:rPr>
          <w:rFonts w:eastAsia="Calibri"/>
        </w:rPr>
        <w:t>Kontrollera att patienten ligger på enkelrum på grund av infektionsrisk i samband med behandlingen.</w:t>
      </w:r>
    </w:p>
    <w:p w14:paraId="386B39EC" w14:textId="051AEC7C" w:rsidR="002D7B26" w:rsidRDefault="002D7B26" w:rsidP="00F457FB">
      <w:pPr>
        <w:pStyle w:val="Punktlista"/>
        <w:rPr>
          <w:rFonts w:eastAsia="Calibri"/>
        </w:rPr>
      </w:pPr>
      <w:r w:rsidRPr="7AB12A6A">
        <w:rPr>
          <w:rFonts w:eastAsia="Calibri"/>
        </w:rPr>
        <w:t xml:space="preserve">Ordination: Läkare ordinerar Sendoxan via </w:t>
      </w:r>
      <w:proofErr w:type="spellStart"/>
      <w:r w:rsidRPr="7AB12A6A">
        <w:rPr>
          <w:rFonts w:eastAsia="Calibri"/>
        </w:rPr>
        <w:t>Cytobase</w:t>
      </w:r>
      <w:proofErr w:type="spellEnd"/>
      <w:r w:rsidRPr="7AB12A6A">
        <w:rPr>
          <w:rFonts w:eastAsia="Calibri"/>
        </w:rPr>
        <w:t xml:space="preserve"> (blandas i 500 ml NaCl), ange aggregat </w:t>
      </w:r>
      <w:proofErr w:type="spellStart"/>
      <w:r w:rsidRPr="7AB12A6A">
        <w:rPr>
          <w:rFonts w:eastAsia="Calibri"/>
        </w:rPr>
        <w:t>Cyt</w:t>
      </w:r>
      <w:proofErr w:type="spellEnd"/>
      <w:r w:rsidRPr="7AB12A6A">
        <w:rPr>
          <w:rFonts w:eastAsia="Calibri"/>
        </w:rPr>
        <w:t xml:space="preserve">-Ad-set, Injektion Ondansetron 4 mg/ml 2 ml iv före Sendoxan och tablett Uromitexan 400 mg eller 600 mg i läkemedelsmodulen efter kontroll av provsvar. För beställning av </w:t>
      </w:r>
      <w:proofErr w:type="spellStart"/>
      <w:r w:rsidRPr="7AB12A6A">
        <w:rPr>
          <w:rFonts w:eastAsia="Calibri"/>
        </w:rPr>
        <w:t>Sedoxan</w:t>
      </w:r>
      <w:proofErr w:type="spellEnd"/>
      <w:r w:rsidRPr="7AB12A6A">
        <w:rPr>
          <w:rFonts w:eastAsia="Calibri"/>
        </w:rPr>
        <w:t>: Beställningsblankett cytostatika. Ifylld blankett faxas till Beredningsenheten.</w:t>
      </w:r>
      <w:r w:rsidR="00F457FB">
        <w:rPr>
          <w:rFonts w:eastAsia="Calibri"/>
        </w:rPr>
        <w:br/>
      </w:r>
    </w:p>
    <w:p w14:paraId="0499E409" w14:textId="77777777" w:rsidR="002D7B26" w:rsidRDefault="002D7B26" w:rsidP="004620B7">
      <w:pPr>
        <w:pStyle w:val="Rubrik2"/>
      </w:pPr>
      <w:r w:rsidRPr="7AB12A6A">
        <w:t>Behandlingsdagen</w:t>
      </w:r>
    </w:p>
    <w:p w14:paraId="1ECDE3D2" w14:textId="77777777" w:rsidR="002D7B26" w:rsidRDefault="002D7B26" w:rsidP="00F457FB">
      <w:pPr>
        <w:pStyle w:val="Punktlista"/>
        <w:rPr>
          <w:rFonts w:eastAsia="Calibri"/>
        </w:rPr>
      </w:pPr>
      <w:r w:rsidRPr="7AB12A6A">
        <w:rPr>
          <w:rFonts w:eastAsia="Calibri"/>
        </w:rPr>
        <w:t xml:space="preserve"> Kontroller: Temp, blodtryck och infektionstecken (vid immunsupprimerande behandling skall patienten inte ha pågående infektion).</w:t>
      </w:r>
    </w:p>
    <w:p w14:paraId="5BA9ABC1" w14:textId="49D41185" w:rsidR="002D7B26" w:rsidRDefault="002D7B26" w:rsidP="00F457FB">
      <w:pPr>
        <w:pStyle w:val="Punktlista"/>
        <w:rPr>
          <w:rFonts w:eastAsia="Calibri"/>
        </w:rPr>
      </w:pPr>
      <w:r w:rsidRPr="7AB12A6A">
        <w:rPr>
          <w:rFonts w:eastAsia="Calibri"/>
        </w:rPr>
        <w:t>Kontroll att Sendoxan anlänt till avd</w:t>
      </w:r>
      <w:r w:rsidR="00F457FB">
        <w:rPr>
          <w:rFonts w:eastAsia="Calibri"/>
        </w:rPr>
        <w:t>elningen</w:t>
      </w:r>
      <w:r w:rsidRPr="7AB12A6A">
        <w:rPr>
          <w:rFonts w:eastAsia="Calibri"/>
        </w:rPr>
        <w:t xml:space="preserve"> samt dosering och ID. Hållbarhet 72 timmar.</w:t>
      </w:r>
    </w:p>
    <w:p w14:paraId="172EFB5C" w14:textId="77777777" w:rsidR="002D7B26" w:rsidRDefault="002D7B26" w:rsidP="00F457FB">
      <w:pPr>
        <w:pStyle w:val="Punktlista"/>
        <w:rPr>
          <w:rFonts w:eastAsia="Calibri"/>
        </w:rPr>
      </w:pPr>
      <w:r w:rsidRPr="7AB12A6A">
        <w:rPr>
          <w:rFonts w:eastAsia="Calibri"/>
        </w:rPr>
        <w:t xml:space="preserve">Patienten ska ta tablett Uromitexan 400 mg eller 600mg ska ges 2 timmar före infusion (ges för att förebygga urinvägstoxicitet av </w:t>
      </w:r>
      <w:proofErr w:type="spellStart"/>
      <w:r w:rsidRPr="7AB12A6A">
        <w:rPr>
          <w:rFonts w:eastAsia="Calibri"/>
        </w:rPr>
        <w:t>cyklofosfamid</w:t>
      </w:r>
      <w:proofErr w:type="spellEnd"/>
      <w:r w:rsidRPr="7AB12A6A">
        <w:rPr>
          <w:rFonts w:eastAsia="Calibri"/>
        </w:rPr>
        <w:t>).</w:t>
      </w:r>
    </w:p>
    <w:p w14:paraId="006DAFA6" w14:textId="7DEF14C3" w:rsidR="002D7B26" w:rsidRPr="00F457FB" w:rsidRDefault="002D7B26" w:rsidP="00F457FB">
      <w:pPr>
        <w:rPr>
          <w:rFonts w:eastAsia="Calibri"/>
          <w:b/>
          <w:bCs/>
        </w:rPr>
      </w:pPr>
      <w:r w:rsidRPr="00F457FB">
        <w:rPr>
          <w:rFonts w:eastAsia="Calibri"/>
          <w:b/>
          <w:bCs/>
        </w:rPr>
        <w:lastRenderedPageBreak/>
        <w:t xml:space="preserve">Vid cytostatikahantering skall skyddsutrustning användas. Skyddsrock med långa ärmar, visir samt </w:t>
      </w:r>
      <w:r w:rsidR="00F457FB" w:rsidRPr="00F457FB">
        <w:rPr>
          <w:rFonts w:eastAsia="Calibri"/>
          <w:b/>
          <w:bCs/>
        </w:rPr>
        <w:t>cytostatika godkända</w:t>
      </w:r>
      <w:r w:rsidRPr="00F457FB">
        <w:rPr>
          <w:rFonts w:eastAsia="Calibri"/>
          <w:b/>
          <w:bCs/>
        </w:rPr>
        <w:t xml:space="preserve"> nitrilhandskar.</w:t>
      </w:r>
    </w:p>
    <w:p w14:paraId="0AF821C4" w14:textId="77777777" w:rsidR="002D7B26" w:rsidRDefault="002D7B26" w:rsidP="00A51006">
      <w:pPr>
        <w:pStyle w:val="Punktlista"/>
        <w:rPr>
          <w:rFonts w:eastAsia="Calibri"/>
        </w:rPr>
      </w:pPr>
      <w:r w:rsidRPr="7AB12A6A">
        <w:rPr>
          <w:rFonts w:eastAsia="Calibri"/>
        </w:rPr>
        <w:t xml:space="preserve">Förberedelse av infusionen görs i läkemedelsrummet. Sjuksköterskan bär visir eller munskydd, nitril handskar och skyddsrock vid all hantering av infusionen. Förpackningen (påsen) som Sendoxan anländer i tejpas fast på droppställningen och används till allt avfall. Koppla färdigblandat Sendoxan 500 ml och NaCl 100 ml till det 2”svansade” </w:t>
      </w:r>
      <w:proofErr w:type="spellStart"/>
      <w:r w:rsidRPr="7AB12A6A">
        <w:rPr>
          <w:rFonts w:eastAsia="Calibri"/>
        </w:rPr>
        <w:t>cytostatikaaggregatet</w:t>
      </w:r>
      <w:proofErr w:type="spellEnd"/>
      <w:r w:rsidRPr="7AB12A6A">
        <w:rPr>
          <w:rFonts w:eastAsia="Calibri"/>
        </w:rPr>
        <w:t>. Fyll infusionsslang och trevägskran med NaCl.</w:t>
      </w:r>
    </w:p>
    <w:p w14:paraId="6C3400FE" w14:textId="77777777" w:rsidR="002D7B26" w:rsidRDefault="002D7B26" w:rsidP="00A51006">
      <w:pPr>
        <w:pStyle w:val="Punktlista"/>
        <w:rPr>
          <w:rFonts w:eastAsia="Calibri"/>
        </w:rPr>
      </w:pPr>
      <w:r w:rsidRPr="7AB12A6A">
        <w:rPr>
          <w:rFonts w:eastAsia="Calibri"/>
        </w:rPr>
        <w:t xml:space="preserve">Ge injektion Ondansetron 8 mg i v. Koppla infusionen till patienten. Starta NaCl-infusion under någon minut. Stoppa NaCl och starta </w:t>
      </w:r>
      <w:proofErr w:type="spellStart"/>
      <w:r w:rsidRPr="7AB12A6A">
        <w:rPr>
          <w:rFonts w:eastAsia="Calibri"/>
        </w:rPr>
        <w:t>Sendoxaninfusion</w:t>
      </w:r>
      <w:proofErr w:type="spellEnd"/>
      <w:r w:rsidRPr="7AB12A6A">
        <w:rPr>
          <w:rFonts w:eastAsia="Calibri"/>
        </w:rPr>
        <w:t xml:space="preserve"> som skall </w:t>
      </w:r>
      <w:proofErr w:type="spellStart"/>
      <w:r w:rsidRPr="7AB12A6A">
        <w:rPr>
          <w:rFonts w:eastAsia="Calibri"/>
        </w:rPr>
        <w:t>infunderas</w:t>
      </w:r>
      <w:proofErr w:type="spellEnd"/>
      <w:r w:rsidRPr="7AB12A6A">
        <w:rPr>
          <w:rFonts w:eastAsia="Calibri"/>
        </w:rPr>
        <w:t xml:space="preserve"> under cirka 90 minuter. Ta av samtliga skyddskläder och lägg i avfallspåsen på droppställningen.</w:t>
      </w:r>
    </w:p>
    <w:p w14:paraId="2216FCBC" w14:textId="6BB62F5D" w:rsidR="002D7B26" w:rsidRDefault="002D7B26" w:rsidP="00A51006">
      <w:pPr>
        <w:pStyle w:val="Punktlista"/>
        <w:rPr>
          <w:rFonts w:eastAsia="Calibri"/>
        </w:rPr>
      </w:pPr>
      <w:r w:rsidRPr="7AB12A6A">
        <w:rPr>
          <w:rFonts w:eastAsia="Calibri"/>
        </w:rPr>
        <w:t xml:space="preserve">Avsluta infusion Sendoxan. OBS! Använd skyddskläder, se ovan. Spola </w:t>
      </w:r>
      <w:proofErr w:type="spellStart"/>
      <w:r w:rsidRPr="7AB12A6A">
        <w:rPr>
          <w:rFonts w:eastAsia="Calibri"/>
        </w:rPr>
        <w:t>venflon</w:t>
      </w:r>
      <w:proofErr w:type="spellEnd"/>
      <w:r w:rsidRPr="7AB12A6A">
        <w:rPr>
          <w:rFonts w:eastAsia="Calibri"/>
        </w:rPr>
        <w:t xml:space="preserve"> med 30ml </w:t>
      </w:r>
      <w:proofErr w:type="spellStart"/>
      <w:r w:rsidRPr="7AB12A6A">
        <w:rPr>
          <w:rFonts w:eastAsia="Calibri"/>
        </w:rPr>
        <w:t>Nacl</w:t>
      </w:r>
      <w:proofErr w:type="spellEnd"/>
      <w:r w:rsidRPr="7AB12A6A">
        <w:rPr>
          <w:rFonts w:eastAsia="Calibri"/>
        </w:rPr>
        <w:t xml:space="preserve">. Lägg allt avfall i påsen på droppställningen och förslut väl. Lägg i </w:t>
      </w:r>
      <w:r w:rsidR="00BE3AA6" w:rsidRPr="7AB12A6A">
        <w:rPr>
          <w:rFonts w:eastAsia="Calibri"/>
        </w:rPr>
        <w:t>cytostatika avfall</w:t>
      </w:r>
      <w:r w:rsidRPr="7AB12A6A">
        <w:rPr>
          <w:rFonts w:eastAsia="Calibri"/>
        </w:rPr>
        <w:t xml:space="preserve"> i Läkemedelsrummet i en svart plastlåda märkt med cytostatika och ring sedan specifikt nummer för hämtning (numret står på lilla tavlan i läkemedelsrummet). Rengör droppställning och infusionspumpen.</w:t>
      </w:r>
    </w:p>
    <w:p w14:paraId="66EA7C1B" w14:textId="357F06F5" w:rsidR="002D7B26" w:rsidRDefault="002D7B26" w:rsidP="00A51006">
      <w:pPr>
        <w:pStyle w:val="Punktlista"/>
        <w:rPr>
          <w:rFonts w:eastAsia="Calibri"/>
        </w:rPr>
      </w:pPr>
      <w:r w:rsidRPr="7AB12A6A">
        <w:rPr>
          <w:rFonts w:eastAsia="Calibri"/>
        </w:rPr>
        <w:t>Servera rikligt med dryck till patienten, c</w:t>
      </w:r>
      <w:r w:rsidR="00B34DC0">
        <w:rPr>
          <w:rFonts w:eastAsia="Calibri"/>
        </w:rPr>
        <w:t>irka</w:t>
      </w:r>
      <w:r w:rsidRPr="7AB12A6A">
        <w:rPr>
          <w:rFonts w:eastAsia="Calibri"/>
        </w:rPr>
        <w:t xml:space="preserve"> 2 liter detta dygn om inte vätskerestriktion, se ovan.</w:t>
      </w:r>
    </w:p>
    <w:p w14:paraId="4CA80068" w14:textId="06BD16BD" w:rsidR="002D7B26" w:rsidRDefault="002D7B26" w:rsidP="00A51006">
      <w:pPr>
        <w:pStyle w:val="Punktlista"/>
      </w:pPr>
      <w:r w:rsidRPr="7AB12A6A">
        <w:rPr>
          <w:rFonts w:eastAsia="Calibri"/>
        </w:rPr>
        <w:t>Vara försiktig v</w:t>
      </w:r>
      <w:r w:rsidRPr="7AB12A6A">
        <w:t xml:space="preserve">id hantering av utsöndringar såsom </w:t>
      </w:r>
      <w:r w:rsidR="00B34DC0" w:rsidRPr="7AB12A6A">
        <w:t>blodsspill</w:t>
      </w:r>
      <w:r w:rsidRPr="7AB12A6A">
        <w:t>, urin, kräkningar och avföringar hos patienter som är under aktiv cytostatikabehandling, se ovan.</w:t>
      </w:r>
    </w:p>
    <w:p w14:paraId="6424857F" w14:textId="77777777" w:rsidR="002D7B26" w:rsidRDefault="002D7B26" w:rsidP="004620B7">
      <w:pPr>
        <w:pStyle w:val="Rubrik2"/>
      </w:pPr>
      <w:r w:rsidRPr="7AB12A6A">
        <w:t>Efter behandlingen</w:t>
      </w:r>
    </w:p>
    <w:p w14:paraId="682252AB" w14:textId="77777777" w:rsidR="002D7B26" w:rsidRDefault="002D7B26" w:rsidP="00A51006">
      <w:pPr>
        <w:pStyle w:val="Punktlista"/>
        <w:rPr>
          <w:rFonts w:eastAsia="Calibri"/>
        </w:rPr>
      </w:pPr>
      <w:r w:rsidRPr="7AB12A6A">
        <w:rPr>
          <w:rFonts w:eastAsia="Calibri"/>
        </w:rPr>
        <w:t>2 timmar efter infusionens start ges andra dosen av T. Uromitexan och tredje dosen ges 6 timmar efter infusionens start.</w:t>
      </w:r>
    </w:p>
    <w:p w14:paraId="07CA5BCB" w14:textId="77777777" w:rsidR="002D7B26" w:rsidRDefault="002D7B26" w:rsidP="00A51006">
      <w:pPr>
        <w:pStyle w:val="Punktlista"/>
        <w:rPr>
          <w:rFonts w:eastAsia="Calibri"/>
        </w:rPr>
      </w:pPr>
      <w:r w:rsidRPr="7AB12A6A">
        <w:rPr>
          <w:rFonts w:eastAsia="Calibri"/>
        </w:rPr>
        <w:t>Temp dagligen</w:t>
      </w:r>
    </w:p>
    <w:p w14:paraId="45D21041" w14:textId="048503E3" w:rsidR="002D7B26" w:rsidRDefault="002D7B26" w:rsidP="00F27B6C">
      <w:pPr>
        <w:pStyle w:val="Punktlista"/>
        <w:rPr>
          <w:rFonts w:eastAsia="Calibri"/>
        </w:rPr>
      </w:pPr>
      <w:r w:rsidRPr="7AB12A6A">
        <w:rPr>
          <w:rFonts w:eastAsia="Calibri"/>
        </w:rPr>
        <w:t>Tablett Ondansetron 4 mg mot illamående kan ges vid behov.</w:t>
      </w:r>
    </w:p>
    <w:p w14:paraId="68BFF0C9" w14:textId="77777777" w:rsidR="00F27B6C" w:rsidRPr="00F27B6C" w:rsidRDefault="00F27B6C" w:rsidP="00F27B6C">
      <w:pPr>
        <w:pStyle w:val="Punktlista"/>
        <w:numPr>
          <w:ilvl w:val="0"/>
          <w:numId w:val="0"/>
        </w:numPr>
        <w:ind w:left="1712"/>
        <w:rPr>
          <w:rFonts w:eastAsia="Calibri"/>
        </w:rPr>
      </w:pPr>
    </w:p>
    <w:p w14:paraId="26C65FF6" w14:textId="77777777" w:rsidR="002D7B26" w:rsidRDefault="002D7B26" w:rsidP="004620B7">
      <w:pPr>
        <w:pStyle w:val="Rubrik2"/>
      </w:pPr>
      <w:r w:rsidRPr="7AB12A6A">
        <w:t>Biverkningar</w:t>
      </w:r>
    </w:p>
    <w:p w14:paraId="235C2BBF" w14:textId="4135FC2E" w:rsidR="002D7B26" w:rsidRDefault="002D7B26" w:rsidP="00DA68AB">
      <w:pPr>
        <w:pStyle w:val="Punktlista"/>
        <w:rPr>
          <w:rFonts w:eastAsia="Calibri"/>
        </w:rPr>
      </w:pPr>
      <w:r w:rsidRPr="7AB12A6A">
        <w:rPr>
          <w:rFonts w:eastAsia="Calibri"/>
        </w:rPr>
        <w:t>Ev</w:t>
      </w:r>
      <w:r w:rsidR="00A51006">
        <w:rPr>
          <w:rFonts w:eastAsia="Calibri"/>
        </w:rPr>
        <w:t>entuella</w:t>
      </w:r>
      <w:r w:rsidRPr="7AB12A6A">
        <w:rPr>
          <w:rFonts w:eastAsia="Calibri"/>
        </w:rPr>
        <w:t xml:space="preserve"> biverkningar av Uromitexan; trötthet, huvudvärk, muskeltrötthet, ben- och ledvärk, hjärtklappning, hypertension, illamående, kräkningar, diarré.</w:t>
      </w:r>
    </w:p>
    <w:p w14:paraId="22070DE3" w14:textId="1B0FD5F3" w:rsidR="002D7B26" w:rsidRDefault="002D7B26" w:rsidP="00DA68AB">
      <w:pPr>
        <w:pStyle w:val="Punktlista"/>
        <w:rPr>
          <w:rFonts w:eastAsia="Calibri"/>
        </w:rPr>
      </w:pPr>
      <w:r w:rsidRPr="7AB12A6A">
        <w:rPr>
          <w:rFonts w:eastAsia="Calibri"/>
        </w:rPr>
        <w:lastRenderedPageBreak/>
        <w:t>Ev</w:t>
      </w:r>
      <w:r w:rsidR="00A51006">
        <w:rPr>
          <w:rFonts w:eastAsia="Calibri"/>
        </w:rPr>
        <w:t>entuella</w:t>
      </w:r>
      <w:r w:rsidRPr="7AB12A6A">
        <w:rPr>
          <w:rFonts w:eastAsia="Calibri"/>
        </w:rPr>
        <w:t xml:space="preserve"> biverkningar av Sendoxan (vanliga); påverkan på blodbild, sekundärinfektion, illamående, kräkningar, diarré, förstoppning, buksmärtor.</w:t>
      </w:r>
    </w:p>
    <w:p w14:paraId="03AC8C98" w14:textId="32A553FB" w:rsidR="002D7B26" w:rsidRDefault="002D7B26" w:rsidP="00DA68AB">
      <w:pPr>
        <w:pStyle w:val="Punktlista"/>
        <w:rPr>
          <w:rFonts w:eastAsia="Calibri"/>
        </w:rPr>
      </w:pPr>
      <w:r w:rsidRPr="7AB12A6A">
        <w:rPr>
          <w:rFonts w:eastAsia="Calibri"/>
        </w:rPr>
        <w:t>Pseudoallergisk reaktion kan förekomma vid behandling av autoimmuna sjukdomar; feber, hjärtklappning, trötthet, hudutslag och klåda.</w:t>
      </w:r>
    </w:p>
    <w:p w14:paraId="3847A7AE" w14:textId="77777777" w:rsidR="00F27B6C" w:rsidRDefault="00F27B6C" w:rsidP="00F27B6C">
      <w:pPr>
        <w:pStyle w:val="Punktlista"/>
        <w:numPr>
          <w:ilvl w:val="0"/>
          <w:numId w:val="0"/>
        </w:numPr>
        <w:ind w:left="1712"/>
        <w:rPr>
          <w:rFonts w:eastAsia="Calibri"/>
        </w:rPr>
      </w:pPr>
    </w:p>
    <w:p w14:paraId="0D9A4F81" w14:textId="77777777" w:rsidR="002D7B26" w:rsidRDefault="002D7B26" w:rsidP="004620B7">
      <w:pPr>
        <w:pStyle w:val="Rubrik2"/>
      </w:pPr>
      <w:r w:rsidRPr="7AB12A6A">
        <w:t>Information</w:t>
      </w:r>
    </w:p>
    <w:p w14:paraId="73E8C8C0" w14:textId="77777777" w:rsidR="002D7B26" w:rsidRDefault="002D7B26" w:rsidP="002D7B26">
      <w:pPr>
        <w:rPr>
          <w:rFonts w:ascii="Calibri" w:eastAsia="Calibri" w:hAnsi="Calibri" w:cs="Calibri"/>
          <w:color w:val="000000" w:themeColor="text1"/>
        </w:rPr>
      </w:pPr>
      <w:r w:rsidRPr="7AB12A6A">
        <w:rPr>
          <w:rFonts w:ascii="Calibri" w:eastAsia="Calibri" w:hAnsi="Calibri" w:cs="Calibri"/>
          <w:color w:val="000000" w:themeColor="text1"/>
        </w:rPr>
        <w:t>Läkare skall ge information om att preventivmedel ska användas av både män och kvinnor i fertil ålder under behandlingen och i minst 3 månader efter avslutad behandling.</w:t>
      </w:r>
    </w:p>
    <w:p w14:paraId="446A0742" w14:textId="77777777" w:rsidR="00F27B6C" w:rsidRDefault="00F27B6C" w:rsidP="002D7B26">
      <w:pPr>
        <w:rPr>
          <w:rFonts w:ascii="Calibri" w:eastAsia="Calibri" w:hAnsi="Calibri" w:cs="Calibri"/>
          <w:color w:val="000000" w:themeColor="text1"/>
        </w:rPr>
      </w:pPr>
    </w:p>
    <w:p w14:paraId="446A5321" w14:textId="77777777" w:rsidR="002D7B26" w:rsidRDefault="002D7B26" w:rsidP="004620B7">
      <w:pPr>
        <w:pStyle w:val="Rubrik2"/>
      </w:pPr>
      <w:r w:rsidRPr="7AB12A6A">
        <w:t>Uppföljning</w:t>
      </w:r>
    </w:p>
    <w:p w14:paraId="3E03E9B0" w14:textId="77777777" w:rsidR="002D7B26" w:rsidRDefault="002D7B26" w:rsidP="00F27B6C">
      <w:pPr>
        <w:pStyle w:val="Punktlista"/>
        <w:rPr>
          <w:rFonts w:eastAsia="Calibri"/>
        </w:rPr>
      </w:pPr>
      <w:r w:rsidRPr="7AB12A6A">
        <w:rPr>
          <w:rFonts w:eastAsia="Calibri"/>
        </w:rPr>
        <w:t xml:space="preserve">Provtagning 10 dagar efter behandlingen: Blodstatus med </w:t>
      </w:r>
      <w:proofErr w:type="spellStart"/>
      <w:r w:rsidRPr="7AB12A6A">
        <w:rPr>
          <w:rFonts w:eastAsia="Calibri"/>
        </w:rPr>
        <w:t>Diff</w:t>
      </w:r>
      <w:proofErr w:type="spellEnd"/>
      <w:r w:rsidRPr="7AB12A6A">
        <w:rPr>
          <w:rFonts w:eastAsia="Calibri"/>
        </w:rPr>
        <w:t xml:space="preserve">, CRP, </w:t>
      </w:r>
      <w:proofErr w:type="spellStart"/>
      <w:r w:rsidRPr="7AB12A6A">
        <w:rPr>
          <w:rFonts w:eastAsia="Calibri"/>
        </w:rPr>
        <w:t>krea</w:t>
      </w:r>
      <w:proofErr w:type="spellEnd"/>
      <w:r w:rsidRPr="7AB12A6A">
        <w:rPr>
          <w:rFonts w:eastAsia="Calibri"/>
        </w:rPr>
        <w:t>, urea, kalium, albumin, p-glukos, skicka eventuellt med provtagningsetiketter vid utskrivningen.</w:t>
      </w:r>
    </w:p>
    <w:p w14:paraId="3728D077" w14:textId="77777777" w:rsidR="002D7B26" w:rsidRDefault="002D7B26" w:rsidP="00F27B6C">
      <w:pPr>
        <w:pStyle w:val="Punktlista"/>
        <w:rPr>
          <w:rFonts w:eastAsia="Calibri"/>
        </w:rPr>
      </w:pPr>
      <w:r w:rsidRPr="7AB12A6A">
        <w:rPr>
          <w:rFonts w:eastAsia="Calibri"/>
        </w:rPr>
        <w:t>Meddela sjuksköterska på dialysmottagningen alternativt njur- eller njursviktsmottagningen patientens namn och personnummer för fortsatt uppföljning.</w:t>
      </w:r>
    </w:p>
    <w:p w14:paraId="19DEEF8D" w14:textId="1F08D070" w:rsidR="00536A5A" w:rsidRPr="00536A5A" w:rsidRDefault="00536A5A" w:rsidP="5EFE689A">
      <w:pPr>
        <w:spacing w:after="0" w:line="240" w:lineRule="auto"/>
        <w:ind w:left="0" w:right="0"/>
        <w:rPr>
          <w:color w:val="000000" w:themeColor="text2"/>
        </w:rPr>
      </w:pPr>
    </w:p>
    <w:sectPr w:rsidR="00536A5A" w:rsidRPr="00536A5A" w:rsidSect="00E923DD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04F609" w14:textId="77777777" w:rsidR="00D23A0A" w:rsidRDefault="00D23A0A">
      <w:r>
        <w:separator/>
      </w:r>
    </w:p>
  </w:endnote>
  <w:endnote w:type="continuationSeparator" w:id="0">
    <w:p w14:paraId="71ADB815" w14:textId="77777777" w:rsidR="00D23A0A" w:rsidRDefault="00D23A0A">
      <w:r>
        <w:continuationSeparator/>
      </w:r>
    </w:p>
  </w:endnote>
  <w:endnote w:type="continuationNotice" w:id="1">
    <w:p w14:paraId="1FCB65DF" w14:textId="77777777" w:rsidR="00D23A0A" w:rsidRDefault="00D23A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1" name="Bildobjekt 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FCFF75" w14:textId="77777777" w:rsidR="00D23A0A" w:rsidRDefault="00D23A0A"/>
  </w:footnote>
  <w:footnote w:type="continuationSeparator" w:id="0">
    <w:p w14:paraId="5E85936A" w14:textId="77777777" w:rsidR="00D23A0A" w:rsidRDefault="00D23A0A">
      <w:r>
        <w:continuationSeparator/>
      </w:r>
    </w:p>
  </w:footnote>
  <w:footnote w:type="continuationNotice" w:id="1">
    <w:p w14:paraId="3D7D351A" w14:textId="77777777" w:rsidR="00D23A0A" w:rsidRDefault="00D23A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0471EF"/>
    <w:multiLevelType w:val="hybridMultilevel"/>
    <w:tmpl w:val="63AC53F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7A487B"/>
    <w:multiLevelType w:val="hybridMultilevel"/>
    <w:tmpl w:val="A882373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E5F4D8C"/>
    <w:multiLevelType w:val="hybridMultilevel"/>
    <w:tmpl w:val="8C5E86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99098A"/>
    <w:multiLevelType w:val="hybridMultilevel"/>
    <w:tmpl w:val="E8187940"/>
    <w:lvl w:ilvl="0" w:tplc="EBA26B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0E63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80E2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1E3C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48ED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C843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02F5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A804F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202E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DD47F1"/>
    <w:multiLevelType w:val="hybridMultilevel"/>
    <w:tmpl w:val="12A0E6AC"/>
    <w:lvl w:ilvl="0" w:tplc="18782F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77816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D923F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5CCD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68A1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787B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5CF8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4445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7CD4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1B3B28"/>
    <w:multiLevelType w:val="hybridMultilevel"/>
    <w:tmpl w:val="E49249F2"/>
    <w:lvl w:ilvl="0" w:tplc="37C4E7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98E25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8C91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B212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50B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0688D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BC28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86CA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A809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0B4A2E"/>
    <w:multiLevelType w:val="hybridMultilevel"/>
    <w:tmpl w:val="2FC4D5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51C6A3"/>
    <w:multiLevelType w:val="hybridMultilevel"/>
    <w:tmpl w:val="2A7C1D32"/>
    <w:lvl w:ilvl="0" w:tplc="921CDC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6EA2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CC90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CE25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AA0D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A5EEB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7656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18E9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64A0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4B486F"/>
    <w:multiLevelType w:val="hybridMultilevel"/>
    <w:tmpl w:val="2BDAB0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A67851"/>
    <w:multiLevelType w:val="hybridMultilevel"/>
    <w:tmpl w:val="C60AFBF8"/>
    <w:lvl w:ilvl="0" w:tplc="00063D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CE5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96BE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9A2A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3E70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9646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B494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4E1A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D81E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BE1717"/>
    <w:multiLevelType w:val="hybridMultilevel"/>
    <w:tmpl w:val="199CBB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00F5CF"/>
    <w:multiLevelType w:val="hybridMultilevel"/>
    <w:tmpl w:val="FAB454F2"/>
    <w:lvl w:ilvl="0" w:tplc="3ED61D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A20B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AAEA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3EC0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77EAB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E2619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B50BB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5EC5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86AC9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85CD39"/>
    <w:multiLevelType w:val="hybridMultilevel"/>
    <w:tmpl w:val="5900C592"/>
    <w:lvl w:ilvl="0" w:tplc="2A4ABB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F692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D211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D6D6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6EFE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BE8A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70A8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9CF8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2E867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23C30B7"/>
    <w:multiLevelType w:val="hybridMultilevel"/>
    <w:tmpl w:val="95D0C184"/>
    <w:lvl w:ilvl="0" w:tplc="700601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EA83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0FAC0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9694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8616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E70C5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48BD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9452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2A9F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6BB9938"/>
    <w:multiLevelType w:val="hybridMultilevel"/>
    <w:tmpl w:val="AF806DD8"/>
    <w:lvl w:ilvl="0" w:tplc="825EE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B29E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BCE27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D4DA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D84D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2469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2664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4056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C024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5C2E5DB4"/>
    <w:multiLevelType w:val="hybridMultilevel"/>
    <w:tmpl w:val="43D834F0"/>
    <w:lvl w:ilvl="0" w:tplc="439040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6C7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B609B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8651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CC31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E6896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E61A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5680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A9E93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68C78E"/>
    <w:multiLevelType w:val="hybridMultilevel"/>
    <w:tmpl w:val="64720358"/>
    <w:lvl w:ilvl="0" w:tplc="AC96AB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E248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4442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B69B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4A2F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1A79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B467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7CB3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CCEE9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FFDEA8"/>
    <w:multiLevelType w:val="hybridMultilevel"/>
    <w:tmpl w:val="BC86E91C"/>
    <w:lvl w:ilvl="0" w:tplc="9D7870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760AB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0874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902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57E56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16C64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0ABE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74C0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CEA8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C0D11DB"/>
    <w:multiLevelType w:val="hybridMultilevel"/>
    <w:tmpl w:val="F3CC91E0"/>
    <w:lvl w:ilvl="0" w:tplc="C17A1B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3A8D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D3E17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5A80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1E72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4A9C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D2A5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9ACE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0E18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2996354">
    <w:abstractNumId w:val="21"/>
  </w:num>
  <w:num w:numId="2" w16cid:durableId="1376125985">
    <w:abstractNumId w:val="26"/>
  </w:num>
  <w:num w:numId="3" w16cid:durableId="1190144455">
    <w:abstractNumId w:val="13"/>
  </w:num>
  <w:num w:numId="4" w16cid:durableId="1369725556">
    <w:abstractNumId w:val="30"/>
  </w:num>
  <w:num w:numId="5" w16cid:durableId="1806923186">
    <w:abstractNumId w:val="23"/>
  </w:num>
  <w:num w:numId="6" w16cid:durableId="1151799425">
    <w:abstractNumId w:val="28"/>
  </w:num>
  <w:num w:numId="7" w16cid:durableId="810445637">
    <w:abstractNumId w:val="36"/>
  </w:num>
  <w:num w:numId="8" w16cid:durableId="517889917">
    <w:abstractNumId w:val="29"/>
  </w:num>
  <w:num w:numId="9" w16cid:durableId="2131239278">
    <w:abstractNumId w:val="0"/>
  </w:num>
  <w:num w:numId="10" w16cid:durableId="280889296">
    <w:abstractNumId w:val="8"/>
  </w:num>
  <w:num w:numId="11" w16cid:durableId="561644567">
    <w:abstractNumId w:val="34"/>
  </w:num>
  <w:num w:numId="12" w16cid:durableId="725883503">
    <w:abstractNumId w:val="2"/>
  </w:num>
  <w:num w:numId="13" w16cid:durableId="1109355242">
    <w:abstractNumId w:val="20"/>
  </w:num>
  <w:num w:numId="14" w16cid:durableId="325135012">
    <w:abstractNumId w:val="17"/>
  </w:num>
  <w:num w:numId="15" w16cid:durableId="482896116">
    <w:abstractNumId w:val="1"/>
  </w:num>
  <w:num w:numId="16" w16cid:durableId="461919526">
    <w:abstractNumId w:val="1"/>
  </w:num>
  <w:num w:numId="17" w16cid:durableId="780690603">
    <w:abstractNumId w:val="3"/>
  </w:num>
  <w:num w:numId="18" w16cid:durableId="1608122801">
    <w:abstractNumId w:val="4"/>
  </w:num>
  <w:num w:numId="19" w16cid:durableId="362245753">
    <w:abstractNumId w:val="27"/>
  </w:num>
  <w:num w:numId="20" w16cid:durableId="951131450">
    <w:abstractNumId w:val="18"/>
  </w:num>
  <w:num w:numId="21" w16cid:durableId="1148785478">
    <w:abstractNumId w:val="9"/>
  </w:num>
  <w:num w:numId="22" w16cid:durableId="406463090">
    <w:abstractNumId w:val="25"/>
  </w:num>
  <w:num w:numId="23" w16cid:durableId="1768575608">
    <w:abstractNumId w:val="5"/>
  </w:num>
  <w:num w:numId="24" w16cid:durableId="1636762796">
    <w:abstractNumId w:val="19"/>
  </w:num>
  <w:num w:numId="25" w16cid:durableId="1801919765">
    <w:abstractNumId w:val="35"/>
  </w:num>
  <w:num w:numId="26" w16cid:durableId="1039276802">
    <w:abstractNumId w:val="7"/>
  </w:num>
  <w:num w:numId="27" w16cid:durableId="1569419959">
    <w:abstractNumId w:val="10"/>
  </w:num>
  <w:num w:numId="28" w16cid:durableId="541282918">
    <w:abstractNumId w:val="16"/>
  </w:num>
  <w:num w:numId="29" w16cid:durableId="1221361473">
    <w:abstractNumId w:val="14"/>
  </w:num>
  <w:num w:numId="30" w16cid:durableId="1129322475">
    <w:abstractNumId w:val="22"/>
  </w:num>
  <w:num w:numId="31" w16cid:durableId="888495471">
    <w:abstractNumId w:val="6"/>
  </w:num>
  <w:num w:numId="32" w16cid:durableId="1178889395">
    <w:abstractNumId w:val="12"/>
  </w:num>
  <w:num w:numId="33" w16cid:durableId="154495353">
    <w:abstractNumId w:val="31"/>
  </w:num>
  <w:num w:numId="34" w16cid:durableId="1876232500">
    <w:abstractNumId w:val="11"/>
  </w:num>
  <w:num w:numId="35" w16cid:durableId="1284459882">
    <w:abstractNumId w:val="33"/>
  </w:num>
  <w:num w:numId="36" w16cid:durableId="1742290419">
    <w:abstractNumId w:val="32"/>
  </w:num>
  <w:num w:numId="37" w16cid:durableId="1567570020">
    <w:abstractNumId w:val="24"/>
  </w:num>
  <w:num w:numId="38" w16cid:durableId="14250263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0F3"/>
    <w:rsid w:val="00016CF0"/>
    <w:rsid w:val="0002435C"/>
    <w:rsid w:val="00030DDD"/>
    <w:rsid w:val="000313BB"/>
    <w:rsid w:val="00033ED5"/>
    <w:rsid w:val="00050500"/>
    <w:rsid w:val="0005341B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57D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B26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0B7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358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B8A"/>
    <w:rsid w:val="0065595B"/>
    <w:rsid w:val="00660269"/>
    <w:rsid w:val="00665F89"/>
    <w:rsid w:val="00673C92"/>
    <w:rsid w:val="006753EC"/>
    <w:rsid w:val="006A198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756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00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4DC0"/>
    <w:rsid w:val="00B359CC"/>
    <w:rsid w:val="00B36107"/>
    <w:rsid w:val="00B404FE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A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A0A"/>
    <w:rsid w:val="00D37E7F"/>
    <w:rsid w:val="00D47AD7"/>
    <w:rsid w:val="00D51529"/>
    <w:rsid w:val="00D85218"/>
    <w:rsid w:val="00D915B1"/>
    <w:rsid w:val="00DA299D"/>
    <w:rsid w:val="00DA65C4"/>
    <w:rsid w:val="00DA68A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3DD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7B6C"/>
    <w:rsid w:val="00F35B05"/>
    <w:rsid w:val="00F413D9"/>
    <w:rsid w:val="00F457FB"/>
    <w:rsid w:val="00F5135F"/>
    <w:rsid w:val="00F51F78"/>
    <w:rsid w:val="00F719E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679753C"/>
    <w:rsid w:val="1BFCE153"/>
    <w:rsid w:val="32B612DF"/>
    <w:rsid w:val="5EFE689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9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0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4</Pages>
  <Words>816</Words>
  <Characters>4325</Characters>
  <Application>Microsoft Office Word</Application>
  <DocSecurity>0</DocSecurity>
  <Lines>36</Lines>
  <Paragraphs>10</Paragraphs>
  <ScaleCrop>false</ScaleCrop>
  <Manager/>
  <Company/>
  <LinksUpToDate>false</LinksUpToDate>
  <CharactersWithSpaces>5131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Behandling med Sendoxan (Cyklofosfamid) </dc:title>
  <dc:subject/>
  <dc:creator>patrik.jens.johansson@vgregion.se</dc:creator>
  <keywords/>
  <lastModifiedBy>Annika Johansson</lastModifiedBy>
  <revision>18</revision>
  <lastPrinted>2016-03-31T10:56:00.0000000Z</lastPrinted>
  <dcterms:created xsi:type="dcterms:W3CDTF">2022-05-06T03:40:00.0000000Z</dcterms:created>
  <dcterms:modified xsi:type="dcterms:W3CDTF">2025-02-26T13:12:00.0000000Z</dcterms:modified>
</coreProperties>
</file>