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BB69C" w14:textId="77777777" w:rsidR="00EA707F" w:rsidRDefault="00EA707F" w:rsidP="00F35B05">
      <w:pPr>
        <w:pStyle w:val="Rubrik2"/>
        <w:sectPr w:rsidR="00EA707F" w:rsidSect="00EA707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707F" w:rsidRPr="00EA707F" w14:paraId="103D09A3" w14:textId="77777777" w:rsidTr="00C02B8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140DBCC" w14:textId="1B882F9E" w:rsidR="00EA707F" w:rsidRPr="00EA707F" w:rsidRDefault="00EA707F" w:rsidP="00795A7C">
            <w:pPr>
              <w:pStyle w:val="Rubrik1"/>
              <w:rPr>
                <w:noProof/>
              </w:rPr>
            </w:pPr>
            <w:r w:rsidRPr="00EA707F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8EF354B" wp14:editId="28AF14B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BDC5443" w14:textId="77777777" w:rsidR="00EA707F" w:rsidRPr="003D37FD" w:rsidRDefault="00EA707F" w:rsidP="00EA707F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16998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8EF354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BDC5443" w14:textId="77777777" w:rsidR="00EA707F" w:rsidRPr="003D37FD" w:rsidRDefault="00EA707F" w:rsidP="00EA707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A707F">
              <w:rPr>
                <w:noProof/>
              </w:rPr>
              <w:t>CDK relaterad bakteremi utredning/behandling</w:t>
            </w:r>
            <w:r w:rsidR="00795A7C">
              <w:rPr>
                <w:noProof/>
              </w:rPr>
              <w:t xml:space="preserve"> Q Di 445</w:t>
            </w:r>
          </w:p>
        </w:tc>
      </w:tr>
    </w:tbl>
    <w:p w14:paraId="10A7749B" w14:textId="77777777" w:rsidR="00EA707F" w:rsidRPr="00EA707F" w:rsidRDefault="00EA707F" w:rsidP="00EA707F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A707F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3310F3E" w14:textId="77777777" w:rsidR="00EA707F" w:rsidRPr="00EA707F" w:rsidRDefault="00EA707F" w:rsidP="00EA707F">
      <w:pPr>
        <w:spacing w:after="0" w:line="240" w:lineRule="auto"/>
        <w:ind w:left="0" w:right="0"/>
        <w:rPr>
          <w:szCs w:val="20"/>
        </w:rPr>
      </w:pPr>
    </w:p>
    <w:p w14:paraId="0C226218" w14:textId="77777777" w:rsidR="00EA707F" w:rsidRPr="00EA707F" w:rsidRDefault="00EA707F" w:rsidP="00EA707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  <w:r w:rsidRPr="00EA707F">
        <w:rPr>
          <w:rFonts w:ascii="Arial" w:hAnsi="Arial" w:cs="Arial"/>
          <w:b/>
          <w:sz w:val="28"/>
          <w:szCs w:val="28"/>
        </w:rPr>
        <w:t xml:space="preserve">Behandling av misstänkt CDK-relaterad </w:t>
      </w:r>
      <w:proofErr w:type="spellStart"/>
      <w:r w:rsidRPr="00EA707F">
        <w:rPr>
          <w:rFonts w:ascii="Arial" w:hAnsi="Arial" w:cs="Arial"/>
          <w:b/>
          <w:sz w:val="28"/>
          <w:szCs w:val="28"/>
        </w:rPr>
        <w:t>bakteremi</w:t>
      </w:r>
      <w:proofErr w:type="spellEnd"/>
      <w:r w:rsidRPr="00EA707F">
        <w:rPr>
          <w:rFonts w:ascii="Arial" w:hAnsi="Arial" w:cs="Arial"/>
          <w:b/>
          <w:sz w:val="28"/>
          <w:szCs w:val="28"/>
        </w:rPr>
        <w:t xml:space="preserve"> hos </w:t>
      </w:r>
      <w:proofErr w:type="spellStart"/>
      <w:r w:rsidRPr="00EA707F">
        <w:rPr>
          <w:rFonts w:ascii="Arial" w:hAnsi="Arial" w:cs="Arial"/>
          <w:b/>
          <w:sz w:val="28"/>
          <w:szCs w:val="28"/>
        </w:rPr>
        <w:t>hemodialyspatient</w:t>
      </w:r>
      <w:proofErr w:type="spellEnd"/>
    </w:p>
    <w:p w14:paraId="1E19D86A" w14:textId="77777777" w:rsidR="00EA707F" w:rsidRPr="00EA707F" w:rsidRDefault="00EA707F" w:rsidP="00EA707F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</w:rPr>
      </w:pPr>
    </w:p>
    <w:p w14:paraId="60900CA0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Frossa / feber hos </w:t>
      </w:r>
      <w:proofErr w:type="spellStart"/>
      <w:r w:rsidRPr="00EA707F">
        <w:rPr>
          <w:color w:val="000000"/>
          <w:sz w:val="27"/>
          <w:szCs w:val="27"/>
        </w:rPr>
        <w:t>hemodialyspatient</w:t>
      </w:r>
      <w:proofErr w:type="spellEnd"/>
      <w:r w:rsidRPr="00EA707F">
        <w:rPr>
          <w:color w:val="000000"/>
          <w:sz w:val="27"/>
          <w:szCs w:val="27"/>
        </w:rPr>
        <w:t xml:space="preserve"> med permanent central dialyskateter utan annat uppenbart infektionsfokus än katetern:</w:t>
      </w:r>
    </w:p>
    <w:p w14:paraId="11413493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Om patienten inte har hunnits starta i behandling blododla från CDK samt från dialysmaskin och skriv på remissen hur odlingen tagits.</w:t>
      </w:r>
    </w:p>
    <w:p w14:paraId="0D8AB07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Om patienten har fått symptom under pågående behandling blododla från dialysmaskin och skriv på remissen hur odlingen tagits.</w:t>
      </w:r>
    </w:p>
    <w:p w14:paraId="1CA17105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val av behandling får hänsyn tas till den kliniska bilden (inläggning särskilt vid hög feber eller påverkad patient) och eventuellt tidigare CDK-relaterade infektioner / odlingssvar.</w:t>
      </w:r>
    </w:p>
    <w:p w14:paraId="78799CD6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Initial antibiotikabehandling (i frånvaro av läkemedelsöverkänslighet och </w:t>
      </w:r>
      <w:proofErr w:type="gramStart"/>
      <w:r w:rsidRPr="00EA707F">
        <w:rPr>
          <w:color w:val="000000"/>
          <w:sz w:val="27"/>
          <w:szCs w:val="27"/>
        </w:rPr>
        <w:t>vikt &gt;</w:t>
      </w:r>
      <w:proofErr w:type="gramEnd"/>
      <w:r w:rsidRPr="00EA707F">
        <w:rPr>
          <w:color w:val="000000"/>
          <w:sz w:val="27"/>
          <w:szCs w:val="27"/>
        </w:rPr>
        <w:t xml:space="preserve"> 50 kg):</w:t>
      </w:r>
    </w:p>
    <w:p w14:paraId="6C82BDA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</w:t>
      </w: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1g och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1g x1.</w:t>
      </w:r>
    </w:p>
    <w:p w14:paraId="6EB23F2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-Kombination med antibiotikalås i CDK!</w:t>
      </w:r>
    </w:p>
    <w:p w14:paraId="472E924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Vid </w:t>
      </w:r>
      <w:proofErr w:type="spellStart"/>
      <w:r w:rsidRPr="00EA707F">
        <w:rPr>
          <w:color w:val="000000"/>
          <w:sz w:val="27"/>
          <w:szCs w:val="27"/>
        </w:rPr>
        <w:t>vancomycinbehandling</w:t>
      </w:r>
      <w:proofErr w:type="spellEnd"/>
      <w:r w:rsidRPr="00EA707F">
        <w:rPr>
          <w:color w:val="000000"/>
          <w:sz w:val="27"/>
          <w:szCs w:val="27"/>
        </w:rPr>
        <w:t xml:space="preserve"> tas koncentration varje dialys med akutsvar. Vid antibiotikalås tas provet </w:t>
      </w:r>
      <w:proofErr w:type="gramStart"/>
      <w:r w:rsidRPr="00EA707F">
        <w:rPr>
          <w:color w:val="000000"/>
          <w:sz w:val="27"/>
          <w:szCs w:val="27"/>
        </w:rPr>
        <w:t>1-2</w:t>
      </w:r>
      <w:proofErr w:type="gramEnd"/>
      <w:r w:rsidRPr="00EA707F">
        <w:rPr>
          <w:color w:val="000000"/>
          <w:sz w:val="27"/>
          <w:szCs w:val="27"/>
        </w:rPr>
        <w:t xml:space="preserve"> minuter efter start så att antibiotikalåset ej orsakar falskt högt värde (men dialysen ej hunnit sänka).</w:t>
      </w:r>
    </w:p>
    <w:p w14:paraId="60AE0A5A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Fortsatt antibiotikabehandling (får justeras beroende på odlingssvar):</w:t>
      </w:r>
    </w:p>
    <w:p w14:paraId="0FCFFBC2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lastRenderedPageBreak/>
        <w:t xml:space="preserve">- Ny dos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1 g efter varje dialys</w:t>
      </w:r>
    </w:p>
    <w:p w14:paraId="38FA0BE2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Ny dos </w:t>
      </w: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utifrån koncentrationssvar, vid högeffektiv dialys (</w:t>
      </w:r>
      <w:proofErr w:type="spellStart"/>
      <w:r w:rsidRPr="00EA707F">
        <w:rPr>
          <w:color w:val="000000"/>
          <w:sz w:val="27"/>
          <w:szCs w:val="27"/>
        </w:rPr>
        <w:t>high</w:t>
      </w:r>
      <w:proofErr w:type="spellEnd"/>
      <w:r w:rsidRPr="00EA707F">
        <w:rPr>
          <w:color w:val="000000"/>
          <w:sz w:val="27"/>
          <w:szCs w:val="27"/>
        </w:rPr>
        <w:t xml:space="preserve">-flux, HF, HDF) kan </w:t>
      </w:r>
      <w:proofErr w:type="gramStart"/>
      <w:r w:rsidRPr="00EA707F">
        <w:rPr>
          <w:color w:val="000000"/>
          <w:sz w:val="27"/>
          <w:szCs w:val="27"/>
        </w:rPr>
        <w:t>500-1000</w:t>
      </w:r>
      <w:proofErr w:type="gramEnd"/>
      <w:r w:rsidRPr="00EA707F">
        <w:rPr>
          <w:color w:val="000000"/>
          <w:sz w:val="27"/>
          <w:szCs w:val="27"/>
        </w:rPr>
        <w:t xml:space="preserve"> mg behövas efter varje dialys.</w:t>
      </w:r>
    </w:p>
    <w:p w14:paraId="6BA69EBD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t>Vancomycin</w:t>
      </w:r>
      <w:proofErr w:type="spellEnd"/>
      <w:r w:rsidRPr="00EA707F">
        <w:rPr>
          <w:color w:val="000000"/>
          <w:sz w:val="27"/>
          <w:szCs w:val="27"/>
        </w:rPr>
        <w:t xml:space="preserve"> ges efter dialys </w:t>
      </w:r>
      <w:proofErr w:type="spellStart"/>
      <w:r w:rsidRPr="00EA707F">
        <w:rPr>
          <w:color w:val="000000"/>
          <w:sz w:val="27"/>
          <w:szCs w:val="27"/>
        </w:rPr>
        <w:t>enl</w:t>
      </w:r>
      <w:proofErr w:type="spellEnd"/>
      <w:r w:rsidRPr="00EA707F">
        <w:rPr>
          <w:color w:val="000000"/>
          <w:sz w:val="27"/>
          <w:szCs w:val="27"/>
        </w:rPr>
        <w:t xml:space="preserve"> pm.</w:t>
      </w:r>
    </w:p>
    <w:p w14:paraId="722496FE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fortsatt feber efter 48 timmar tas ny blododling. Vid fortsatt positiv blododling överväg kateterbyte.</w:t>
      </w:r>
    </w:p>
    <w:p w14:paraId="00C1827E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negativ blododling: ställningstagande till fortsatt antibiotikabehandling eller ej.</w:t>
      </w:r>
    </w:p>
    <w:p w14:paraId="1AB7C4C3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Vid positiv blododling anpassas behandlingen till resistensbestämningen.</w:t>
      </w:r>
    </w:p>
    <w:p w14:paraId="17042E08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</w:p>
    <w:p w14:paraId="1666A8EF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</w:p>
    <w:p w14:paraId="7B6BA79C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t>Behandlningstid</w:t>
      </w:r>
      <w:proofErr w:type="spellEnd"/>
      <w:r w:rsidRPr="00EA707F">
        <w:rPr>
          <w:color w:val="000000"/>
          <w:sz w:val="27"/>
          <w:szCs w:val="27"/>
        </w:rPr>
        <w:t xml:space="preserve"> enligt ovan:</w:t>
      </w:r>
    </w:p>
    <w:p w14:paraId="6C09F881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 För Grampositiva bakterier, </w:t>
      </w:r>
      <w:proofErr w:type="spellStart"/>
      <w:r w:rsidRPr="00EA707F">
        <w:rPr>
          <w:color w:val="000000"/>
          <w:sz w:val="27"/>
          <w:szCs w:val="27"/>
        </w:rPr>
        <w:t>koagulasnegativa</w:t>
      </w:r>
      <w:proofErr w:type="spellEnd"/>
      <w:r w:rsidRPr="00EA707F">
        <w:rPr>
          <w:color w:val="000000"/>
          <w:sz w:val="27"/>
          <w:szCs w:val="27"/>
        </w:rPr>
        <w:t xml:space="preserve"> stafylokocker eller </w:t>
      </w:r>
      <w:proofErr w:type="spellStart"/>
      <w:r w:rsidRPr="00EA707F">
        <w:rPr>
          <w:color w:val="000000"/>
          <w:sz w:val="27"/>
          <w:szCs w:val="27"/>
        </w:rPr>
        <w:t>Candida</w:t>
      </w:r>
      <w:proofErr w:type="spellEnd"/>
      <w:r w:rsidRPr="00EA707F">
        <w:rPr>
          <w:color w:val="000000"/>
          <w:sz w:val="27"/>
          <w:szCs w:val="27"/>
        </w:rPr>
        <w:t xml:space="preserve"> sp </w:t>
      </w:r>
      <w:proofErr w:type="spellStart"/>
      <w:r w:rsidRPr="00EA707F">
        <w:rPr>
          <w:color w:val="000000"/>
          <w:sz w:val="27"/>
          <w:szCs w:val="27"/>
        </w:rPr>
        <w:t>rekomenderas</w:t>
      </w:r>
      <w:proofErr w:type="spellEnd"/>
      <w:r w:rsidRPr="00EA707F">
        <w:rPr>
          <w:color w:val="000000"/>
          <w:sz w:val="27"/>
          <w:szCs w:val="27"/>
        </w:rPr>
        <w:t xml:space="preserve"> fjorton dagars behandlingstid.</w:t>
      </w:r>
    </w:p>
    <w:p w14:paraId="558F539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-För </w:t>
      </w:r>
      <w:proofErr w:type="spellStart"/>
      <w:r w:rsidRPr="00EA707F">
        <w:rPr>
          <w:color w:val="000000"/>
          <w:sz w:val="27"/>
          <w:szCs w:val="27"/>
        </w:rPr>
        <w:t>stafylococcus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aureus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bakteriemi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rekomenderas</w:t>
      </w:r>
      <w:proofErr w:type="spellEnd"/>
      <w:r w:rsidRPr="00EA707F">
        <w:rPr>
          <w:color w:val="000000"/>
          <w:sz w:val="27"/>
          <w:szCs w:val="27"/>
        </w:rPr>
        <w:t xml:space="preserve"> preliminärt fyra </w:t>
      </w:r>
      <w:proofErr w:type="spellStart"/>
      <w:r w:rsidRPr="00EA707F">
        <w:rPr>
          <w:color w:val="000000"/>
          <w:sz w:val="27"/>
          <w:szCs w:val="27"/>
        </w:rPr>
        <w:t>vekors</w:t>
      </w:r>
      <w:proofErr w:type="spellEnd"/>
      <w:r w:rsidRPr="00EA707F">
        <w:rPr>
          <w:color w:val="000000"/>
          <w:sz w:val="27"/>
          <w:szCs w:val="27"/>
        </w:rPr>
        <w:t xml:space="preserve"> behandling och remiss till </w:t>
      </w:r>
      <w:proofErr w:type="spellStart"/>
      <w:r w:rsidRPr="00EA707F">
        <w:rPr>
          <w:color w:val="000000"/>
          <w:sz w:val="27"/>
          <w:szCs w:val="27"/>
        </w:rPr>
        <w:t>transesofageal</w:t>
      </w:r>
      <w:proofErr w:type="spellEnd"/>
      <w:r w:rsidRPr="00EA707F">
        <w:rPr>
          <w:color w:val="000000"/>
          <w:sz w:val="27"/>
          <w:szCs w:val="27"/>
        </w:rPr>
        <w:t xml:space="preserve"> ekokardiografi.</w:t>
      </w:r>
    </w:p>
    <w:p w14:paraId="7686A2E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Man får överväga CDK-byte om:</w:t>
      </w:r>
    </w:p>
    <w:p w14:paraId="2623F945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-Tecken på tunnelinfektion</w:t>
      </w:r>
    </w:p>
    <w:p w14:paraId="4D1E8A08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 Patienten är icke hemodynamiskt stabil</w:t>
      </w:r>
    </w:p>
    <w:p w14:paraId="27A23710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-Det finns tecken på dissemination (</w:t>
      </w:r>
      <w:proofErr w:type="spellStart"/>
      <w:r w:rsidRPr="00EA707F">
        <w:rPr>
          <w:color w:val="000000"/>
          <w:sz w:val="27"/>
          <w:szCs w:val="27"/>
        </w:rPr>
        <w:t>endokardit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tromboflebit</w:t>
      </w:r>
      <w:proofErr w:type="spellEnd"/>
      <w:r w:rsidRPr="00EA707F">
        <w:rPr>
          <w:color w:val="000000"/>
          <w:sz w:val="27"/>
          <w:szCs w:val="27"/>
        </w:rPr>
        <w:t>)</w:t>
      </w:r>
    </w:p>
    <w:p w14:paraId="152738B5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-Positiv blododling med </w:t>
      </w:r>
      <w:proofErr w:type="spellStart"/>
      <w:r w:rsidRPr="00EA707F">
        <w:rPr>
          <w:color w:val="000000"/>
          <w:sz w:val="27"/>
          <w:szCs w:val="27"/>
        </w:rPr>
        <w:t>Stafylococcus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aureus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Pseudomonas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aeruginosa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Candida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Mycobakterium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1CB72DB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Antibiotikalås i dialyskatetern (ges under samma tid som intravenös behandling): </w:t>
      </w:r>
      <w:proofErr w:type="spellStart"/>
      <w:r w:rsidRPr="00EA707F">
        <w:rPr>
          <w:color w:val="000000"/>
          <w:sz w:val="27"/>
          <w:szCs w:val="27"/>
        </w:rPr>
        <w:t>Vancocin</w:t>
      </w:r>
      <w:proofErr w:type="spellEnd"/>
      <w:r w:rsidRPr="00EA707F">
        <w:rPr>
          <w:color w:val="000000"/>
          <w:sz w:val="27"/>
          <w:szCs w:val="27"/>
        </w:rPr>
        <w:t xml:space="preserve"> 5mg/ml 1 ml + </w:t>
      </w:r>
      <w:proofErr w:type="spellStart"/>
      <w:r w:rsidRPr="00EA707F">
        <w:rPr>
          <w:color w:val="000000"/>
          <w:sz w:val="27"/>
          <w:szCs w:val="27"/>
        </w:rPr>
        <w:t>Ceftazidime</w:t>
      </w:r>
      <w:proofErr w:type="spellEnd"/>
      <w:r w:rsidRPr="00EA707F">
        <w:rPr>
          <w:color w:val="000000"/>
          <w:sz w:val="27"/>
          <w:szCs w:val="27"/>
        </w:rPr>
        <w:t xml:space="preserve"> 20mg/ml 1 ml + Heparin 5 000 E/ml 2 ml (ovanstående koncentrationer i färdig infusionslösning förutsätter att </w:t>
      </w:r>
      <w:proofErr w:type="spellStart"/>
      <w:r w:rsidRPr="00EA707F">
        <w:rPr>
          <w:color w:val="000000"/>
          <w:sz w:val="27"/>
          <w:szCs w:val="27"/>
        </w:rPr>
        <w:t>Vankomycin</w:t>
      </w:r>
      <w:proofErr w:type="spellEnd"/>
      <w:r w:rsidRPr="00EA707F">
        <w:rPr>
          <w:color w:val="000000"/>
          <w:sz w:val="27"/>
          <w:szCs w:val="27"/>
        </w:rPr>
        <w:t xml:space="preserve"> pulver 1g späds med 20ml sterilt vatten + 180 ml natriumklorid 0,9%, sammanlagt 200 ml och att </w:t>
      </w:r>
      <w:proofErr w:type="spellStart"/>
      <w:r w:rsidRPr="00EA707F">
        <w:rPr>
          <w:color w:val="000000"/>
          <w:sz w:val="27"/>
          <w:szCs w:val="27"/>
        </w:rPr>
        <w:t>Ceftazidim</w:t>
      </w:r>
      <w:proofErr w:type="spellEnd"/>
      <w:r w:rsidRPr="00EA707F">
        <w:rPr>
          <w:color w:val="000000"/>
          <w:sz w:val="27"/>
          <w:szCs w:val="27"/>
        </w:rPr>
        <w:t xml:space="preserve"> pulver 1 g späds med 50ml natriumklorid 0,9%)</w:t>
      </w:r>
    </w:p>
    <w:p w14:paraId="3A6123D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Efter odlingssvar kan behandlingen anpassas:</w:t>
      </w:r>
    </w:p>
    <w:p w14:paraId="3BA8B397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proofErr w:type="spellStart"/>
      <w:r w:rsidRPr="00EA707F">
        <w:rPr>
          <w:color w:val="000000"/>
          <w:sz w:val="27"/>
          <w:szCs w:val="27"/>
        </w:rPr>
        <w:lastRenderedPageBreak/>
        <w:t>Ceftazidime</w:t>
      </w:r>
      <w:proofErr w:type="spellEnd"/>
      <w:r w:rsidRPr="00EA707F">
        <w:rPr>
          <w:color w:val="000000"/>
          <w:sz w:val="27"/>
          <w:szCs w:val="27"/>
        </w:rPr>
        <w:t xml:space="preserve"> 20mg/ml 1 ml + Heparin 5 000 E / ml 3 ml eller </w:t>
      </w:r>
      <w:proofErr w:type="spellStart"/>
      <w:r w:rsidRPr="00EA707F">
        <w:rPr>
          <w:color w:val="000000"/>
          <w:sz w:val="27"/>
          <w:szCs w:val="27"/>
        </w:rPr>
        <w:t>Vancocin</w:t>
      </w:r>
      <w:proofErr w:type="spellEnd"/>
      <w:r w:rsidRPr="00EA707F">
        <w:rPr>
          <w:color w:val="000000"/>
          <w:sz w:val="27"/>
          <w:szCs w:val="27"/>
        </w:rPr>
        <w:t xml:space="preserve"> 5mg/ml 2 ml + Heparin 5 000 E / ml 2 ml Även </w:t>
      </w:r>
      <w:proofErr w:type="spellStart"/>
      <w:r w:rsidRPr="00EA707F">
        <w:rPr>
          <w:color w:val="000000"/>
          <w:sz w:val="27"/>
          <w:szCs w:val="27"/>
        </w:rPr>
        <w:t>gentamicin</w:t>
      </w:r>
      <w:proofErr w:type="spellEnd"/>
      <w:r w:rsidRPr="00EA707F">
        <w:rPr>
          <w:color w:val="000000"/>
          <w:sz w:val="27"/>
          <w:szCs w:val="27"/>
        </w:rPr>
        <w:t xml:space="preserve"> kan användas som kateterlås: </w:t>
      </w:r>
      <w:proofErr w:type="spellStart"/>
      <w:r w:rsidRPr="00EA707F">
        <w:rPr>
          <w:color w:val="000000"/>
          <w:sz w:val="27"/>
          <w:szCs w:val="27"/>
        </w:rPr>
        <w:t>Garamycin</w:t>
      </w:r>
      <w:proofErr w:type="spellEnd"/>
      <w:r w:rsidRPr="00EA707F">
        <w:rPr>
          <w:color w:val="000000"/>
          <w:sz w:val="27"/>
          <w:szCs w:val="27"/>
        </w:rPr>
        <w:t xml:space="preserve"> 10 mg / ml 2 ml + Heparin 5 000 E / ml 2 ml Blandningen ger 4 ml färdig blandning, räcker att fylla båda skänklarna, fyll med samma volym som vanligt (vid större volym blandas mer med samma proportioner). Blandningen innebär att heparinkoncentrationen är lägre än vanligt. (1)</w:t>
      </w:r>
    </w:p>
    <w:p w14:paraId="51FE8271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Kontrollodling en vecka efter avslutad </w:t>
      </w:r>
      <w:proofErr w:type="spellStart"/>
      <w:r w:rsidRPr="00EA707F">
        <w:rPr>
          <w:color w:val="000000"/>
          <w:sz w:val="27"/>
          <w:szCs w:val="27"/>
        </w:rPr>
        <w:t>antibioticabehandling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2BDF1A0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Överväg kateterbyte vid positiv kontrollodling</w:t>
      </w:r>
    </w:p>
    <w:p w14:paraId="28F6EE8A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Referenser:</w:t>
      </w:r>
    </w:p>
    <w:p w14:paraId="2429F61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1. KDOQI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Vascular</w:t>
      </w:r>
      <w:proofErr w:type="spellEnd"/>
      <w:r w:rsidRPr="00EA707F">
        <w:rPr>
          <w:color w:val="000000"/>
          <w:sz w:val="27"/>
          <w:szCs w:val="27"/>
        </w:rPr>
        <w:t xml:space="preserve"> Access 2019, </w:t>
      </w:r>
      <w:proofErr w:type="spellStart"/>
      <w:r w:rsidRPr="00EA707F">
        <w:rPr>
          <w:color w:val="000000"/>
          <w:sz w:val="27"/>
          <w:szCs w:val="27"/>
        </w:rPr>
        <w:t>guideline</w:t>
      </w:r>
      <w:proofErr w:type="spellEnd"/>
      <w:r w:rsidRPr="00EA707F">
        <w:rPr>
          <w:color w:val="000000"/>
          <w:sz w:val="27"/>
          <w:szCs w:val="27"/>
        </w:rPr>
        <w:t xml:space="preserve"> 23.</w:t>
      </w:r>
    </w:p>
    <w:p w14:paraId="78D338B4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 xml:space="preserve">2. Clinical </w:t>
      </w:r>
      <w:proofErr w:type="spellStart"/>
      <w:r w:rsidRPr="00EA707F">
        <w:rPr>
          <w:color w:val="000000"/>
          <w:sz w:val="27"/>
          <w:szCs w:val="27"/>
        </w:rPr>
        <w:t>Practice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for the </w:t>
      </w:r>
      <w:proofErr w:type="spellStart"/>
      <w:r w:rsidRPr="00EA707F">
        <w:rPr>
          <w:color w:val="000000"/>
          <w:sz w:val="27"/>
          <w:szCs w:val="27"/>
        </w:rPr>
        <w:t>Diagnosis</w:t>
      </w:r>
      <w:proofErr w:type="spellEnd"/>
      <w:r w:rsidRPr="00EA707F">
        <w:rPr>
          <w:color w:val="000000"/>
          <w:sz w:val="27"/>
          <w:szCs w:val="27"/>
        </w:rPr>
        <w:t xml:space="preserve"> and Management </w:t>
      </w:r>
      <w:proofErr w:type="spellStart"/>
      <w:r w:rsidRPr="00EA707F">
        <w:rPr>
          <w:color w:val="000000"/>
          <w:sz w:val="27"/>
          <w:szCs w:val="27"/>
        </w:rPr>
        <w:t>of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Intravascular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Catheter-related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Infections</w:t>
      </w:r>
      <w:proofErr w:type="spellEnd"/>
      <w:r w:rsidRPr="00EA707F">
        <w:rPr>
          <w:color w:val="000000"/>
          <w:sz w:val="27"/>
          <w:szCs w:val="27"/>
        </w:rPr>
        <w:t xml:space="preserve">. </w:t>
      </w:r>
      <w:proofErr w:type="spellStart"/>
      <w:r w:rsidRPr="00EA707F">
        <w:rPr>
          <w:color w:val="000000"/>
          <w:sz w:val="27"/>
          <w:szCs w:val="27"/>
        </w:rPr>
        <w:t>Update</w:t>
      </w:r>
      <w:proofErr w:type="spellEnd"/>
      <w:r w:rsidRPr="00EA707F">
        <w:rPr>
          <w:color w:val="000000"/>
          <w:sz w:val="27"/>
          <w:szCs w:val="27"/>
        </w:rPr>
        <w:t xml:space="preserve"> by the </w:t>
      </w:r>
      <w:proofErr w:type="spellStart"/>
      <w:r w:rsidRPr="00EA707F">
        <w:rPr>
          <w:color w:val="000000"/>
          <w:sz w:val="27"/>
          <w:szCs w:val="27"/>
        </w:rPr>
        <w:t>Infectious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Disease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Society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of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America</w:t>
      </w:r>
      <w:proofErr w:type="spellEnd"/>
      <w:r w:rsidRPr="00EA707F">
        <w:rPr>
          <w:color w:val="000000"/>
          <w:sz w:val="27"/>
          <w:szCs w:val="27"/>
        </w:rPr>
        <w:t>.</w:t>
      </w:r>
    </w:p>
    <w:p w14:paraId="5A335BDB" w14:textId="77777777" w:rsidR="00EA707F" w:rsidRPr="00EA707F" w:rsidRDefault="00EA707F" w:rsidP="00EA707F">
      <w:pPr>
        <w:spacing w:before="100" w:beforeAutospacing="1" w:after="100" w:afterAutospacing="1" w:line="240" w:lineRule="auto"/>
        <w:ind w:left="0" w:right="0"/>
        <w:rPr>
          <w:color w:val="000000"/>
          <w:sz w:val="27"/>
          <w:szCs w:val="27"/>
        </w:rPr>
      </w:pPr>
      <w:r w:rsidRPr="00EA707F">
        <w:rPr>
          <w:color w:val="000000"/>
          <w:sz w:val="27"/>
          <w:szCs w:val="27"/>
        </w:rPr>
        <w:t>3. “</w:t>
      </w:r>
      <w:proofErr w:type="spellStart"/>
      <w:r w:rsidRPr="00EA707F">
        <w:rPr>
          <w:color w:val="000000"/>
          <w:sz w:val="27"/>
          <w:szCs w:val="27"/>
        </w:rPr>
        <w:t>Treatment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Guidelines</w:t>
      </w:r>
      <w:proofErr w:type="spellEnd"/>
      <w:r w:rsidRPr="00EA707F">
        <w:rPr>
          <w:color w:val="000000"/>
          <w:sz w:val="27"/>
          <w:szCs w:val="27"/>
        </w:rPr>
        <w:t xml:space="preserve"> for </w:t>
      </w:r>
      <w:proofErr w:type="spellStart"/>
      <w:r w:rsidRPr="00EA707F">
        <w:rPr>
          <w:color w:val="000000"/>
          <w:sz w:val="27"/>
          <w:szCs w:val="27"/>
        </w:rPr>
        <w:t>Dialysis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Catheter-related</w:t>
      </w:r>
      <w:proofErr w:type="spellEnd"/>
      <w:r w:rsidRPr="00EA707F">
        <w:rPr>
          <w:color w:val="000000"/>
          <w:sz w:val="27"/>
          <w:szCs w:val="27"/>
        </w:rPr>
        <w:t xml:space="preserve"> </w:t>
      </w:r>
      <w:proofErr w:type="spellStart"/>
      <w:r w:rsidRPr="00EA707F">
        <w:rPr>
          <w:color w:val="000000"/>
          <w:sz w:val="27"/>
          <w:szCs w:val="27"/>
        </w:rPr>
        <w:t>Bacteremia</w:t>
      </w:r>
      <w:proofErr w:type="spellEnd"/>
      <w:r w:rsidRPr="00EA707F">
        <w:rPr>
          <w:color w:val="000000"/>
          <w:sz w:val="27"/>
          <w:szCs w:val="27"/>
        </w:rPr>
        <w:t xml:space="preserve">: An </w:t>
      </w:r>
      <w:proofErr w:type="spellStart"/>
      <w:r w:rsidRPr="00EA707F">
        <w:rPr>
          <w:color w:val="000000"/>
          <w:sz w:val="27"/>
          <w:szCs w:val="27"/>
        </w:rPr>
        <w:t>Update</w:t>
      </w:r>
      <w:proofErr w:type="spellEnd"/>
      <w:r w:rsidRPr="00EA707F">
        <w:rPr>
          <w:color w:val="000000"/>
          <w:sz w:val="27"/>
          <w:szCs w:val="27"/>
        </w:rPr>
        <w:t xml:space="preserve">”, Michael </w:t>
      </w:r>
      <w:proofErr w:type="spellStart"/>
      <w:r w:rsidRPr="00EA707F">
        <w:rPr>
          <w:color w:val="000000"/>
          <w:sz w:val="27"/>
          <w:szCs w:val="27"/>
        </w:rPr>
        <w:t>Allon</w:t>
      </w:r>
      <w:proofErr w:type="spellEnd"/>
      <w:r w:rsidRPr="00EA707F">
        <w:rPr>
          <w:color w:val="000000"/>
          <w:sz w:val="27"/>
          <w:szCs w:val="27"/>
        </w:rPr>
        <w:t xml:space="preserve">, </w:t>
      </w:r>
      <w:proofErr w:type="spellStart"/>
      <w:r w:rsidRPr="00EA707F">
        <w:rPr>
          <w:color w:val="000000"/>
          <w:sz w:val="27"/>
          <w:szCs w:val="27"/>
        </w:rPr>
        <w:t>Am</w:t>
      </w:r>
      <w:proofErr w:type="spellEnd"/>
      <w:r w:rsidRPr="00EA707F">
        <w:rPr>
          <w:color w:val="000000"/>
          <w:sz w:val="27"/>
          <w:szCs w:val="27"/>
        </w:rPr>
        <w:t xml:space="preserve"> J </w:t>
      </w:r>
      <w:proofErr w:type="spellStart"/>
      <w:r w:rsidRPr="00EA707F">
        <w:rPr>
          <w:color w:val="000000"/>
          <w:sz w:val="27"/>
          <w:szCs w:val="27"/>
        </w:rPr>
        <w:t>Kidney</w:t>
      </w:r>
      <w:proofErr w:type="spellEnd"/>
      <w:r w:rsidRPr="00EA707F">
        <w:rPr>
          <w:color w:val="000000"/>
          <w:sz w:val="27"/>
          <w:szCs w:val="27"/>
        </w:rPr>
        <w:t xml:space="preserve"> Dis. 2009, Jul; 54(1): </w:t>
      </w:r>
      <w:proofErr w:type="gramStart"/>
      <w:r w:rsidRPr="00EA707F">
        <w:rPr>
          <w:color w:val="000000"/>
          <w:sz w:val="27"/>
          <w:szCs w:val="27"/>
        </w:rPr>
        <w:t>13-17</w:t>
      </w:r>
      <w:proofErr w:type="gramEnd"/>
      <w:r w:rsidRPr="00EA707F">
        <w:rPr>
          <w:color w:val="000000"/>
          <w:sz w:val="27"/>
          <w:szCs w:val="27"/>
        </w:rPr>
        <w:t>.</w:t>
      </w:r>
    </w:p>
    <w:p w14:paraId="7F57D42B" w14:textId="77777777" w:rsidR="00EA707F" w:rsidRPr="00EA707F" w:rsidRDefault="00EA707F" w:rsidP="00EA707F">
      <w:pPr>
        <w:spacing w:after="0" w:line="240" w:lineRule="auto"/>
        <w:ind w:left="0" w:right="0"/>
        <w:rPr>
          <w:sz w:val="20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707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93374967">
    <w:abstractNumId w:val="17"/>
  </w:num>
  <w:num w:numId="2" w16cid:durableId="1651128549">
    <w:abstractNumId w:val="14"/>
  </w:num>
  <w:num w:numId="3" w16cid:durableId="1048918764">
    <w:abstractNumId w:val="0"/>
  </w:num>
  <w:num w:numId="4" w16cid:durableId="1905478">
    <w:abstractNumId w:val="6"/>
  </w:num>
  <w:num w:numId="5" w16cid:durableId="960569243">
    <w:abstractNumId w:val="15"/>
  </w:num>
  <w:num w:numId="6" w16cid:durableId="1597597267">
    <w:abstractNumId w:val="2"/>
  </w:num>
  <w:num w:numId="7" w16cid:durableId="279991628">
    <w:abstractNumId w:val="11"/>
  </w:num>
  <w:num w:numId="8" w16cid:durableId="842210837">
    <w:abstractNumId w:val="8"/>
  </w:num>
  <w:num w:numId="9" w16cid:durableId="1019967626">
    <w:abstractNumId w:val="1"/>
  </w:num>
  <w:num w:numId="10" w16cid:durableId="1980720631">
    <w:abstractNumId w:val="1"/>
  </w:num>
  <w:num w:numId="11" w16cid:durableId="633143537">
    <w:abstractNumId w:val="3"/>
  </w:num>
  <w:num w:numId="12" w16cid:durableId="1820994304">
    <w:abstractNumId w:val="4"/>
  </w:num>
  <w:num w:numId="13" w16cid:durableId="1925453686">
    <w:abstractNumId w:val="13"/>
  </w:num>
  <w:num w:numId="14" w16cid:durableId="705644570">
    <w:abstractNumId w:val="9"/>
  </w:num>
  <w:num w:numId="15" w16cid:durableId="641883158">
    <w:abstractNumId w:val="7"/>
  </w:num>
  <w:num w:numId="16" w16cid:durableId="1128738021">
    <w:abstractNumId w:val="12"/>
  </w:num>
  <w:num w:numId="17" w16cid:durableId="1760322578">
    <w:abstractNumId w:val="5"/>
  </w:num>
  <w:num w:numId="18" w16cid:durableId="634022382">
    <w:abstractNumId w:val="10"/>
  </w:num>
  <w:num w:numId="19" w16cid:durableId="11734939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A7C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07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490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CDK relaterad bakteremi utredning,behandling Q Di 445</dc:title>
  <dc:subject/>
  <dc:creator>patrik.jens.johansson@vgregion.se</dc:creator>
  <keywords/>
  <lastModifiedBy>Anita Fredriksson</lastModifiedBy>
  <revision>3</revision>
  <lastPrinted>2016-03-31T10:56:00.0000000Z</lastPrinted>
  <dcterms:created xsi:type="dcterms:W3CDTF">2022-05-06T06:31:00.0000000Z</dcterms:created>
  <dcterms:modified xsi:type="dcterms:W3CDTF">2024-01-11T12:10:00.0000000Z</dcterms:modified>
</coreProperties>
</file>