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01DC9" w14:textId="117E2B6A" w:rsidR="00270C82" w:rsidRDefault="00270C82" w:rsidP="009A32ED">
      <w:pPr>
        <w:pStyle w:val="Heading2"/>
        <w:ind w:right="-143"/>
        <w:rPr>
          <w:rFonts w:ascii="Calibri" w:eastAsia="MS Gothic" w:hAnsi="Calibri" w:cs="Times New Roman"/>
          <w:color w:val="auto"/>
          <w:kern w:val="32"/>
          <w:sz w:val="48"/>
          <w:szCs w:val="48"/>
        </w:rPr>
      </w:pPr>
      <w:bookmarkStart w:id="0" w:name="_Toc213249187"/>
      <w:bookmarkStart w:id="1" w:name="_Toc100327184"/>
      <w:r w:rsidRPr="00270C82">
        <w:rPr>
          <w:rFonts w:ascii="Calibri" w:eastAsia="MS Gothic" w:hAnsi="Calibri" w:cs="Times New Roman"/>
          <w:color w:val="auto"/>
          <w:kern w:val="32"/>
          <w:sz w:val="48"/>
          <w:szCs w:val="48"/>
        </w:rPr>
        <w:t xml:space="preserve">Antikoagulantia vid lungmedicinsk åtgärd </w:t>
      </w:r>
      <w:bookmarkEnd w:id="0"/>
    </w:p>
    <w:p w14:paraId="285394B5" w14:textId="77777777" w:rsidR="0025670B" w:rsidRDefault="0025670B" w:rsidP="009A32ED">
      <w:pPr>
        <w:pStyle w:val="Heading2"/>
        <w:ind w:right="-143"/>
      </w:pPr>
      <w:bookmarkStart w:id="2" w:name="_Toc213249188"/>
    </w:p>
    <w:p w14:paraId="11BC1DCA" w14:textId="36B3BC82" w:rsidR="009A32ED" w:rsidRDefault="009A32ED" w:rsidP="009A32ED">
      <w:pPr>
        <w:pStyle w:val="Heading2"/>
        <w:ind w:right="-143"/>
      </w:pPr>
      <w:r>
        <w:t>Förändringar sedan föregående version</w:t>
      </w:r>
      <w:bookmarkEnd w:id="1"/>
      <w:bookmarkEnd w:id="2"/>
    </w:p>
    <w:p w14:paraId="2D372A73" w14:textId="30148EFF" w:rsidR="006D55D5" w:rsidRDefault="006D55D5" w:rsidP="006D55D5">
      <w:bookmarkStart w:id="3" w:name="_Toc72840807"/>
      <w:r>
        <w:t xml:space="preserve">Nytt dokument. </w:t>
      </w:r>
    </w:p>
    <w:p w14:paraId="4082E72F" w14:textId="77777777" w:rsidR="001A5E6A" w:rsidRDefault="001A5E6A" w:rsidP="001A5E6A">
      <w:pPr>
        <w:pStyle w:val="Heading2"/>
      </w:pPr>
      <w:bookmarkStart w:id="4" w:name="_Toc100327186"/>
      <w:bookmarkStart w:id="5" w:name="_Toc213249189"/>
      <w:bookmarkEnd w:id="3"/>
    </w:p>
    <w:p w14:paraId="29B03EF5" w14:textId="5CFBBCB2" w:rsidR="009A32ED" w:rsidRPr="001A5E6A" w:rsidRDefault="009A32ED" w:rsidP="001A5E6A">
      <w:pPr>
        <w:pStyle w:val="Heading2"/>
      </w:pPr>
      <w:r w:rsidRPr="001A5E6A">
        <w:t>Bakgrund och syfte</w:t>
      </w:r>
      <w:bookmarkEnd w:id="4"/>
      <w:bookmarkEnd w:id="5"/>
      <w:r w:rsidRPr="001A5E6A">
        <w:t xml:space="preserve"> </w:t>
      </w:r>
    </w:p>
    <w:p w14:paraId="75313528" w14:textId="77777777" w:rsidR="004B2853" w:rsidRDefault="000E357B" w:rsidP="009A32ED">
      <w:pPr>
        <w:ind w:right="-143"/>
      </w:pPr>
      <w:r>
        <w:t xml:space="preserve">Patienter genomgår ingrepp och åtgärder i diagnostiskt och terapeutiskt syfte som </w:t>
      </w:r>
      <w:r w:rsidR="00372E07">
        <w:t>är förenligt med en ökad blödningsrisk. L</w:t>
      </w:r>
      <w:r>
        <w:t>äkemedel som</w:t>
      </w:r>
      <w:r w:rsidR="00372E07">
        <w:t xml:space="preserve"> ökar blödningsbenägenhet behöver pausas inför ingrepp. Rutinen syftar till att på ett strukturerat sätt </w:t>
      </w:r>
      <w:r w:rsidR="00F96E33">
        <w:t xml:space="preserve">vägleda hur utsättning </w:t>
      </w:r>
      <w:r w:rsidR="004B2853">
        <w:t xml:space="preserve">och återinsättning </w:t>
      </w:r>
      <w:r w:rsidR="00F96E33">
        <w:t>går till.</w:t>
      </w:r>
    </w:p>
    <w:p w14:paraId="696C096E" w14:textId="7E8AF026" w:rsidR="009A32ED" w:rsidRPr="00023FF4" w:rsidRDefault="004B2853" w:rsidP="009A32ED">
      <w:pPr>
        <w:ind w:right="-143"/>
      </w:pPr>
      <w:r>
        <w:t>Dokumentet v</w:t>
      </w:r>
      <w:r w:rsidR="00F96E33">
        <w:t>änder sig till läkare och sjuksköterskor på Lungmedicin, NÄL.</w:t>
      </w:r>
    </w:p>
    <w:p w14:paraId="091E3AFC" w14:textId="77777777" w:rsidR="001A5E6A" w:rsidRDefault="001A5E6A" w:rsidP="00F96E33">
      <w:pPr>
        <w:pStyle w:val="Heading2"/>
      </w:pPr>
      <w:bookmarkStart w:id="6" w:name="_Toc100327192"/>
      <w:bookmarkStart w:id="7" w:name="_Toc213249190"/>
    </w:p>
    <w:p w14:paraId="12ADB214" w14:textId="78EBCCD7" w:rsidR="00F96E33" w:rsidRDefault="009A32ED" w:rsidP="00F96E33">
      <w:pPr>
        <w:pStyle w:val="Heading2"/>
        <w:rPr>
          <w:szCs w:val="20"/>
        </w:rPr>
      </w:pPr>
      <w:r w:rsidRPr="00065A6B">
        <w:t>Utförande</w:t>
      </w:r>
      <w:bookmarkEnd w:id="6"/>
      <w:bookmarkEnd w:id="7"/>
      <w:r w:rsidR="00F96E33" w:rsidRPr="00F96E33">
        <w:rPr>
          <w:szCs w:val="20"/>
        </w:rPr>
        <w:t xml:space="preserve"> </w:t>
      </w:r>
    </w:p>
    <w:p w14:paraId="687B16D2" w14:textId="34561B1A" w:rsidR="00F96E33" w:rsidRPr="00F96E33" w:rsidRDefault="00F96E33" w:rsidP="00693585">
      <w:pPr>
        <w:rPr>
          <w:szCs w:val="20"/>
        </w:rPr>
      </w:pPr>
      <w:r w:rsidRPr="00F96E33">
        <w:rPr>
          <w:szCs w:val="20"/>
        </w:rPr>
        <w:t>Följande gäller som riktlinjer vad beträffar koagulation/antikoagulation:</w:t>
      </w:r>
    </w:p>
    <w:p w14:paraId="552773F1" w14:textId="77777777" w:rsidR="00F96E33" w:rsidRPr="00F96E33" w:rsidRDefault="00F96E33" w:rsidP="0025670B">
      <w:pPr>
        <w:pStyle w:val="ListBullet"/>
      </w:pPr>
      <w:r w:rsidRPr="00F96E33">
        <w:t>Trombocyter (</w:t>
      </w:r>
      <w:proofErr w:type="gramStart"/>
      <w:r w:rsidRPr="00F96E33">
        <w:t>TPK)  &gt;</w:t>
      </w:r>
      <w:proofErr w:type="gramEnd"/>
      <w:r w:rsidRPr="00F96E33">
        <w:t>60 x10^9/L</w:t>
      </w:r>
    </w:p>
    <w:p w14:paraId="6597D5D7" w14:textId="77777777" w:rsidR="00F96E33" w:rsidRPr="00F96E33" w:rsidRDefault="00F96E33" w:rsidP="0025670B">
      <w:pPr>
        <w:pStyle w:val="ListBullet"/>
      </w:pPr>
      <w:r w:rsidRPr="00F96E33">
        <w:t>Hemoglobin (</w:t>
      </w:r>
      <w:proofErr w:type="gramStart"/>
      <w:r w:rsidRPr="00F96E33">
        <w:t>Hb)     &gt;</w:t>
      </w:r>
      <w:proofErr w:type="gramEnd"/>
      <w:r w:rsidRPr="00F96E33">
        <w:t xml:space="preserve"> 80 g/L.</w:t>
      </w:r>
    </w:p>
    <w:p w14:paraId="0CF38B86" w14:textId="77777777" w:rsidR="00F96E33" w:rsidRPr="00F96E33" w:rsidRDefault="00F96E33" w:rsidP="0025670B">
      <w:pPr>
        <w:pStyle w:val="ListBullet"/>
      </w:pPr>
      <w:proofErr w:type="spellStart"/>
      <w:r w:rsidRPr="00F96E33">
        <w:t>pK</w:t>
      </w:r>
      <w:proofErr w:type="spellEnd"/>
      <w:r w:rsidRPr="00F96E33">
        <w:t xml:space="preserve"> INR </w:t>
      </w:r>
      <w:proofErr w:type="gramStart"/>
      <w:r w:rsidRPr="00F96E33">
        <w:t>&lt; 1</w:t>
      </w:r>
      <w:proofErr w:type="gramEnd"/>
      <w:r w:rsidRPr="00F96E33">
        <w:t>,5 vid anti-vitamin K behandling, LMWH/DOAK som ersättning under tiden.</w:t>
      </w:r>
    </w:p>
    <w:p w14:paraId="12E3F258" w14:textId="3C04E9F0" w:rsidR="00693585" w:rsidRPr="00115978" w:rsidRDefault="00F96E33" w:rsidP="0025670B">
      <w:pPr>
        <w:pStyle w:val="ListBullet"/>
      </w:pPr>
      <w:r w:rsidRPr="00F96E33">
        <w:t>Spontant högt PK utan Waran-behandling har ingen direkt koppling till blödningsrisk, då är adekvata TPK-värden av större betydelse, samt avsaknad av inflammation/infektion.</w:t>
      </w:r>
    </w:p>
    <w:p w14:paraId="24C9578D" w14:textId="76C2B7C6" w:rsidR="004B2853" w:rsidRDefault="004B2853" w:rsidP="00115978">
      <w:pPr>
        <w:pStyle w:val="Heading2"/>
      </w:pPr>
      <w:r>
        <w:t>Observandum</w:t>
      </w:r>
    </w:p>
    <w:p w14:paraId="5811555B" w14:textId="4F161C72" w:rsidR="004B2853" w:rsidRDefault="004B2853" w:rsidP="00693585">
      <w:pPr>
        <w:spacing w:after="0" w:line="240" w:lineRule="auto"/>
        <w:ind w:right="0"/>
        <w:contextualSpacing/>
        <w:rPr>
          <w:szCs w:val="20"/>
        </w:rPr>
      </w:pPr>
      <w:r>
        <w:rPr>
          <w:szCs w:val="20"/>
        </w:rPr>
        <w:t>Vid levebiopsi är utförande instans radiolog</w:t>
      </w:r>
      <w:r w:rsidR="00115978">
        <w:rPr>
          <w:szCs w:val="20"/>
        </w:rPr>
        <w:t>kliniken</w:t>
      </w:r>
      <w:r>
        <w:rPr>
          <w:szCs w:val="20"/>
        </w:rPr>
        <w:t xml:space="preserve"> vilket innebär att vi följer deras rutiner</w:t>
      </w:r>
      <w:r w:rsidR="00115978">
        <w:rPr>
          <w:szCs w:val="20"/>
        </w:rPr>
        <w:t xml:space="preserve"> för utsättning av antikoagulantia.</w:t>
      </w:r>
    </w:p>
    <w:p w14:paraId="2041E350" w14:textId="77777777" w:rsidR="00693585" w:rsidRDefault="00693585" w:rsidP="00693585">
      <w:pPr>
        <w:spacing w:after="0" w:line="240" w:lineRule="auto"/>
        <w:ind w:right="0"/>
        <w:contextualSpacing/>
        <w:rPr>
          <w:szCs w:val="20"/>
        </w:rPr>
      </w:pPr>
    </w:p>
    <w:tbl>
      <w:tblPr>
        <w:tblStyle w:val="TableGrid"/>
        <w:tblW w:w="8495" w:type="dxa"/>
        <w:tblInd w:w="703" w:type="dxa"/>
        <w:tblLook w:val="04A0" w:firstRow="1" w:lastRow="0" w:firstColumn="1" w:lastColumn="0" w:noHBand="0" w:noVBand="1"/>
      </w:tblPr>
      <w:tblGrid>
        <w:gridCol w:w="1408"/>
        <w:gridCol w:w="736"/>
        <w:gridCol w:w="1186"/>
        <w:gridCol w:w="1485"/>
        <w:gridCol w:w="868"/>
        <w:gridCol w:w="1239"/>
        <w:gridCol w:w="1573"/>
      </w:tblGrid>
      <w:tr w:rsidR="00F96E33" w:rsidRPr="00F96E33" w14:paraId="2BAB552C" w14:textId="77777777" w:rsidTr="00ED4049">
        <w:tc>
          <w:tcPr>
            <w:tcW w:w="8495" w:type="dxa"/>
            <w:gridSpan w:val="7"/>
            <w:shd w:val="clear" w:color="auto" w:fill="B4C6E7"/>
          </w:tcPr>
          <w:p w14:paraId="17F84CE9" w14:textId="77777777" w:rsidR="00F96E33" w:rsidRPr="00F96E33" w:rsidRDefault="00F96E33" w:rsidP="00F96E33">
            <w:pPr>
              <w:spacing w:after="0" w:line="240" w:lineRule="auto"/>
              <w:ind w:left="0" w:right="0"/>
              <w:jc w:val="center"/>
              <w:rPr>
                <w:b/>
                <w:bCs/>
                <w:color w:val="000000"/>
                <w:szCs w:val="20"/>
              </w:rPr>
            </w:pPr>
            <w:r w:rsidRPr="00F96E33">
              <w:rPr>
                <w:b/>
                <w:bCs/>
                <w:color w:val="000000"/>
                <w:szCs w:val="20"/>
              </w:rPr>
              <w:t>Antikoagulantia inför åtgärd</w:t>
            </w:r>
          </w:p>
        </w:tc>
      </w:tr>
      <w:tr w:rsidR="00F96E33" w:rsidRPr="00F96E33" w14:paraId="265C1C62" w14:textId="77777777" w:rsidTr="00ED4049">
        <w:tc>
          <w:tcPr>
            <w:tcW w:w="1408" w:type="dxa"/>
          </w:tcPr>
          <w:p w14:paraId="66EF3A3F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20"/>
                <w:szCs w:val="20"/>
              </w:rPr>
            </w:pPr>
          </w:p>
        </w:tc>
        <w:tc>
          <w:tcPr>
            <w:tcW w:w="736" w:type="dxa"/>
          </w:tcPr>
          <w:p w14:paraId="029A64BF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0"/>
                <w:szCs w:val="20"/>
              </w:rPr>
            </w:pPr>
            <w:r w:rsidRPr="00F96E33">
              <w:rPr>
                <w:b/>
                <w:bCs/>
                <w:color w:val="000000"/>
                <w:sz w:val="20"/>
                <w:szCs w:val="20"/>
              </w:rPr>
              <w:t>ASA</w:t>
            </w:r>
          </w:p>
        </w:tc>
        <w:tc>
          <w:tcPr>
            <w:tcW w:w="1186" w:type="dxa"/>
          </w:tcPr>
          <w:p w14:paraId="7817AF67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0"/>
                <w:szCs w:val="20"/>
              </w:rPr>
            </w:pPr>
            <w:r w:rsidRPr="00F96E33">
              <w:rPr>
                <w:b/>
                <w:bCs/>
                <w:color w:val="000000"/>
                <w:sz w:val="20"/>
                <w:szCs w:val="20"/>
              </w:rPr>
              <w:t>DOAK**</w:t>
            </w:r>
          </w:p>
        </w:tc>
        <w:tc>
          <w:tcPr>
            <w:tcW w:w="1485" w:type="dxa"/>
          </w:tcPr>
          <w:p w14:paraId="3FB0EF37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0"/>
                <w:szCs w:val="20"/>
              </w:rPr>
            </w:pPr>
            <w:r w:rsidRPr="00F96E33">
              <w:rPr>
                <w:b/>
                <w:bCs/>
                <w:color w:val="000000"/>
                <w:sz w:val="20"/>
                <w:szCs w:val="20"/>
              </w:rPr>
              <w:t>ADP-hämmare***</w:t>
            </w:r>
          </w:p>
        </w:tc>
        <w:tc>
          <w:tcPr>
            <w:tcW w:w="868" w:type="dxa"/>
          </w:tcPr>
          <w:p w14:paraId="01D5F803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0"/>
                <w:szCs w:val="20"/>
              </w:rPr>
            </w:pPr>
            <w:r w:rsidRPr="00F96E33">
              <w:rPr>
                <w:b/>
                <w:bCs/>
                <w:color w:val="000000"/>
                <w:sz w:val="20"/>
                <w:szCs w:val="20"/>
              </w:rPr>
              <w:t>Waran</w:t>
            </w:r>
          </w:p>
        </w:tc>
        <w:tc>
          <w:tcPr>
            <w:tcW w:w="1239" w:type="dxa"/>
          </w:tcPr>
          <w:p w14:paraId="08983534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0"/>
                <w:szCs w:val="20"/>
              </w:rPr>
            </w:pPr>
            <w:r w:rsidRPr="00F96E33">
              <w:rPr>
                <w:b/>
                <w:bCs/>
                <w:color w:val="000000"/>
                <w:sz w:val="20"/>
                <w:szCs w:val="20"/>
              </w:rPr>
              <w:t>LMWH Profylaxdos</w:t>
            </w:r>
          </w:p>
        </w:tc>
        <w:tc>
          <w:tcPr>
            <w:tcW w:w="1573" w:type="dxa"/>
          </w:tcPr>
          <w:p w14:paraId="523DC284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0"/>
                <w:szCs w:val="20"/>
              </w:rPr>
            </w:pPr>
            <w:r w:rsidRPr="00F96E33">
              <w:rPr>
                <w:b/>
                <w:bCs/>
                <w:color w:val="000000"/>
                <w:sz w:val="20"/>
                <w:szCs w:val="20"/>
              </w:rPr>
              <w:t>LMWH Behandlingsdos</w:t>
            </w:r>
          </w:p>
        </w:tc>
      </w:tr>
      <w:tr w:rsidR="00F96E33" w:rsidRPr="00F96E33" w14:paraId="37B717C7" w14:textId="77777777" w:rsidTr="00ED4049">
        <w:trPr>
          <w:trHeight w:val="365"/>
        </w:trPr>
        <w:tc>
          <w:tcPr>
            <w:tcW w:w="1408" w:type="dxa"/>
            <w:vAlign w:val="center"/>
          </w:tcPr>
          <w:p w14:paraId="36B9AF5F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18"/>
                <w:szCs w:val="18"/>
              </w:rPr>
            </w:pPr>
            <w:r w:rsidRPr="00F96E33">
              <w:rPr>
                <w:b/>
                <w:bCs/>
                <w:color w:val="000000"/>
                <w:sz w:val="18"/>
                <w:szCs w:val="18"/>
              </w:rPr>
              <w:t>UTSÄTTNING</w:t>
            </w:r>
          </w:p>
        </w:tc>
        <w:tc>
          <w:tcPr>
            <w:tcW w:w="736" w:type="dxa"/>
            <w:vAlign w:val="center"/>
          </w:tcPr>
          <w:p w14:paraId="0C89AC34" w14:textId="2BE44752" w:rsidR="004B285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>2 dygn</w:t>
            </w:r>
          </w:p>
        </w:tc>
        <w:tc>
          <w:tcPr>
            <w:tcW w:w="1186" w:type="dxa"/>
            <w:vAlign w:val="center"/>
          </w:tcPr>
          <w:p w14:paraId="189FEE75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proofErr w:type="gramStart"/>
            <w:r w:rsidRPr="00F96E33">
              <w:rPr>
                <w:color w:val="000000"/>
                <w:sz w:val="18"/>
                <w:szCs w:val="18"/>
              </w:rPr>
              <w:t>2-4</w:t>
            </w:r>
            <w:proofErr w:type="gramEnd"/>
            <w:r w:rsidRPr="00F96E33">
              <w:rPr>
                <w:color w:val="000000"/>
                <w:sz w:val="18"/>
                <w:szCs w:val="18"/>
              </w:rPr>
              <w:t xml:space="preserve"> dygn*</w:t>
            </w:r>
          </w:p>
        </w:tc>
        <w:tc>
          <w:tcPr>
            <w:tcW w:w="1485" w:type="dxa"/>
            <w:vAlign w:val="center"/>
          </w:tcPr>
          <w:p w14:paraId="4A8BAE62" w14:textId="77777777" w:rsidR="00F96E33" w:rsidRPr="00EC2EC5" w:rsidRDefault="00F96E33" w:rsidP="00F96E33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EC2EC5">
              <w:rPr>
                <w:sz w:val="18"/>
                <w:szCs w:val="18"/>
              </w:rPr>
              <w:t>5 (7) dygn</w:t>
            </w:r>
          </w:p>
        </w:tc>
        <w:tc>
          <w:tcPr>
            <w:tcW w:w="868" w:type="dxa"/>
            <w:vAlign w:val="center"/>
          </w:tcPr>
          <w:p w14:paraId="6BADC210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 xml:space="preserve">PK </w:t>
            </w:r>
            <w:proofErr w:type="gramStart"/>
            <w:r w:rsidRPr="00F96E33">
              <w:rPr>
                <w:color w:val="000000"/>
                <w:sz w:val="18"/>
                <w:szCs w:val="18"/>
              </w:rPr>
              <w:t>&lt; 1</w:t>
            </w:r>
            <w:proofErr w:type="gramEnd"/>
            <w:r w:rsidRPr="00F96E33">
              <w:rPr>
                <w:color w:val="000000"/>
                <w:sz w:val="18"/>
                <w:szCs w:val="18"/>
              </w:rPr>
              <w:t>,5</w:t>
            </w:r>
          </w:p>
        </w:tc>
        <w:tc>
          <w:tcPr>
            <w:tcW w:w="1239" w:type="dxa"/>
            <w:vAlign w:val="center"/>
          </w:tcPr>
          <w:p w14:paraId="03FABF33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>12 timmar</w:t>
            </w:r>
          </w:p>
        </w:tc>
        <w:tc>
          <w:tcPr>
            <w:tcW w:w="1573" w:type="dxa"/>
            <w:vAlign w:val="center"/>
          </w:tcPr>
          <w:p w14:paraId="4585C3D8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>24 timmar</w:t>
            </w:r>
          </w:p>
        </w:tc>
      </w:tr>
      <w:tr w:rsidR="00F96E33" w:rsidRPr="00F96E33" w14:paraId="118E7C44" w14:textId="77777777" w:rsidTr="00ED4049">
        <w:trPr>
          <w:trHeight w:val="606"/>
        </w:trPr>
        <w:tc>
          <w:tcPr>
            <w:tcW w:w="1408" w:type="dxa"/>
            <w:vAlign w:val="center"/>
          </w:tcPr>
          <w:p w14:paraId="0617ECC3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18"/>
                <w:szCs w:val="18"/>
              </w:rPr>
            </w:pPr>
            <w:r w:rsidRPr="00F96E33">
              <w:rPr>
                <w:b/>
                <w:bCs/>
                <w:color w:val="000000"/>
                <w:sz w:val="18"/>
                <w:szCs w:val="18"/>
              </w:rPr>
              <w:t>ÅTER-INSÄTTNING</w:t>
            </w:r>
          </w:p>
        </w:tc>
        <w:tc>
          <w:tcPr>
            <w:tcW w:w="736" w:type="dxa"/>
            <w:vAlign w:val="center"/>
          </w:tcPr>
          <w:p w14:paraId="5EE2A28B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>&gt;</w:t>
            </w:r>
            <w:proofErr w:type="gramStart"/>
            <w:r w:rsidRPr="00F96E33">
              <w:rPr>
                <w:color w:val="000000"/>
                <w:sz w:val="18"/>
                <w:szCs w:val="18"/>
              </w:rPr>
              <w:t>6-8</w:t>
            </w:r>
            <w:proofErr w:type="gramEnd"/>
            <w:r w:rsidRPr="00F96E33">
              <w:rPr>
                <w:color w:val="000000"/>
                <w:sz w:val="18"/>
                <w:szCs w:val="18"/>
              </w:rPr>
              <w:t xml:space="preserve"> timmar</w:t>
            </w:r>
          </w:p>
        </w:tc>
        <w:tc>
          <w:tcPr>
            <w:tcW w:w="1186" w:type="dxa"/>
            <w:vAlign w:val="center"/>
          </w:tcPr>
          <w:p w14:paraId="3782A70E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>&gt;</w:t>
            </w:r>
            <w:proofErr w:type="gramStart"/>
            <w:r w:rsidRPr="00F96E33">
              <w:rPr>
                <w:color w:val="000000"/>
                <w:sz w:val="18"/>
                <w:szCs w:val="18"/>
              </w:rPr>
              <w:t>6-8</w:t>
            </w:r>
            <w:proofErr w:type="gramEnd"/>
            <w:r w:rsidRPr="00F96E33">
              <w:rPr>
                <w:color w:val="000000"/>
                <w:sz w:val="18"/>
                <w:szCs w:val="18"/>
              </w:rPr>
              <w:t xml:space="preserve"> timmar</w:t>
            </w:r>
          </w:p>
        </w:tc>
        <w:tc>
          <w:tcPr>
            <w:tcW w:w="1485" w:type="dxa"/>
            <w:vAlign w:val="center"/>
          </w:tcPr>
          <w:p w14:paraId="2A4FA7E4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>&gt;</w:t>
            </w:r>
            <w:proofErr w:type="gramStart"/>
            <w:r w:rsidRPr="00F96E33">
              <w:rPr>
                <w:color w:val="000000"/>
                <w:sz w:val="18"/>
                <w:szCs w:val="18"/>
              </w:rPr>
              <w:t>6-8</w:t>
            </w:r>
            <w:proofErr w:type="gramEnd"/>
            <w:r w:rsidRPr="00F96E33">
              <w:rPr>
                <w:color w:val="000000"/>
                <w:sz w:val="18"/>
                <w:szCs w:val="18"/>
              </w:rPr>
              <w:t xml:space="preserve"> timmar</w:t>
            </w:r>
          </w:p>
        </w:tc>
        <w:tc>
          <w:tcPr>
            <w:tcW w:w="868" w:type="dxa"/>
            <w:vAlign w:val="center"/>
          </w:tcPr>
          <w:p w14:paraId="4CE8AD92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>1 dygn</w:t>
            </w:r>
          </w:p>
        </w:tc>
        <w:tc>
          <w:tcPr>
            <w:tcW w:w="1239" w:type="dxa"/>
            <w:vAlign w:val="center"/>
          </w:tcPr>
          <w:p w14:paraId="1557886B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>6 timmar</w:t>
            </w:r>
          </w:p>
        </w:tc>
        <w:tc>
          <w:tcPr>
            <w:tcW w:w="1573" w:type="dxa"/>
            <w:vAlign w:val="center"/>
          </w:tcPr>
          <w:p w14:paraId="5A192432" w14:textId="77777777" w:rsidR="00F96E33" w:rsidRPr="00F96E33" w:rsidRDefault="00F96E33" w:rsidP="00F96E33">
            <w:pPr>
              <w:spacing w:after="0" w:line="240" w:lineRule="auto"/>
              <w:ind w:left="0" w:right="0"/>
              <w:rPr>
                <w:color w:val="000000"/>
                <w:sz w:val="18"/>
                <w:szCs w:val="18"/>
              </w:rPr>
            </w:pPr>
            <w:r w:rsidRPr="00F96E33">
              <w:rPr>
                <w:color w:val="000000"/>
                <w:sz w:val="18"/>
                <w:szCs w:val="18"/>
              </w:rPr>
              <w:t>6 timmar</w:t>
            </w:r>
          </w:p>
        </w:tc>
      </w:tr>
    </w:tbl>
    <w:p w14:paraId="2241F7F9" w14:textId="44B52BE1" w:rsidR="00F96E33" w:rsidRPr="00F96E33" w:rsidRDefault="00693585" w:rsidP="00ED4049">
      <w:pPr>
        <w:spacing w:after="0" w:line="240" w:lineRule="auto"/>
        <w:ind w:right="-142"/>
        <w:contextualSpacing/>
        <w:rPr>
          <w:i/>
          <w:iCs/>
          <w:sz w:val="20"/>
          <w:szCs w:val="20"/>
        </w:rPr>
      </w:pPr>
      <w:r>
        <w:rPr>
          <w:i/>
          <w:iCs/>
          <w:color w:val="000000"/>
          <w:sz w:val="20"/>
          <w:szCs w:val="20"/>
        </w:rPr>
        <w:br/>
      </w:r>
      <w:r w:rsidR="00F96E33" w:rsidRPr="00F96E33">
        <w:rPr>
          <w:i/>
          <w:iCs/>
          <w:color w:val="000000"/>
          <w:sz w:val="20"/>
          <w:szCs w:val="20"/>
        </w:rPr>
        <w:t>*Beroende på njurfunktion/</w:t>
      </w:r>
      <w:proofErr w:type="spellStart"/>
      <w:r w:rsidR="00F96E33" w:rsidRPr="00F96E33">
        <w:rPr>
          <w:i/>
          <w:iCs/>
          <w:color w:val="000000"/>
          <w:sz w:val="20"/>
          <w:szCs w:val="20"/>
        </w:rPr>
        <w:t>eGFR</w:t>
      </w:r>
      <w:proofErr w:type="spellEnd"/>
      <w:r w:rsidR="00F96E33" w:rsidRPr="00F96E33">
        <w:rPr>
          <w:i/>
          <w:iCs/>
          <w:color w:val="000000"/>
          <w:sz w:val="20"/>
          <w:szCs w:val="20"/>
        </w:rPr>
        <w:t xml:space="preserve"> och tidigare blödningsrisk kan &gt;72 timmar krävas, se annan källa.</w:t>
      </w:r>
      <w:r>
        <w:rPr>
          <w:i/>
          <w:iCs/>
          <w:color w:val="000000"/>
          <w:sz w:val="20"/>
          <w:szCs w:val="20"/>
        </w:rPr>
        <w:br/>
      </w:r>
      <w:r w:rsidR="00F96E33" w:rsidRPr="00F96E33">
        <w:rPr>
          <w:i/>
          <w:iCs/>
          <w:color w:val="000000"/>
          <w:sz w:val="20"/>
          <w:szCs w:val="20"/>
        </w:rPr>
        <w:br/>
        <w:t xml:space="preserve">**DOAK (Direktverkande perorala antikoagulantia): </w:t>
      </w:r>
      <w:proofErr w:type="spellStart"/>
      <w:r w:rsidR="00F96E33" w:rsidRPr="00F96E33">
        <w:rPr>
          <w:i/>
          <w:iCs/>
          <w:color w:val="000000"/>
          <w:sz w:val="20"/>
          <w:szCs w:val="20"/>
        </w:rPr>
        <w:t>Eliquis</w:t>
      </w:r>
      <w:proofErr w:type="spellEnd"/>
      <w:r w:rsidR="00F96E33" w:rsidRPr="00F96E33">
        <w:rPr>
          <w:i/>
          <w:iCs/>
          <w:color w:val="000000"/>
          <w:sz w:val="20"/>
          <w:szCs w:val="20"/>
        </w:rPr>
        <w:t>® (</w:t>
      </w:r>
      <w:proofErr w:type="spellStart"/>
      <w:r w:rsidR="00F96E33" w:rsidRPr="00F96E33">
        <w:rPr>
          <w:i/>
          <w:iCs/>
          <w:color w:val="000000"/>
          <w:sz w:val="20"/>
          <w:szCs w:val="20"/>
        </w:rPr>
        <w:t>Apixaban</w:t>
      </w:r>
      <w:proofErr w:type="spellEnd"/>
      <w:r w:rsidR="00F96E33" w:rsidRPr="00F96E33">
        <w:rPr>
          <w:i/>
          <w:iCs/>
          <w:color w:val="000000"/>
          <w:sz w:val="20"/>
          <w:szCs w:val="20"/>
        </w:rPr>
        <w:t xml:space="preserve">), </w:t>
      </w:r>
      <w:proofErr w:type="spellStart"/>
      <w:r w:rsidR="00F96E33" w:rsidRPr="00F96E33">
        <w:rPr>
          <w:i/>
          <w:iCs/>
          <w:color w:val="000000"/>
          <w:sz w:val="20"/>
          <w:szCs w:val="20"/>
        </w:rPr>
        <w:t>Lixiana</w:t>
      </w:r>
      <w:proofErr w:type="spellEnd"/>
      <w:r w:rsidR="00F96E33" w:rsidRPr="00F96E33">
        <w:rPr>
          <w:i/>
          <w:iCs/>
          <w:color w:val="000000"/>
          <w:sz w:val="20"/>
          <w:szCs w:val="20"/>
        </w:rPr>
        <w:t>® (</w:t>
      </w:r>
      <w:proofErr w:type="spellStart"/>
      <w:r w:rsidR="00F96E33" w:rsidRPr="00F96E33">
        <w:rPr>
          <w:i/>
          <w:iCs/>
          <w:color w:val="000000"/>
          <w:sz w:val="20"/>
          <w:szCs w:val="20"/>
        </w:rPr>
        <w:t>Edoxaban</w:t>
      </w:r>
      <w:proofErr w:type="spellEnd"/>
      <w:r w:rsidR="00F96E33" w:rsidRPr="00F96E33">
        <w:rPr>
          <w:i/>
          <w:iCs/>
          <w:color w:val="000000"/>
          <w:sz w:val="20"/>
          <w:szCs w:val="20"/>
        </w:rPr>
        <w:t xml:space="preserve">), </w:t>
      </w:r>
      <w:r>
        <w:rPr>
          <w:i/>
          <w:iCs/>
          <w:color w:val="000000"/>
          <w:sz w:val="20"/>
          <w:szCs w:val="20"/>
        </w:rPr>
        <w:br/>
      </w:r>
      <w:proofErr w:type="spellStart"/>
      <w:r w:rsidR="00F96E33" w:rsidRPr="00F96E33">
        <w:rPr>
          <w:i/>
          <w:iCs/>
          <w:color w:val="000000"/>
          <w:sz w:val="20"/>
          <w:szCs w:val="20"/>
        </w:rPr>
        <w:t>Pradaxa</w:t>
      </w:r>
      <w:proofErr w:type="spellEnd"/>
      <w:r w:rsidR="00F96E33" w:rsidRPr="00F96E33">
        <w:rPr>
          <w:i/>
          <w:iCs/>
          <w:color w:val="000000"/>
          <w:sz w:val="20"/>
          <w:szCs w:val="20"/>
        </w:rPr>
        <w:t>® (</w:t>
      </w:r>
      <w:proofErr w:type="spellStart"/>
      <w:r w:rsidR="00F96E33" w:rsidRPr="00F96E33">
        <w:rPr>
          <w:i/>
          <w:iCs/>
          <w:color w:val="000000"/>
          <w:sz w:val="20"/>
          <w:szCs w:val="20"/>
        </w:rPr>
        <w:t>Dabigatran</w:t>
      </w:r>
      <w:proofErr w:type="spellEnd"/>
      <w:r w:rsidR="00F96E33" w:rsidRPr="00F96E33">
        <w:rPr>
          <w:i/>
          <w:iCs/>
          <w:color w:val="000000"/>
          <w:sz w:val="20"/>
          <w:szCs w:val="20"/>
        </w:rPr>
        <w:t xml:space="preserve">), </w:t>
      </w:r>
      <w:proofErr w:type="spellStart"/>
      <w:r w:rsidR="00F96E33" w:rsidRPr="00F96E33">
        <w:rPr>
          <w:i/>
          <w:iCs/>
          <w:color w:val="000000"/>
          <w:sz w:val="20"/>
          <w:szCs w:val="20"/>
        </w:rPr>
        <w:t>Xarelto</w:t>
      </w:r>
      <w:proofErr w:type="spellEnd"/>
      <w:r w:rsidR="00F96E33" w:rsidRPr="00F96E33">
        <w:rPr>
          <w:i/>
          <w:iCs/>
          <w:color w:val="000000"/>
          <w:sz w:val="20"/>
          <w:szCs w:val="20"/>
        </w:rPr>
        <w:t>® (</w:t>
      </w:r>
      <w:proofErr w:type="spellStart"/>
      <w:r w:rsidR="00F96E33" w:rsidRPr="00F96E33">
        <w:rPr>
          <w:i/>
          <w:iCs/>
          <w:color w:val="000000"/>
          <w:sz w:val="20"/>
          <w:szCs w:val="20"/>
        </w:rPr>
        <w:t>Rivaroxaban</w:t>
      </w:r>
      <w:proofErr w:type="spellEnd"/>
      <w:r w:rsidR="00F96E33" w:rsidRPr="00F96E33">
        <w:rPr>
          <w:i/>
          <w:iCs/>
          <w:color w:val="000000"/>
          <w:sz w:val="20"/>
          <w:szCs w:val="20"/>
        </w:rPr>
        <w:t>).</w:t>
      </w:r>
      <w:r w:rsidR="00F96E33" w:rsidRPr="00F96E33">
        <w:rPr>
          <w:i/>
          <w:iCs/>
          <w:sz w:val="20"/>
          <w:szCs w:val="20"/>
        </w:rPr>
        <w:br/>
        <w:t>***ADP-hämmare: (</w:t>
      </w:r>
      <w:proofErr w:type="spellStart"/>
      <w:r w:rsidR="00F96E33" w:rsidRPr="00F96E33">
        <w:rPr>
          <w:i/>
          <w:iCs/>
          <w:sz w:val="20"/>
          <w:szCs w:val="20"/>
        </w:rPr>
        <w:t>Adenosindifosfat</w:t>
      </w:r>
      <w:proofErr w:type="spellEnd"/>
      <w:r w:rsidR="00F96E33" w:rsidRPr="00F96E33">
        <w:rPr>
          <w:i/>
          <w:iCs/>
          <w:sz w:val="20"/>
          <w:szCs w:val="20"/>
        </w:rPr>
        <w:t>-</w:t>
      </w:r>
      <w:proofErr w:type="gramStart"/>
      <w:r w:rsidR="00F96E33" w:rsidRPr="00F96E33">
        <w:rPr>
          <w:i/>
          <w:iCs/>
          <w:sz w:val="20"/>
          <w:szCs w:val="20"/>
        </w:rPr>
        <w:t>receptor inhibitor</w:t>
      </w:r>
      <w:proofErr w:type="gramEnd"/>
      <w:r w:rsidR="00F96E33" w:rsidRPr="00F96E33">
        <w:rPr>
          <w:i/>
          <w:iCs/>
          <w:sz w:val="20"/>
          <w:szCs w:val="20"/>
        </w:rPr>
        <w:t>):</w:t>
      </w:r>
    </w:p>
    <w:p w14:paraId="750D01D4" w14:textId="12438E42" w:rsidR="00F96E33" w:rsidRPr="00693585" w:rsidRDefault="00F96E33" w:rsidP="00693585">
      <w:pPr>
        <w:spacing w:after="0" w:line="240" w:lineRule="auto"/>
        <w:ind w:right="-142"/>
        <w:contextualSpacing/>
        <w:rPr>
          <w:i/>
          <w:iCs/>
          <w:color w:val="000000"/>
          <w:sz w:val="20"/>
          <w:szCs w:val="20"/>
        </w:rPr>
      </w:pPr>
      <w:r w:rsidRPr="00F96E33">
        <w:rPr>
          <w:i/>
          <w:iCs/>
          <w:sz w:val="20"/>
          <w:szCs w:val="20"/>
        </w:rPr>
        <w:t>5 dygn: (</w:t>
      </w:r>
      <w:proofErr w:type="spellStart"/>
      <w:r w:rsidRPr="00F96E33">
        <w:rPr>
          <w:i/>
          <w:iCs/>
          <w:sz w:val="20"/>
          <w:szCs w:val="20"/>
        </w:rPr>
        <w:t>Ticagrelor</w:t>
      </w:r>
      <w:proofErr w:type="spellEnd"/>
      <w:r w:rsidRPr="00F96E33">
        <w:rPr>
          <w:i/>
          <w:iCs/>
          <w:sz w:val="20"/>
          <w:szCs w:val="20"/>
        </w:rPr>
        <w:t xml:space="preserve">), </w:t>
      </w:r>
      <w:proofErr w:type="spellStart"/>
      <w:r w:rsidRPr="00F96E33">
        <w:rPr>
          <w:i/>
          <w:iCs/>
          <w:sz w:val="20"/>
          <w:szCs w:val="20"/>
        </w:rPr>
        <w:t>Brilique</w:t>
      </w:r>
      <w:proofErr w:type="spellEnd"/>
      <w:r w:rsidRPr="00F96E33">
        <w:rPr>
          <w:i/>
          <w:iCs/>
          <w:sz w:val="20"/>
          <w:szCs w:val="20"/>
        </w:rPr>
        <w:t>®, (</w:t>
      </w:r>
      <w:proofErr w:type="spellStart"/>
      <w:r w:rsidRPr="00F96E33">
        <w:rPr>
          <w:i/>
          <w:iCs/>
          <w:sz w:val="20"/>
          <w:szCs w:val="20"/>
        </w:rPr>
        <w:t>Klopidogrel</w:t>
      </w:r>
      <w:proofErr w:type="spellEnd"/>
      <w:r w:rsidRPr="00F96E33">
        <w:rPr>
          <w:i/>
          <w:iCs/>
          <w:sz w:val="20"/>
          <w:szCs w:val="20"/>
        </w:rPr>
        <w:t>)Plavix®</w:t>
      </w:r>
      <w:r w:rsidRPr="00F96E33">
        <w:rPr>
          <w:i/>
          <w:iCs/>
          <w:color w:val="000000"/>
          <w:sz w:val="20"/>
          <w:szCs w:val="20"/>
        </w:rPr>
        <w:br/>
      </w:r>
      <w:r w:rsidRPr="00F96E33">
        <w:rPr>
          <w:i/>
          <w:iCs/>
          <w:sz w:val="20"/>
          <w:szCs w:val="20"/>
        </w:rPr>
        <w:t xml:space="preserve">7 dygn: </w:t>
      </w:r>
      <w:proofErr w:type="spellStart"/>
      <w:r w:rsidRPr="00F96E33">
        <w:rPr>
          <w:i/>
          <w:iCs/>
          <w:sz w:val="20"/>
          <w:szCs w:val="20"/>
        </w:rPr>
        <w:t>Efient</w:t>
      </w:r>
      <w:proofErr w:type="spellEnd"/>
      <w:r w:rsidRPr="00F96E33">
        <w:rPr>
          <w:i/>
          <w:iCs/>
          <w:sz w:val="20"/>
          <w:szCs w:val="20"/>
        </w:rPr>
        <w:t>® (</w:t>
      </w:r>
      <w:proofErr w:type="spellStart"/>
      <w:r w:rsidRPr="00F96E33">
        <w:rPr>
          <w:i/>
          <w:iCs/>
          <w:sz w:val="20"/>
          <w:szCs w:val="20"/>
        </w:rPr>
        <w:t>Prasugrel</w:t>
      </w:r>
      <w:proofErr w:type="spellEnd"/>
      <w:r w:rsidRPr="00F96E33">
        <w:rPr>
          <w:i/>
          <w:iCs/>
          <w:sz w:val="20"/>
          <w:szCs w:val="20"/>
        </w:rPr>
        <w:t>)</w:t>
      </w:r>
      <w:r w:rsidR="00693585">
        <w:rPr>
          <w:i/>
          <w:iCs/>
          <w:sz w:val="20"/>
          <w:szCs w:val="20"/>
        </w:rPr>
        <w:br/>
      </w:r>
      <w:r w:rsidRPr="00F96E33">
        <w:rPr>
          <w:i/>
          <w:iCs/>
          <w:sz w:val="20"/>
          <w:szCs w:val="20"/>
        </w:rPr>
        <w:br/>
        <w:t>Vid dubbel/trippelbehandling med ASA/DOAK/ADP kontakta förskrivande läkare.</w:t>
      </w:r>
      <w:r w:rsidR="00693585">
        <w:rPr>
          <w:i/>
          <w:iCs/>
          <w:sz w:val="20"/>
          <w:szCs w:val="20"/>
        </w:rPr>
        <w:br/>
      </w:r>
      <w:r w:rsidRPr="00F96E33">
        <w:rPr>
          <w:i/>
          <w:iCs/>
          <w:sz w:val="20"/>
          <w:szCs w:val="20"/>
        </w:rPr>
        <w:br/>
      </w:r>
      <w:r w:rsidRPr="00F96E33">
        <w:rPr>
          <w:i/>
          <w:iCs/>
          <w:color w:val="000000"/>
          <w:sz w:val="20"/>
          <w:szCs w:val="20"/>
        </w:rPr>
        <w:t>DOAK (=Direktverkande perorala antikoagulantia = NOAK).</w:t>
      </w:r>
    </w:p>
    <w:p w14:paraId="0D822C86" w14:textId="0F0C200C" w:rsidR="009A32ED" w:rsidRDefault="009A32ED" w:rsidP="009A32ED">
      <w:pPr>
        <w:pStyle w:val="Normalefterlista"/>
      </w:pPr>
      <w:r w:rsidRPr="005218AA">
        <w:t xml:space="preserve">Medvetet avsteg från rutinen dokumenteras i </w:t>
      </w:r>
      <w:r>
        <w:t>journalsystemet</w:t>
      </w:r>
      <w:r w:rsidRPr="005218AA">
        <w:t xml:space="preserve"> om rutinen är kopplad till patient. Övriga orsaker till avsteg från </w:t>
      </w:r>
      <w:r>
        <w:t xml:space="preserve">styrdokumentet </w:t>
      </w:r>
      <w:r w:rsidRPr="005218AA">
        <w:t>rapporteras i MedControl</w:t>
      </w:r>
      <w:r>
        <w:t xml:space="preserve"> </w:t>
      </w:r>
      <w:r w:rsidRPr="005218AA">
        <w:t>PRO.</w:t>
      </w:r>
    </w:p>
    <w:p w14:paraId="2252E1AE" w14:textId="77777777" w:rsidR="001A5E6A" w:rsidRDefault="001A5E6A" w:rsidP="009A32ED">
      <w:pPr>
        <w:pStyle w:val="Heading2"/>
        <w:ind w:right="-143"/>
      </w:pPr>
      <w:bookmarkStart w:id="8" w:name="_Toc100327195"/>
      <w:bookmarkStart w:id="9" w:name="_Toc213249191"/>
    </w:p>
    <w:p w14:paraId="188AE2C8" w14:textId="7A441E7F" w:rsidR="009A32ED" w:rsidRPr="000D04ED" w:rsidRDefault="009A32ED" w:rsidP="009A32ED">
      <w:pPr>
        <w:pStyle w:val="Heading2"/>
        <w:ind w:right="-143"/>
      </w:pPr>
      <w:r w:rsidRPr="000D04ED">
        <w:t>Källförteckning</w:t>
      </w:r>
      <w:bookmarkEnd w:id="8"/>
      <w:bookmarkEnd w:id="9"/>
    </w:p>
    <w:p w14:paraId="40AA233F" w14:textId="0F5E7A1B" w:rsidR="009C6C0C" w:rsidRDefault="008C7A6C" w:rsidP="008C7A6C">
      <w:hyperlink r:id="rId12" w:anchor="svid53Uppehallinforplaneradkirurgi" w:history="1">
        <w:r w:rsidRPr="00121648">
          <w:rPr>
            <w:rStyle w:val="Hyperlink"/>
          </w:rPr>
          <w:t>https://janusinfo.se/behandling/expertgruppsutlatanden/hjartochkarlsjukdomar/hjartochkarlsjukdomar/oralaantitrombotiskalakemedelvidblodningochinforkirurgihosvuxna.5.636fcf0c186707f25a240334.html#svid53Uppehallinforplaneradkirurgi</w:t>
        </w:r>
      </w:hyperlink>
    </w:p>
    <w:p w14:paraId="3F72F809" w14:textId="77777777" w:rsidR="008C7A6C" w:rsidRDefault="008C7A6C" w:rsidP="00693585">
      <w:pPr>
        <w:ind w:left="0"/>
      </w:pPr>
    </w:p>
    <w:sectPr w:rsidR="008C7A6C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F4EB0" w14:textId="77777777" w:rsidR="00334636" w:rsidRDefault="00334636">
      <w:r>
        <w:separator/>
      </w:r>
    </w:p>
  </w:endnote>
  <w:endnote w:type="continuationSeparator" w:id="0">
    <w:p w14:paraId="351FEF22" w14:textId="77777777" w:rsidR="00334636" w:rsidRDefault="00334636">
      <w:r>
        <w:continuationSeparator/>
      </w:r>
    </w:p>
  </w:endnote>
  <w:endnote w:type="continuationNotice" w:id="1">
    <w:p w14:paraId="347B00F1" w14:textId="77777777" w:rsidR="00334636" w:rsidRDefault="003346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334636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7E9D4D" w14:textId="77777777" w:rsidR="00334636" w:rsidRDefault="00334636"/>
  </w:footnote>
  <w:footnote w:type="continuationSeparator" w:id="0">
    <w:p w14:paraId="18E9BACA" w14:textId="77777777" w:rsidR="00334636" w:rsidRDefault="00334636">
      <w:r>
        <w:continuationSeparator/>
      </w:r>
    </w:p>
  </w:footnote>
  <w:footnote w:type="continuationNotice" w:id="1">
    <w:p w14:paraId="4007193B" w14:textId="77777777" w:rsidR="00334636" w:rsidRDefault="0033463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410B226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58F6C00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88D4011"/>
    <w:multiLevelType w:val="hybridMultilevel"/>
    <w:tmpl w:val="0FE08532"/>
    <w:lvl w:ilvl="0" w:tplc="CC7C3344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207508594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475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28E5"/>
    <w:rsid w:val="00084024"/>
    <w:rsid w:val="0009062C"/>
    <w:rsid w:val="00095368"/>
    <w:rsid w:val="000954C4"/>
    <w:rsid w:val="000A611A"/>
    <w:rsid w:val="000B12D9"/>
    <w:rsid w:val="000B4536"/>
    <w:rsid w:val="000B7715"/>
    <w:rsid w:val="000D5928"/>
    <w:rsid w:val="000E357B"/>
    <w:rsid w:val="000E463B"/>
    <w:rsid w:val="000E5A7E"/>
    <w:rsid w:val="000F43A3"/>
    <w:rsid w:val="000F7681"/>
    <w:rsid w:val="00103031"/>
    <w:rsid w:val="001044FE"/>
    <w:rsid w:val="00111CB2"/>
    <w:rsid w:val="001139D4"/>
    <w:rsid w:val="0011597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BCE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E6A"/>
    <w:rsid w:val="001B762C"/>
    <w:rsid w:val="001C4D0A"/>
    <w:rsid w:val="001C5FEF"/>
    <w:rsid w:val="001E3789"/>
    <w:rsid w:val="00211487"/>
    <w:rsid w:val="00211D91"/>
    <w:rsid w:val="00212AE7"/>
    <w:rsid w:val="00217DEC"/>
    <w:rsid w:val="00235B57"/>
    <w:rsid w:val="00250F24"/>
    <w:rsid w:val="002523C5"/>
    <w:rsid w:val="0025380B"/>
    <w:rsid w:val="0025670B"/>
    <w:rsid w:val="0025703A"/>
    <w:rsid w:val="00262F3D"/>
    <w:rsid w:val="00263281"/>
    <w:rsid w:val="002651D6"/>
    <w:rsid w:val="0026551F"/>
    <w:rsid w:val="00270C82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B6F"/>
    <w:rsid w:val="00311401"/>
    <w:rsid w:val="003203D7"/>
    <w:rsid w:val="00320F86"/>
    <w:rsid w:val="00324171"/>
    <w:rsid w:val="00326C24"/>
    <w:rsid w:val="00334636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2E0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22B8"/>
    <w:rsid w:val="00404948"/>
    <w:rsid w:val="004059FF"/>
    <w:rsid w:val="00406BEA"/>
    <w:rsid w:val="00413A60"/>
    <w:rsid w:val="004230F7"/>
    <w:rsid w:val="00425214"/>
    <w:rsid w:val="0043000C"/>
    <w:rsid w:val="0043167E"/>
    <w:rsid w:val="0043409A"/>
    <w:rsid w:val="00446255"/>
    <w:rsid w:val="00451935"/>
    <w:rsid w:val="00460B22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0218"/>
    <w:rsid w:val="004A355D"/>
    <w:rsid w:val="004A4970"/>
    <w:rsid w:val="004B2183"/>
    <w:rsid w:val="004B285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692"/>
    <w:rsid w:val="00656DCD"/>
    <w:rsid w:val="00660269"/>
    <w:rsid w:val="00665F89"/>
    <w:rsid w:val="00673C92"/>
    <w:rsid w:val="006753EC"/>
    <w:rsid w:val="00685193"/>
    <w:rsid w:val="00693585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5D5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3E8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A14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68B"/>
    <w:rsid w:val="008A3DEA"/>
    <w:rsid w:val="008A4EB9"/>
    <w:rsid w:val="008A74C0"/>
    <w:rsid w:val="008B1694"/>
    <w:rsid w:val="008C4B27"/>
    <w:rsid w:val="008C7A6C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0FDD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3B0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79A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290"/>
    <w:rsid w:val="00C77698"/>
    <w:rsid w:val="00C8413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54ACB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67B5"/>
    <w:rsid w:val="00E52A86"/>
    <w:rsid w:val="00E54B47"/>
    <w:rsid w:val="00E553BF"/>
    <w:rsid w:val="00E55D93"/>
    <w:rsid w:val="00E61294"/>
    <w:rsid w:val="00E7237C"/>
    <w:rsid w:val="00E77C46"/>
    <w:rsid w:val="00E81419"/>
    <w:rsid w:val="00E86CE8"/>
    <w:rsid w:val="00E90E82"/>
    <w:rsid w:val="00E915CF"/>
    <w:rsid w:val="00EA00CB"/>
    <w:rsid w:val="00EA1BAA"/>
    <w:rsid w:val="00EA3FCD"/>
    <w:rsid w:val="00EA42A0"/>
    <w:rsid w:val="00EB6714"/>
    <w:rsid w:val="00EC0A68"/>
    <w:rsid w:val="00EC2EC5"/>
    <w:rsid w:val="00EC3C32"/>
    <w:rsid w:val="00EC5006"/>
    <w:rsid w:val="00ED4049"/>
    <w:rsid w:val="00ED49C3"/>
    <w:rsid w:val="00ED6CE8"/>
    <w:rsid w:val="00ED7AA6"/>
    <w:rsid w:val="00EE2A56"/>
    <w:rsid w:val="00EE3818"/>
    <w:rsid w:val="00EF3B90"/>
    <w:rsid w:val="00F22264"/>
    <w:rsid w:val="00F2564D"/>
    <w:rsid w:val="00F35B05"/>
    <w:rsid w:val="00F413D9"/>
    <w:rsid w:val="00F5135F"/>
    <w:rsid w:val="00F51F78"/>
    <w:rsid w:val="00F86F47"/>
    <w:rsid w:val="00F90B64"/>
    <w:rsid w:val="00F96E33"/>
    <w:rsid w:val="00FA586D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BFD817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janusinfo.se/behandling/expertgruppsutlatanden/hjartochkarlsjukdomar/hjartochkarlsjukdomar/oralaantitrombotiskalakemedelvidblodningochinforkirurgihosvuxna.5.636fcf0c186707f25a240334.html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247</Words>
  <Characters>1941</Characters>
  <Application>Microsoft Office Word</Application>
  <DocSecurity>4</DocSecurity>
  <Lines>73</Lines>
  <Paragraphs>40</Paragraphs>
  <ScaleCrop>false</ScaleCrop>
  <Manager/>
  <Company/>
  <LinksUpToDate>false</LinksUpToDate>
  <CharactersWithSpaces>2166</CharactersWithSpaces>
  <SharedDoc>false</SharedDoc>
  <HyperlinkBase/>
  <HLinks>
    <vt:vector size="6" baseType="variant"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https://janusinfo.se/behandling/expertgruppsutlatanden/hjartochkarlsjukdomar/hjartochkarlsjukdomar/oralaantitrombotiskalakemedelvidblodningochinforkirurgihosvuxna.5.636fcf0c186707f25a240334.html</vt:lpwstr>
      </vt:variant>
      <vt:variant>
        <vt:lpwstr>svid53Uppehallinforplaneradkirurgi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Antikoagulantia vid lungmedicinsk åtgärd</dc:title>
  <dc:subject/>
  <dc:creator/>
  <keywords/>
  <lastModifiedBy/>
  <revision>2</revision>
  <dcterms:created xsi:type="dcterms:W3CDTF">2024-03-19T14:07:00.0000000Z</dcterms:created>
  <dcterms:modified xsi:type="dcterms:W3CDTF">2025-12-09T18:18:00.0000000Z</dcterms:modified>
</coreProperties>
</file>