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0E0AE2" w:rsidP="00F35B05" w:rsidRDefault="000E0AE2" w14:paraId="350C4A46" w14:textId="77777777">
      <w:pPr>
        <w:pStyle w:val="Heading2"/>
        <w:sectPr w:rsidR="000E0AE2" w:rsidSect="000E0A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0E0AE2" w:rsidR="000E0AE2" w:rsidP="000E0AE2" w:rsidRDefault="000E0AE2" w14:paraId="338A324D" w14:textId="77777777">
      <w:pPr>
        <w:spacing w:after="0" w:line="240" w:lineRule="auto"/>
        <w:ind w:left="0" w:right="0"/>
        <w:rPr>
          <w:szCs w:val="20"/>
        </w:rPr>
      </w:pPr>
    </w:p>
    <w:p w:rsidR="00835FAD" w:rsidP="00835FAD" w:rsidRDefault="00835FAD" w14:paraId="78F928BA" w14:textId="77777777">
      <w:pPr>
        <w:spacing w:after="0" w:line="240" w:lineRule="auto"/>
        <w:ind w:left="0" w:right="0"/>
        <w:rPr>
          <w:b/>
          <w:sz w:val="28"/>
          <w:szCs w:val="28"/>
        </w:rPr>
      </w:pPr>
      <w:bookmarkStart w:name="_Toc501440349" w:id="1"/>
      <w:bookmarkEnd w:id="0"/>
    </w:p>
    <w:p w:rsidR="00954167" w:rsidP="00835FAD" w:rsidRDefault="00954167" w14:paraId="0C274558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="00954167" w:rsidP="00835FAD" w:rsidRDefault="00954167" w14:paraId="4E1A754D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="00BA7E96" w:rsidP="00835FAD" w:rsidRDefault="00BA7E96" w14:paraId="391685A3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="00BA7E96" w:rsidP="00B2728B" w:rsidRDefault="00BA7E96" w14:paraId="5F819A3C" w14:textId="4D535E86">
      <w:pPr>
        <w:pStyle w:val="Heading1"/>
      </w:pPr>
      <w:r w:rsidR="00BA7E96">
        <w:rPr/>
        <w:t xml:space="preserve">Elektiva ingrepp och undersökningar för patient som </w:t>
      </w:r>
      <w:r w:rsidR="00D510B4">
        <w:rPr/>
        <w:t>beha</w:t>
      </w:r>
      <w:r w:rsidR="0063E78F">
        <w:rPr/>
        <w:t>ndlas</w:t>
      </w:r>
      <w:r w:rsidR="00D510B4">
        <w:rPr/>
        <w:t xml:space="preserve"> med Waran</w:t>
      </w:r>
      <w:r w:rsidR="00B2728B">
        <w:rPr/>
        <w:t>/</w:t>
      </w:r>
      <w:r w:rsidR="00B2728B">
        <w:rPr/>
        <w:t>Warfarin</w:t>
      </w:r>
    </w:p>
    <w:p w:rsidRPr="00B2728B" w:rsidR="00B2728B" w:rsidP="00B2728B" w:rsidRDefault="00B2728B" w14:paraId="6F20FC10" w14:textId="77777777"/>
    <w:bookmarkEnd w:id="1"/>
    <w:p w:rsidR="00100213" w:rsidP="00100213" w:rsidRDefault="00100213" w14:paraId="3F1C67A0" w14:textId="77777777">
      <w:pPr>
        <w:pStyle w:val="Heading2"/>
      </w:pPr>
      <w:r w:rsidRPr="60E5EC4C">
        <w:t>Förändringar sedan föregående version</w:t>
      </w:r>
    </w:p>
    <w:p w:rsidR="00100213" w:rsidP="00100213" w:rsidRDefault="00100213" w14:paraId="3FC037C6" w14:textId="77777777">
      <w:pPr>
        <w:ind w:right="-143"/>
        <w:rPr>
          <w:color w:val="000000" w:themeColor="text1"/>
        </w:rPr>
      </w:pPr>
      <w:r w:rsidRPr="60E5EC4C">
        <w:rPr>
          <w:color w:val="000000" w:themeColor="text1"/>
        </w:rPr>
        <w:t>Kompletteringar och förtydligande i samtliga stycken.</w:t>
      </w:r>
    </w:p>
    <w:p w:rsidR="00100213" w:rsidP="00100213" w:rsidRDefault="00100213" w14:paraId="778F026E" w14:textId="77777777">
      <w:pPr>
        <w:ind w:right="-143"/>
        <w:rPr>
          <w:color w:val="000000" w:themeColor="text1"/>
        </w:rPr>
      </w:pPr>
    </w:p>
    <w:p w:rsidR="00100213" w:rsidP="00100213" w:rsidRDefault="00100213" w14:paraId="4C287ED2" w14:textId="77777777">
      <w:pPr>
        <w:pStyle w:val="Heading2"/>
      </w:pPr>
      <w:r w:rsidRPr="60E5EC4C">
        <w:t xml:space="preserve">Bakgrund och syfte </w:t>
      </w:r>
    </w:p>
    <w:p w:rsidR="00100213" w:rsidP="00100213" w:rsidRDefault="00100213" w14:paraId="41875765" w14:textId="1ECEF588">
      <w:pPr>
        <w:ind w:right="-143"/>
        <w:rPr>
          <w:color w:val="000000" w:themeColor="text1"/>
        </w:rPr>
      </w:pPr>
      <w:r w:rsidRPr="60E5EC4C">
        <w:rPr>
          <w:color w:val="000000" w:themeColor="text1"/>
        </w:rPr>
        <w:t>Patienter med Waran-behandling kan vid vissa elektiva ingrepp och undersökningar behöva minska Waran för att uppnå ett annat PK-värde än patientens normala målvärde för att minska risken för blödning under och efter ingrepp/undersökning.</w:t>
      </w:r>
      <w:r>
        <w:rPr>
          <w:color w:val="000000" w:themeColor="text1"/>
        </w:rPr>
        <w:br/>
      </w:r>
      <w:r>
        <w:rPr>
          <w:color w:val="000000" w:themeColor="text1"/>
        </w:rPr>
        <w:br/>
      </w:r>
      <w:r w:rsidRPr="60E5EC4C">
        <w:rPr>
          <w:color w:val="000000" w:themeColor="text1"/>
        </w:rPr>
        <w:t xml:space="preserve">Denna rutin syftar till att förtydliga ansvarsfördelning inför och efter elektiva ingrepp/undersökningar hos Waran-behandlad patient.     </w:t>
      </w:r>
    </w:p>
    <w:p w:rsidR="00FC06CE" w:rsidP="00100213" w:rsidRDefault="00FC06CE" w14:paraId="4F866A17" w14:textId="77777777">
      <w:pPr>
        <w:ind w:right="-143"/>
        <w:rPr>
          <w:color w:val="000000" w:themeColor="text1"/>
        </w:rPr>
      </w:pPr>
    </w:p>
    <w:p w:rsidR="00100213" w:rsidP="00100213" w:rsidRDefault="00100213" w14:paraId="0030822E" w14:textId="77777777">
      <w:pPr>
        <w:pStyle w:val="Heading2"/>
      </w:pPr>
      <w:r w:rsidRPr="60E5EC4C">
        <w:t>Ansvarsfördelning innan ingreppet</w:t>
      </w:r>
    </w:p>
    <w:p w:rsidR="00100213" w:rsidP="00100213" w:rsidRDefault="00100213" w14:paraId="5FFED2EF" w14:textId="77777777">
      <w:pPr>
        <w:spacing w:after="0" w:line="240" w:lineRule="auto"/>
        <w:rPr>
          <w:color w:val="C00000"/>
        </w:rPr>
      </w:pPr>
      <w:r w:rsidRPr="60E5EC4C">
        <w:rPr>
          <w:color w:val="000000" w:themeColor="text1"/>
        </w:rPr>
        <w:t xml:space="preserve">Operatören har alltid ansvar för att bedöma om ingrepp/undersökning kan utföras under pågående </w:t>
      </w:r>
      <w:proofErr w:type="spellStart"/>
      <w:r w:rsidRPr="60E5EC4C">
        <w:rPr>
          <w:color w:val="000000" w:themeColor="text1"/>
        </w:rPr>
        <w:t>Waranbehandling</w:t>
      </w:r>
      <w:proofErr w:type="spellEnd"/>
      <w:r w:rsidRPr="60E5EC4C">
        <w:rPr>
          <w:color w:val="000000" w:themeColor="text1"/>
        </w:rPr>
        <w:t xml:space="preserve"> med PK-värde inom patientens individuella målvärde eller om PK-värdet behöver sänkas.</w:t>
      </w:r>
      <w:r w:rsidRPr="60E5EC4C">
        <w:rPr>
          <w:color w:val="C00000"/>
        </w:rPr>
        <w:t xml:space="preserve"> </w:t>
      </w:r>
    </w:p>
    <w:p w:rsidR="00FC06CE" w:rsidP="00100213" w:rsidRDefault="00FC06CE" w14:paraId="1F24398D" w14:textId="77777777">
      <w:pPr>
        <w:spacing w:after="0" w:line="240" w:lineRule="auto"/>
        <w:rPr>
          <w:color w:val="C00000"/>
        </w:rPr>
      </w:pPr>
    </w:p>
    <w:p w:rsidR="00100213" w:rsidP="00100213" w:rsidRDefault="00100213" w14:paraId="4DEF0BD1" w14:textId="77777777">
      <w:pPr>
        <w:pStyle w:val="Heading2"/>
      </w:pPr>
      <w:r w:rsidRPr="60E5EC4C">
        <w:t>Före ingreppet</w:t>
      </w:r>
    </w:p>
    <w:p w:rsidR="00100213" w:rsidP="00100213" w:rsidRDefault="00100213" w14:paraId="5B070C95" w14:textId="35414E76">
      <w:pPr>
        <w:rPr>
          <w:color w:val="000000" w:themeColor="text1"/>
        </w:rPr>
      </w:pPr>
      <w:r w:rsidRPr="60E5EC4C">
        <w:rPr>
          <w:color w:val="000000" w:themeColor="text1"/>
        </w:rPr>
        <w:t xml:space="preserve">Operatören beslutar om önskat PK-värde på operationsdagen. Värdet ska meddelas till AK-mottagningen i god tid. Detta värde ligger till grund för AK-mottagningens bedömning för hur länge innan operation patienten ska göra uppehåll med Waran. </w:t>
      </w:r>
      <w:r w:rsidR="00FC06CE">
        <w:rPr>
          <w:color w:val="000000" w:themeColor="text1"/>
        </w:rPr>
        <w:br/>
      </w:r>
      <w:r w:rsidR="00FC06CE">
        <w:rPr>
          <w:color w:val="000000" w:themeColor="text1"/>
        </w:rPr>
        <w:br/>
      </w:r>
      <w:r w:rsidRPr="60E5EC4C">
        <w:rPr>
          <w:color w:val="000000" w:themeColor="text1"/>
        </w:rPr>
        <w:t xml:space="preserve">Individuell bedömning angående bryggning med lågmolekylärt heparin (LMH) görs för varje patient. Högriskpatient, det vill säga patient med till exempel mekanisk hjärtklaff, avancerad koagulationsrubbning eller </w:t>
      </w:r>
      <w:proofErr w:type="spellStart"/>
      <w:r w:rsidRPr="60E5EC4C">
        <w:rPr>
          <w:color w:val="000000" w:themeColor="text1"/>
        </w:rPr>
        <w:t>tromboembolism</w:t>
      </w:r>
      <w:proofErr w:type="spellEnd"/>
      <w:r w:rsidRPr="60E5EC4C">
        <w:rPr>
          <w:color w:val="000000" w:themeColor="text1"/>
        </w:rPr>
        <w:t xml:space="preserve"> under de senaste tre månaderna ska ha ersättningsprofylax med LMH. Se </w:t>
      </w:r>
      <w:hyperlink r:id="rId17">
        <w:r w:rsidRPr="60E5EC4C">
          <w:rPr>
            <w:rStyle w:val="Hyperlink"/>
            <w:color w:val="0000FF"/>
          </w:rPr>
          <w:t xml:space="preserve">Vårdprogram för venös </w:t>
        </w:r>
        <w:proofErr w:type="spellStart"/>
        <w:r w:rsidRPr="60E5EC4C">
          <w:rPr>
            <w:rStyle w:val="Hyperlink"/>
            <w:color w:val="0000FF"/>
          </w:rPr>
          <w:t>tromboembolism</w:t>
        </w:r>
        <w:proofErr w:type="spellEnd"/>
        <w:r w:rsidRPr="60E5EC4C">
          <w:rPr>
            <w:rStyle w:val="Hyperlink"/>
            <w:color w:val="0000FF"/>
          </w:rPr>
          <w:t xml:space="preserve"> och </w:t>
        </w:r>
        <w:proofErr w:type="spellStart"/>
        <w:r w:rsidRPr="60E5EC4C">
          <w:rPr>
            <w:rStyle w:val="Hyperlink"/>
            <w:color w:val="0000FF"/>
          </w:rPr>
          <w:t>antikoagulantiabehandling</w:t>
        </w:r>
        <w:proofErr w:type="spellEnd"/>
        <w:r w:rsidRPr="60E5EC4C">
          <w:rPr>
            <w:rStyle w:val="Hyperlink"/>
            <w:color w:val="0000FF"/>
          </w:rPr>
          <w:t xml:space="preserve"> hos vuxna</w:t>
        </w:r>
      </w:hyperlink>
      <w:r w:rsidRPr="60E5EC4C">
        <w:rPr>
          <w:color w:val="000000" w:themeColor="text1"/>
        </w:rPr>
        <w:t xml:space="preserve">. </w:t>
      </w:r>
      <w:r w:rsidR="00013A73">
        <w:rPr>
          <w:color w:val="000000" w:themeColor="text1"/>
        </w:rPr>
        <w:br/>
      </w:r>
      <w:r w:rsidR="00013A73">
        <w:rPr>
          <w:color w:val="000000" w:themeColor="text1"/>
        </w:rPr>
        <w:br/>
      </w:r>
      <w:r w:rsidRPr="60E5EC4C">
        <w:rPr>
          <w:color w:val="000000" w:themeColor="text1"/>
        </w:rPr>
        <w:t>Opererande enhet/mottagning ombesörjer recept för LMH, i anvisning på receptet ska det stå “enligt AK-mottagningens anvisning”. AK-mottagningen ombesörjer ordination och meddelar patienten den aktuella ordinationen.</w:t>
      </w:r>
    </w:p>
    <w:p w:rsidR="00013A73" w:rsidP="00100213" w:rsidRDefault="00013A73" w14:paraId="357F809C" w14:textId="77777777">
      <w:pPr>
        <w:rPr>
          <w:color w:val="000000" w:themeColor="text1"/>
        </w:rPr>
      </w:pPr>
    </w:p>
    <w:p w:rsidR="00100213" w:rsidP="00100213" w:rsidRDefault="00100213" w14:paraId="387A8F83" w14:textId="77777777">
      <w:pPr>
        <w:pStyle w:val="Heading2"/>
      </w:pPr>
      <w:r w:rsidRPr="60E5EC4C">
        <w:t xml:space="preserve">Efter ingreppet/undersökningen </w:t>
      </w:r>
    </w:p>
    <w:p w:rsidR="00100213" w:rsidP="00100213" w:rsidRDefault="00100213" w14:paraId="4E499480" w14:textId="1582B959">
      <w:pPr>
        <w:keepNext/>
        <w:spacing w:before="240" w:after="60" w:line="240" w:lineRule="auto"/>
        <w:rPr>
          <w:color w:val="000000" w:themeColor="text1"/>
        </w:rPr>
      </w:pPr>
      <w:r w:rsidRPr="60E5EC4C">
        <w:rPr>
          <w:color w:val="000000" w:themeColor="text1"/>
        </w:rPr>
        <w:t>Medicinskt ansvarig läkare/operatör bedömer efter ingrepp/undersökning när Waran kan återinsättas och ansvarar för att meddela patient och AK-mottagningen.</w:t>
      </w:r>
      <w:r w:rsidR="009E1BE3">
        <w:rPr>
          <w:color w:val="000000" w:themeColor="text1"/>
        </w:rPr>
        <w:br/>
      </w:r>
      <w:r w:rsidR="009E1BE3">
        <w:rPr>
          <w:color w:val="000000" w:themeColor="text1"/>
        </w:rPr>
        <w:br/>
      </w:r>
      <w:r w:rsidRPr="60E5EC4C">
        <w:rPr>
          <w:color w:val="000000" w:themeColor="text1"/>
        </w:rPr>
        <w:t xml:space="preserve">Det är medicinskt ansvarig läkare/operatör som bedömer om ersättningsprofylax med LMH ska ges efter ingrepp/undersökning. Läkaren ska skriva recept för LMH och meddela AK-mottagningen. Se </w:t>
      </w:r>
      <w:hyperlink r:id="rId18">
        <w:r w:rsidRPr="60E5EC4C">
          <w:rPr>
            <w:rStyle w:val="Hyperlink"/>
            <w:color w:val="0000FF"/>
          </w:rPr>
          <w:t xml:space="preserve">Vårdprogram för venös </w:t>
        </w:r>
        <w:proofErr w:type="spellStart"/>
        <w:r w:rsidRPr="60E5EC4C">
          <w:rPr>
            <w:rStyle w:val="Hyperlink"/>
            <w:color w:val="0000FF"/>
          </w:rPr>
          <w:t>tromboembolism</w:t>
        </w:r>
        <w:proofErr w:type="spellEnd"/>
        <w:r w:rsidRPr="60E5EC4C">
          <w:rPr>
            <w:rStyle w:val="Hyperlink"/>
            <w:color w:val="0000FF"/>
          </w:rPr>
          <w:t xml:space="preserve"> och </w:t>
        </w:r>
        <w:proofErr w:type="spellStart"/>
        <w:r w:rsidRPr="60E5EC4C">
          <w:rPr>
            <w:rStyle w:val="Hyperlink"/>
            <w:color w:val="0000FF"/>
          </w:rPr>
          <w:t>antikoagulantiabehandling</w:t>
        </w:r>
        <w:proofErr w:type="spellEnd"/>
        <w:r w:rsidRPr="60E5EC4C">
          <w:rPr>
            <w:rStyle w:val="Hyperlink"/>
            <w:color w:val="0000FF"/>
          </w:rPr>
          <w:t xml:space="preserve"> hos vuxna</w:t>
        </w:r>
      </w:hyperlink>
      <w:r w:rsidRPr="60E5EC4C">
        <w:rPr>
          <w:color w:val="000000" w:themeColor="text1"/>
        </w:rPr>
        <w:t xml:space="preserve"> </w:t>
      </w:r>
    </w:p>
    <w:p w:rsidR="009E1BE3" w:rsidP="00100213" w:rsidRDefault="009E1BE3" w14:paraId="3D0D09EF" w14:textId="77777777">
      <w:pPr>
        <w:keepNext/>
        <w:spacing w:before="240" w:after="60" w:line="240" w:lineRule="auto"/>
        <w:rPr>
          <w:color w:val="000000" w:themeColor="text1"/>
        </w:rPr>
      </w:pPr>
    </w:p>
    <w:p w:rsidR="00100213" w:rsidP="00100213" w:rsidRDefault="00100213" w14:paraId="77D2DC72" w14:textId="77777777">
      <w:pPr>
        <w:pStyle w:val="Heading2"/>
      </w:pPr>
      <w:r w:rsidRPr="60E5EC4C">
        <w:t>Källförteckning</w:t>
      </w:r>
    </w:p>
    <w:p w:rsidR="00100213" w:rsidP="00100213" w:rsidRDefault="00100213" w14:paraId="6F5FFB78" w14:textId="77777777">
      <w:pPr>
        <w:rPr>
          <w:color w:val="000000" w:themeColor="text1"/>
        </w:rPr>
      </w:pPr>
      <w:hyperlink r:id="rId19">
        <w:r w:rsidRPr="2134C63C">
          <w:rPr>
            <w:rStyle w:val="Hyperlink"/>
            <w:color w:val="0000FF"/>
          </w:rPr>
          <w:t xml:space="preserve">Vårdprogram för venös </w:t>
        </w:r>
        <w:proofErr w:type="spellStart"/>
        <w:r w:rsidRPr="2134C63C">
          <w:rPr>
            <w:rStyle w:val="Hyperlink"/>
            <w:color w:val="0000FF"/>
          </w:rPr>
          <w:t>tromboembolism</w:t>
        </w:r>
        <w:proofErr w:type="spellEnd"/>
        <w:r w:rsidRPr="2134C63C">
          <w:rPr>
            <w:rStyle w:val="Hyperlink"/>
            <w:color w:val="0000FF"/>
          </w:rPr>
          <w:t xml:space="preserve"> och </w:t>
        </w:r>
        <w:proofErr w:type="spellStart"/>
        <w:r w:rsidRPr="2134C63C">
          <w:rPr>
            <w:rStyle w:val="Hyperlink"/>
            <w:color w:val="0000FF"/>
          </w:rPr>
          <w:t>antikoagulantiabehandling</w:t>
        </w:r>
        <w:proofErr w:type="spellEnd"/>
        <w:r w:rsidRPr="2134C63C">
          <w:rPr>
            <w:rStyle w:val="Hyperlink"/>
            <w:color w:val="0000FF"/>
          </w:rPr>
          <w:t xml:space="preserve"> hos vuxna</w:t>
        </w:r>
      </w:hyperlink>
    </w:p>
    <w:p w:rsidRPr="00536A5A" w:rsidR="00FE091A" w:rsidP="00FE091A" w:rsidRDefault="00FE091A" w14:paraId="120CDA4E" w14:textId="784D7420"/>
    <w:sectPr w:rsidRPr="00536A5A" w:rsidR="00FE091A" w:rsidSect="000E0AE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95A28" w:rsidRDefault="00E95A28" w14:paraId="0CB0BD37" w14:textId="77777777">
      <w:r>
        <w:separator/>
      </w:r>
    </w:p>
  </w:endnote>
  <w:endnote w:type="continuationSeparator" w:id="0">
    <w:p w:rsidR="00E95A28" w:rsidRDefault="00E95A28" w14:paraId="03124913" w14:textId="77777777">
      <w:r>
        <w:continuationSeparator/>
      </w:r>
    </w:p>
  </w:endnote>
  <w:endnote w:type="continuationNotice" w:id="1">
    <w:p w:rsidR="00E95A28" w:rsidRDefault="00E95A28" w14:paraId="212AEC7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95A28" w:rsidRDefault="00E95A28" w14:paraId="13211CA5" w14:textId="77777777"/>
  </w:footnote>
  <w:footnote w:type="continuationSeparator" w:id="0">
    <w:p w:rsidR="00E95A28" w:rsidRDefault="00E95A28" w14:paraId="601B74B7" w14:textId="77777777">
      <w:r>
        <w:continuationSeparator/>
      </w:r>
    </w:p>
  </w:footnote>
  <w:footnote w:type="continuationNotice" w:id="1">
    <w:p w:rsidR="00E95A28" w:rsidRDefault="00E95A28" w14:paraId="3AFA0A5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32432702">
    <w:abstractNumId w:val="17"/>
  </w:num>
  <w:num w:numId="2" w16cid:durableId="758907605">
    <w:abstractNumId w:val="14"/>
  </w:num>
  <w:num w:numId="3" w16cid:durableId="1706566412">
    <w:abstractNumId w:val="0"/>
  </w:num>
  <w:num w:numId="4" w16cid:durableId="772362155">
    <w:abstractNumId w:val="6"/>
  </w:num>
  <w:num w:numId="5" w16cid:durableId="507449903">
    <w:abstractNumId w:val="15"/>
  </w:num>
  <w:num w:numId="6" w16cid:durableId="2010524832">
    <w:abstractNumId w:val="2"/>
  </w:num>
  <w:num w:numId="7" w16cid:durableId="484050043">
    <w:abstractNumId w:val="11"/>
  </w:num>
  <w:num w:numId="8" w16cid:durableId="998340593">
    <w:abstractNumId w:val="8"/>
  </w:num>
  <w:num w:numId="9" w16cid:durableId="486362309">
    <w:abstractNumId w:val="1"/>
  </w:num>
  <w:num w:numId="10" w16cid:durableId="717779049">
    <w:abstractNumId w:val="1"/>
  </w:num>
  <w:num w:numId="11" w16cid:durableId="296032339">
    <w:abstractNumId w:val="3"/>
  </w:num>
  <w:num w:numId="12" w16cid:durableId="941034846">
    <w:abstractNumId w:val="4"/>
  </w:num>
  <w:num w:numId="13" w16cid:durableId="1491672580">
    <w:abstractNumId w:val="13"/>
  </w:num>
  <w:num w:numId="14" w16cid:durableId="2113552636">
    <w:abstractNumId w:val="9"/>
  </w:num>
  <w:num w:numId="15" w16cid:durableId="809058292">
    <w:abstractNumId w:val="7"/>
  </w:num>
  <w:num w:numId="16" w16cid:durableId="1087965456">
    <w:abstractNumId w:val="12"/>
  </w:num>
  <w:num w:numId="17" w16cid:durableId="1139374130">
    <w:abstractNumId w:val="5"/>
  </w:num>
  <w:num w:numId="18" w16cid:durableId="833451391">
    <w:abstractNumId w:val="10"/>
  </w:num>
  <w:num w:numId="19" w16cid:durableId="40083202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A73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303A"/>
    <w:rsid w:val="000B4536"/>
    <w:rsid w:val="000B7715"/>
    <w:rsid w:val="000C63B7"/>
    <w:rsid w:val="000E0AE2"/>
    <w:rsid w:val="000E463B"/>
    <w:rsid w:val="000E5A7E"/>
    <w:rsid w:val="000F43A3"/>
    <w:rsid w:val="000F7681"/>
    <w:rsid w:val="00100213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D8D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553D"/>
    <w:rsid w:val="00211487"/>
    <w:rsid w:val="00211D91"/>
    <w:rsid w:val="00217DEC"/>
    <w:rsid w:val="00235B57"/>
    <w:rsid w:val="00250F24"/>
    <w:rsid w:val="0025116E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2925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7BA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7FF7"/>
    <w:rsid w:val="00524F1B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D6A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E78F"/>
    <w:rsid w:val="006530A7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3791"/>
    <w:rsid w:val="006E450B"/>
    <w:rsid w:val="006F0D7E"/>
    <w:rsid w:val="006F792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BA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5FAD"/>
    <w:rsid w:val="00843F48"/>
    <w:rsid w:val="00851423"/>
    <w:rsid w:val="00857848"/>
    <w:rsid w:val="008654B6"/>
    <w:rsid w:val="0086662B"/>
    <w:rsid w:val="0087139C"/>
    <w:rsid w:val="00880E83"/>
    <w:rsid w:val="00892F28"/>
    <w:rsid w:val="008A0C5F"/>
    <w:rsid w:val="008A3DEA"/>
    <w:rsid w:val="008A4EB9"/>
    <w:rsid w:val="008A74C0"/>
    <w:rsid w:val="008B0F84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983"/>
    <w:rsid w:val="009471BF"/>
    <w:rsid w:val="00950E4E"/>
    <w:rsid w:val="009529BD"/>
    <w:rsid w:val="009533B4"/>
    <w:rsid w:val="00954167"/>
    <w:rsid w:val="00971D93"/>
    <w:rsid w:val="009B1F6B"/>
    <w:rsid w:val="009C0D12"/>
    <w:rsid w:val="009C192E"/>
    <w:rsid w:val="009D5323"/>
    <w:rsid w:val="009D6819"/>
    <w:rsid w:val="009D6D1C"/>
    <w:rsid w:val="009E0CF9"/>
    <w:rsid w:val="009E1BE3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596F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728B"/>
    <w:rsid w:val="00B3029B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E96"/>
    <w:rsid w:val="00BB1D62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07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4F41"/>
    <w:rsid w:val="00D47AD7"/>
    <w:rsid w:val="00D510B4"/>
    <w:rsid w:val="00D51529"/>
    <w:rsid w:val="00D85218"/>
    <w:rsid w:val="00D915B1"/>
    <w:rsid w:val="00DA299D"/>
    <w:rsid w:val="00DA65C4"/>
    <w:rsid w:val="00DB7265"/>
    <w:rsid w:val="00DC0711"/>
    <w:rsid w:val="00DD2BE0"/>
    <w:rsid w:val="00DE4447"/>
    <w:rsid w:val="00DE5DA2"/>
    <w:rsid w:val="00DF0033"/>
    <w:rsid w:val="00DF317F"/>
    <w:rsid w:val="00E00DCD"/>
    <w:rsid w:val="00E026BF"/>
    <w:rsid w:val="00E03425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A28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D5F"/>
    <w:rsid w:val="00F5135F"/>
    <w:rsid w:val="00F51F78"/>
    <w:rsid w:val="00F86F47"/>
    <w:rsid w:val="00F90B64"/>
    <w:rsid w:val="00FB2F0F"/>
    <w:rsid w:val="00FB3C52"/>
    <w:rsid w:val="00FB5086"/>
    <w:rsid w:val="00FB5411"/>
    <w:rsid w:val="00FB6392"/>
    <w:rsid w:val="00FC06CE"/>
    <w:rsid w:val="00FD3C70"/>
    <w:rsid w:val="00FD6820"/>
    <w:rsid w:val="00FE091A"/>
    <w:rsid w:val="00FE12D8"/>
    <w:rsid w:val="00FF7C02"/>
    <w:rsid w:val="024801E3"/>
    <w:rsid w:val="0CB08017"/>
    <w:rsid w:val="2165EBF2"/>
    <w:rsid w:val="5BA9E4BB"/>
    <w:rsid w:val="647B2B65"/>
    <w:rsid w:val="6B2CF8ED"/>
    <w:rsid w:val="7704E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AEB28029-7E02-4075-BFF1-92B3F2BCE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9E1BE3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vgregion.se/halsa-och-vard/vardgivarwebben/vardriktlinjer/lakemedel/terapirad/blod/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gregion.se/halsa-och-vard/vardgivarwebben/vardriktlinjer/lakemedel/terapirad/blod/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www.vgregion.se/halsa-och-vard/vardgivarwebben/vardriktlinjer/lakemedel/terapirad/blod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Elektiva ingrepp och undersökningar för patient som behandlas med Waran Warfarin</dc:title>
  <dc:subject/>
  <dc:creator>patrik.jens.johansson@vgregion.se</dc:creator>
  <keywords/>
  <lastModifiedBy>Annika Johansson</lastModifiedBy>
  <revision>29</revision>
  <lastPrinted>2016-03-31T19:56:00.0000000Z</lastPrinted>
  <dcterms:created xsi:type="dcterms:W3CDTF">2022-05-06T12:20:00.0000000Z</dcterms:created>
  <dcterms:modified xsi:type="dcterms:W3CDTF">2025-08-28T08:31:19.0000000Z</dcterms:modified>
</coreProperties>
</file>