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1E890D" w14:textId="77777777" w:rsidR="004332AD" w:rsidRDefault="004332AD"/>
    <w:p w14:paraId="6FD95749" w14:textId="77777777" w:rsidR="004332AD" w:rsidRDefault="004332AD"/>
    <w:p w14:paraId="30E1EBDC" w14:textId="77777777" w:rsidR="004332AD" w:rsidRDefault="004332AD"/>
    <w:p w14:paraId="5312B251" w14:textId="77777777" w:rsidR="004332AD" w:rsidRDefault="004332AD"/>
    <w:p w14:paraId="7EBA9F77" w14:textId="77777777" w:rsidR="004332AD" w:rsidRDefault="004332AD"/>
    <w:p w14:paraId="7AF5D274" w14:textId="77777777" w:rsidR="004332AD" w:rsidRDefault="004332AD"/>
    <w:p w14:paraId="696D817D" w14:textId="77777777" w:rsidR="004332AD" w:rsidRDefault="004332AD"/>
    <w:p w14:paraId="2FE36F1B" w14:textId="77777777" w:rsidR="004332AD" w:rsidRDefault="004332AD"/>
    <w:p w14:paraId="2B429357" w14:textId="77777777" w:rsidR="004332AD" w:rsidRPr="004332AD" w:rsidRDefault="004332AD" w:rsidP="004332AD">
      <w:pPr>
        <w:pStyle w:val="Rubrik1"/>
      </w:pPr>
      <w:r w:rsidRPr="004332AD">
        <w:t xml:space="preserve">Waranbehandling - åtgärder för medicinjouren vid höga PK  </w:t>
      </w:r>
    </w:p>
    <w:p w14:paraId="0235F14A" w14:textId="77777777" w:rsidR="004332AD" w:rsidRDefault="004332AD"/>
    <w:p w14:paraId="6D547766" w14:textId="77777777" w:rsidR="004332AD" w:rsidRPr="00F64EAB" w:rsidRDefault="004332AD" w:rsidP="004332AD">
      <w:pPr>
        <w:pStyle w:val="Rubrik2"/>
        <w:ind w:right="-143"/>
        <w:rPr>
          <w:rFonts w:ascii="Calibri" w:eastAsia="Calibri" w:hAnsi="Calibri" w:cs="Calibri"/>
          <w:bCs w:val="0"/>
          <w:noProof/>
          <w:color w:val="000000" w:themeColor="text2"/>
          <w:szCs w:val="40"/>
        </w:rPr>
      </w:pPr>
      <w:r w:rsidRPr="2555E266">
        <w:rPr>
          <w:rFonts w:ascii="Calibri" w:eastAsia="Calibri" w:hAnsi="Calibri" w:cs="Calibri"/>
          <w:bCs w:val="0"/>
          <w:noProof/>
          <w:color w:val="000000" w:themeColor="text2"/>
          <w:szCs w:val="40"/>
        </w:rPr>
        <w:t>Förändringar sedan föregående version</w:t>
      </w:r>
    </w:p>
    <w:p w14:paraId="5C757233" w14:textId="77777777" w:rsidR="004332AD" w:rsidRPr="00F64EAB" w:rsidRDefault="004332AD" w:rsidP="004332AD">
      <w:pPr>
        <w:rPr>
          <w:noProof/>
          <w:color w:val="000000" w:themeColor="text2"/>
        </w:rPr>
      </w:pPr>
      <w:r w:rsidRPr="2555E266">
        <w:rPr>
          <w:noProof/>
          <w:color w:val="000000" w:themeColor="text2"/>
        </w:rPr>
        <w:t xml:space="preserve">Mindre justeringar i hela dokumentet. Förtydligande av syfte. </w:t>
      </w:r>
    </w:p>
    <w:p w14:paraId="1B7EDF97" w14:textId="77777777" w:rsidR="004332AD" w:rsidRDefault="004332AD"/>
    <w:p w14:paraId="7F5E698A" w14:textId="77777777" w:rsidR="00772A61" w:rsidRPr="00F64EAB" w:rsidRDefault="00772A61" w:rsidP="00772A61">
      <w:pPr>
        <w:pStyle w:val="Rubrik2"/>
        <w:ind w:right="-143"/>
        <w:rPr>
          <w:rFonts w:ascii="Calibri" w:eastAsia="Calibri" w:hAnsi="Calibri" w:cs="Calibri"/>
          <w:bCs w:val="0"/>
          <w:noProof/>
          <w:color w:val="000000" w:themeColor="text2"/>
          <w:szCs w:val="40"/>
        </w:rPr>
      </w:pPr>
      <w:r w:rsidRPr="2555E266">
        <w:rPr>
          <w:rFonts w:ascii="Calibri" w:eastAsia="Calibri" w:hAnsi="Calibri" w:cs="Calibri"/>
          <w:bCs w:val="0"/>
          <w:noProof/>
          <w:color w:val="000000" w:themeColor="text2"/>
          <w:szCs w:val="40"/>
        </w:rPr>
        <w:t xml:space="preserve">Bakgrund och syfte </w:t>
      </w:r>
    </w:p>
    <w:p w14:paraId="018A5F19" w14:textId="3A8EF36C" w:rsidR="00772A61" w:rsidRPr="00F64EAB" w:rsidRDefault="00772A61" w:rsidP="00772A61">
      <w:pPr>
        <w:rPr>
          <w:noProof/>
          <w:color w:val="000000" w:themeColor="text2"/>
        </w:rPr>
      </w:pPr>
      <w:r w:rsidRPr="2555E266">
        <w:rPr>
          <w:noProof/>
          <w:color w:val="000000" w:themeColor="text2"/>
        </w:rPr>
        <w:t xml:space="preserve">Inom Fyrbodal har vi centraliserad AK-mottagning där provtagningen av PK (INR) ordineras av AK-mottagningen NU-sjukvården. Under </w:t>
      </w:r>
      <w:r w:rsidR="005C05A0">
        <w:rPr>
          <w:noProof/>
          <w:color w:val="000000" w:themeColor="text2"/>
        </w:rPr>
        <w:br/>
      </w:r>
      <w:r w:rsidRPr="2555E266">
        <w:rPr>
          <w:noProof/>
          <w:color w:val="000000" w:themeColor="text2"/>
        </w:rPr>
        <w:t>AK-mottagningens öppettider hanteras avvikande provsvar där men under jourtid övertas detta av jourorganisationen varvid Medicinjouren kontaktas vid höga PK-värden.</w:t>
      </w:r>
      <w:r w:rsidR="00C324AC">
        <w:rPr>
          <w:noProof/>
          <w:color w:val="000000" w:themeColor="text2"/>
        </w:rPr>
        <w:br/>
      </w:r>
      <w:r w:rsidR="00C324AC">
        <w:rPr>
          <w:noProof/>
          <w:color w:val="000000" w:themeColor="text2"/>
        </w:rPr>
        <w:br/>
      </w:r>
      <w:r w:rsidRPr="2555E266">
        <w:rPr>
          <w:noProof/>
          <w:color w:val="000000" w:themeColor="text2"/>
        </w:rPr>
        <w:t xml:space="preserve">Syftet med denna rutin är att tydliggöra handläggning/åtgärder för medicinjouren vid höga PK värden som inkommer utanför AK-mottagningens öppettider. </w:t>
      </w:r>
    </w:p>
    <w:p w14:paraId="413DEA9D" w14:textId="77777777" w:rsidR="00772A61" w:rsidRDefault="00772A61"/>
    <w:p w14:paraId="04EB74CB" w14:textId="77777777" w:rsidR="00772A61" w:rsidRPr="00F64EAB" w:rsidRDefault="00772A61" w:rsidP="00772A61">
      <w:pPr>
        <w:pStyle w:val="Rubrik2"/>
        <w:rPr>
          <w:rFonts w:ascii="Calibri" w:eastAsia="Calibri" w:hAnsi="Calibri" w:cs="Calibri"/>
          <w:bCs w:val="0"/>
          <w:noProof/>
          <w:color w:val="000000" w:themeColor="text2"/>
          <w:szCs w:val="40"/>
        </w:rPr>
      </w:pPr>
      <w:r w:rsidRPr="2555E266">
        <w:rPr>
          <w:rFonts w:ascii="Calibri" w:eastAsia="Calibri" w:hAnsi="Calibri" w:cs="Calibri"/>
          <w:bCs w:val="0"/>
          <w:noProof/>
          <w:color w:val="000000" w:themeColor="text2"/>
          <w:szCs w:val="40"/>
        </w:rPr>
        <w:t>Åtgärder för medicinjouren</w:t>
      </w:r>
    </w:p>
    <w:p w14:paraId="57EC3C8D" w14:textId="77777777" w:rsidR="00772A61" w:rsidRPr="00F64EAB" w:rsidRDefault="00772A61" w:rsidP="00772A61">
      <w:pPr>
        <w:rPr>
          <w:noProof/>
          <w:color w:val="000000" w:themeColor="text2"/>
        </w:rPr>
      </w:pPr>
      <w:r w:rsidRPr="2555E266">
        <w:rPr>
          <w:noProof/>
          <w:color w:val="000000" w:themeColor="text2"/>
        </w:rPr>
        <w:t>Patienten eller ansvarig vårdpersonal kontaktas, tänk på att vissa patienter har läkemedelsövertag, kontaktuppgifter till hemsjukvård kan exempelvis hittas i AK-journalen. Orsaker till det höga värdet efterfrågas samt om det finns blödningssymptom. Dokumentera i Melior.</w:t>
      </w:r>
    </w:p>
    <w:p w14:paraId="35A7E43B" w14:textId="77777777" w:rsidR="00772A61" w:rsidRDefault="00772A61"/>
    <w:p w14:paraId="6A474D47" w14:textId="77777777" w:rsidR="00772A61" w:rsidRPr="00B71A41" w:rsidRDefault="00772A61" w:rsidP="00B71A41">
      <w:pPr>
        <w:pStyle w:val="MellanrubrikVGR"/>
        <w:rPr>
          <w:rFonts w:eastAsia="Calibri"/>
        </w:rPr>
      </w:pPr>
      <w:r w:rsidRPr="00B71A41">
        <w:rPr>
          <w:rFonts w:eastAsia="Calibri"/>
        </w:rPr>
        <w:lastRenderedPageBreak/>
        <w:t>PK-INR&gt; 8 och ingen påvisbar blödning</w:t>
      </w:r>
    </w:p>
    <w:p w14:paraId="4C6C883D" w14:textId="77777777" w:rsidR="00772A61" w:rsidRPr="00F64EAB" w:rsidRDefault="00772A61" w:rsidP="00772A61">
      <w:pPr>
        <w:pStyle w:val="Punktlista"/>
        <w:rPr>
          <w:noProof/>
          <w:color w:val="000000" w:themeColor="text2"/>
        </w:rPr>
      </w:pPr>
      <w:r w:rsidRPr="2555E266">
        <w:rPr>
          <w:noProof/>
          <w:color w:val="000000" w:themeColor="text2"/>
        </w:rPr>
        <w:t>Uppehåll med Waran 2–3 dagar</w:t>
      </w:r>
    </w:p>
    <w:p w14:paraId="7AB37821" w14:textId="6C4EA4F2" w:rsidR="00772A61" w:rsidRPr="00F64EAB" w:rsidRDefault="00772A61" w:rsidP="00772A61">
      <w:pPr>
        <w:pStyle w:val="Punktlista"/>
        <w:rPr>
          <w:noProof/>
          <w:color w:val="000000" w:themeColor="text2"/>
        </w:rPr>
      </w:pPr>
      <w:r w:rsidRPr="2555E266">
        <w:rPr>
          <w:noProof/>
          <w:color w:val="000000" w:themeColor="text2"/>
        </w:rPr>
        <w:t>Om inga blödningssymtom eller inga hållpunkter för ökad blödningsrisk behöver inte Konakion ges</w:t>
      </w:r>
    </w:p>
    <w:p w14:paraId="52148060" w14:textId="5D71D2B2" w:rsidR="00772A61" w:rsidRPr="00F64EAB" w:rsidRDefault="00772A61" w:rsidP="00772A61">
      <w:pPr>
        <w:pStyle w:val="Punktlista"/>
        <w:rPr>
          <w:noProof/>
          <w:color w:val="000000" w:themeColor="text2"/>
        </w:rPr>
      </w:pPr>
      <w:r w:rsidRPr="2555E266">
        <w:rPr>
          <w:noProof/>
          <w:color w:val="000000" w:themeColor="text2"/>
        </w:rPr>
        <w:t>Konakion 2 mg vid hög blödningsrisk/lågt kostintag</w:t>
      </w:r>
    </w:p>
    <w:p w14:paraId="4E63EB50" w14:textId="77777777" w:rsidR="00772A61" w:rsidRDefault="00772A61"/>
    <w:p w14:paraId="70866A06" w14:textId="77777777" w:rsidR="00772A61" w:rsidRPr="00B71A41" w:rsidRDefault="00772A61" w:rsidP="00B71A41">
      <w:pPr>
        <w:pStyle w:val="MellanrubrikVGR"/>
        <w:rPr>
          <w:rFonts w:eastAsia="Calibri"/>
        </w:rPr>
      </w:pPr>
      <w:r w:rsidRPr="00B71A41">
        <w:rPr>
          <w:rFonts w:eastAsia="Calibri"/>
        </w:rPr>
        <w:t xml:space="preserve">PK-INR&gt; 6.0 </w:t>
      </w:r>
    </w:p>
    <w:p w14:paraId="6F9E4982" w14:textId="77777777" w:rsidR="00772A61" w:rsidRPr="00F64EAB" w:rsidRDefault="00772A61" w:rsidP="00772A61">
      <w:pPr>
        <w:pStyle w:val="Punktlista"/>
        <w:rPr>
          <w:noProof/>
          <w:color w:val="000000" w:themeColor="text2"/>
        </w:rPr>
      </w:pPr>
      <w:r w:rsidRPr="2555E266">
        <w:rPr>
          <w:noProof/>
          <w:color w:val="000000" w:themeColor="text2"/>
        </w:rPr>
        <w:t xml:space="preserve">Uppehåll 2 dagar </w:t>
      </w:r>
    </w:p>
    <w:p w14:paraId="2676FEA2" w14:textId="77777777" w:rsidR="00772A61" w:rsidRPr="00F64EAB" w:rsidRDefault="00772A61" w:rsidP="00772A61">
      <w:pPr>
        <w:pStyle w:val="Punktlista"/>
        <w:rPr>
          <w:noProof/>
          <w:color w:val="000000" w:themeColor="text2"/>
        </w:rPr>
      </w:pPr>
      <w:r w:rsidRPr="2555E266">
        <w:rPr>
          <w:noProof/>
          <w:color w:val="000000" w:themeColor="text2"/>
        </w:rPr>
        <w:t>Konakion 2 mg p.o. om hög blödningsrisk/lågt kostintag</w:t>
      </w:r>
    </w:p>
    <w:p w14:paraId="46EA1B11" w14:textId="77777777" w:rsidR="00772A61" w:rsidRDefault="00772A61"/>
    <w:p w14:paraId="3B2F8C0A" w14:textId="77777777" w:rsidR="00772A61" w:rsidRPr="00B71A41" w:rsidRDefault="00772A61" w:rsidP="00B71A41">
      <w:pPr>
        <w:pStyle w:val="MellanrubrikVGR"/>
        <w:rPr>
          <w:rFonts w:eastAsia="Calibri"/>
        </w:rPr>
      </w:pPr>
      <w:r w:rsidRPr="00B71A41">
        <w:rPr>
          <w:rFonts w:eastAsia="Calibri"/>
        </w:rPr>
        <w:t xml:space="preserve">PK-INR 4.0–6.0 </w:t>
      </w:r>
    </w:p>
    <w:p w14:paraId="2A1C237E" w14:textId="1615CD4D" w:rsidR="00772A61" w:rsidRPr="00F64EAB" w:rsidRDefault="00772A61" w:rsidP="00772A61">
      <w:pPr>
        <w:pStyle w:val="Punktlista"/>
        <w:rPr>
          <w:noProof/>
          <w:color w:val="000000" w:themeColor="text2"/>
        </w:rPr>
      </w:pPr>
      <w:r w:rsidRPr="2555E266">
        <w:rPr>
          <w:noProof/>
          <w:color w:val="000000" w:themeColor="text2"/>
        </w:rPr>
        <w:t>uppehåll 1–2 dagar</w:t>
      </w:r>
    </w:p>
    <w:p w14:paraId="3D557183" w14:textId="77777777" w:rsidR="00142431" w:rsidRDefault="00142431" w:rsidP="00772A61">
      <w:pPr>
        <w:pStyle w:val="MellanrubrikVGR"/>
        <w:rPr>
          <w:rFonts w:eastAsia="Calibri" w:cs="Calibri"/>
          <w:bCs/>
          <w:noProof/>
          <w:color w:val="000000" w:themeColor="text2"/>
          <w:szCs w:val="26"/>
        </w:rPr>
      </w:pPr>
    </w:p>
    <w:p w14:paraId="148A53AC" w14:textId="201AC071" w:rsidR="00772A61" w:rsidRPr="00B71A41" w:rsidRDefault="00772A61" w:rsidP="00B71A41">
      <w:pPr>
        <w:pStyle w:val="MellanrubrikVGR"/>
        <w:rPr>
          <w:rFonts w:eastAsia="Calibri"/>
        </w:rPr>
      </w:pPr>
      <w:r w:rsidRPr="00B71A41">
        <w:rPr>
          <w:rFonts w:eastAsia="Calibri"/>
        </w:rPr>
        <w:t xml:space="preserve">PK-INR 3.0–3.9 </w:t>
      </w:r>
    </w:p>
    <w:p w14:paraId="19B8981F" w14:textId="77777777" w:rsidR="00772A61" w:rsidRPr="00F64EAB" w:rsidRDefault="00772A61" w:rsidP="00772A61">
      <w:pPr>
        <w:pStyle w:val="Punktlista"/>
        <w:rPr>
          <w:noProof/>
          <w:color w:val="000000" w:themeColor="text2"/>
        </w:rPr>
      </w:pPr>
      <w:r w:rsidRPr="2555E266">
        <w:rPr>
          <w:noProof/>
          <w:color w:val="000000" w:themeColor="text2"/>
        </w:rPr>
        <w:t xml:space="preserve"> ½ ordinarie dos (eller uppehåll 1 dag).</w:t>
      </w:r>
    </w:p>
    <w:p w14:paraId="59B09E4C" w14:textId="77777777" w:rsidR="00772A61" w:rsidRPr="00F64EAB" w:rsidRDefault="00772A61" w:rsidP="00772A61">
      <w:pPr>
        <w:spacing w:after="0" w:line="240" w:lineRule="auto"/>
        <w:ind w:left="0" w:right="0"/>
        <w:rPr>
          <w:noProof/>
          <w:color w:val="000000" w:themeColor="text2"/>
        </w:rPr>
      </w:pPr>
    </w:p>
    <w:p w14:paraId="67B5BCEC" w14:textId="77777777" w:rsidR="00772A61" w:rsidRDefault="00772A61" w:rsidP="00772A61">
      <w:pPr>
        <w:rPr>
          <w:b/>
          <w:bCs/>
          <w:noProof/>
          <w:color w:val="000000" w:themeColor="text2"/>
        </w:rPr>
      </w:pPr>
      <w:r w:rsidRPr="2555E266">
        <w:rPr>
          <w:b/>
          <w:bCs/>
          <w:noProof/>
          <w:color w:val="000000" w:themeColor="text2"/>
        </w:rPr>
        <w:t>Journalkopia/meddelande FAXAS till AK-mottagningen och patienten uppmanas kontakta AK-mottagningen nästföljande vardag.</w:t>
      </w:r>
    </w:p>
    <w:p w14:paraId="0CD440DC" w14:textId="77777777" w:rsidR="00B73A09" w:rsidRDefault="00B73A09" w:rsidP="00772A61">
      <w:pPr>
        <w:rPr>
          <w:b/>
          <w:bCs/>
          <w:noProof/>
          <w:color w:val="000000" w:themeColor="text2"/>
        </w:rPr>
      </w:pPr>
    </w:p>
    <w:p w14:paraId="756D4201" w14:textId="77777777" w:rsidR="00B73A09" w:rsidRPr="00F64EAB" w:rsidRDefault="00B73A09" w:rsidP="00B73A09">
      <w:pPr>
        <w:pStyle w:val="Rubrik2"/>
        <w:rPr>
          <w:rFonts w:ascii="Calibri" w:eastAsia="Calibri" w:hAnsi="Calibri" w:cs="Calibri"/>
          <w:bCs w:val="0"/>
          <w:noProof/>
          <w:color w:val="000000" w:themeColor="text2"/>
          <w:szCs w:val="40"/>
        </w:rPr>
      </w:pPr>
      <w:r w:rsidRPr="2555E266">
        <w:rPr>
          <w:rFonts w:ascii="Calibri" w:eastAsia="Calibri" w:hAnsi="Calibri" w:cs="Calibri"/>
          <w:bCs w:val="0"/>
          <w:noProof/>
          <w:color w:val="000000" w:themeColor="text2"/>
          <w:szCs w:val="40"/>
        </w:rPr>
        <w:t>Handläggning vid blödning</w:t>
      </w:r>
    </w:p>
    <w:p w14:paraId="7B8A13C0" w14:textId="77777777" w:rsidR="00B73A09" w:rsidRPr="00F64EAB" w:rsidRDefault="00B73A09" w:rsidP="00B73A09">
      <w:pPr>
        <w:rPr>
          <w:noProof/>
          <w:color w:val="000000" w:themeColor="text2"/>
        </w:rPr>
      </w:pPr>
      <w:r w:rsidRPr="2555E266">
        <w:rPr>
          <w:noProof/>
          <w:color w:val="000000" w:themeColor="text2"/>
        </w:rPr>
        <w:t xml:space="preserve">Patienten tillsägs att söka akutmottagning. Anvisningar angående Konakiontillförsel på akutmottagningen finns i: </w:t>
      </w:r>
      <w:hyperlink r:id="rId12">
        <w:r w:rsidRPr="2555E266">
          <w:rPr>
            <w:rStyle w:val="Hyperlnk"/>
            <w:noProof/>
          </w:rPr>
          <w:t>Venös tromboembolism och antikoagulantiabehandling hos vuxna och vid graviditet (vgregion.se)</w:t>
        </w:r>
      </w:hyperlink>
      <w:r w:rsidRPr="2555E266">
        <w:rPr>
          <w:noProof/>
          <w:color w:val="000000" w:themeColor="text2"/>
        </w:rPr>
        <w:t xml:space="preserve"> </w:t>
      </w:r>
    </w:p>
    <w:p w14:paraId="25F76304" w14:textId="77777777" w:rsidR="00B71A41" w:rsidRDefault="00B71A41" w:rsidP="00B73A09">
      <w:pPr>
        <w:rPr>
          <w:rFonts w:ascii="Calibri" w:eastAsia="Calibri" w:hAnsi="Calibri" w:cs="Calibri"/>
          <w:b/>
          <w:bCs/>
          <w:noProof/>
          <w:color w:val="000000" w:themeColor="text2"/>
          <w:sz w:val="28"/>
          <w:szCs w:val="28"/>
        </w:rPr>
      </w:pPr>
    </w:p>
    <w:p w14:paraId="7B24A276" w14:textId="6158C7D7" w:rsidR="00B73A09" w:rsidRPr="00F64EAB" w:rsidRDefault="00B73A09" w:rsidP="00B71A41">
      <w:pPr>
        <w:pStyle w:val="MellanrubrikVGR"/>
        <w:rPr>
          <w:rFonts w:eastAsia="Calibri"/>
          <w:noProof/>
        </w:rPr>
      </w:pPr>
      <w:r w:rsidRPr="2555E266">
        <w:rPr>
          <w:rFonts w:eastAsia="Calibri"/>
          <w:noProof/>
        </w:rPr>
        <w:t>Konakion 10 mg/ml</w:t>
      </w:r>
    </w:p>
    <w:p w14:paraId="4779707E" w14:textId="77777777" w:rsidR="00B73A09" w:rsidRPr="00F64EAB" w:rsidRDefault="00B73A09" w:rsidP="00B73A09">
      <w:pPr>
        <w:rPr>
          <w:noProof/>
          <w:color w:val="000000" w:themeColor="text2"/>
        </w:rPr>
      </w:pPr>
      <w:r w:rsidRPr="2555E266">
        <w:rPr>
          <w:noProof/>
          <w:color w:val="000000" w:themeColor="text2"/>
        </w:rPr>
        <w:t xml:space="preserve">Konakion lösning för intravenös injektion (10mg/ml) kan också ges peroralt. Dosen är densamma, det vill säga 0,2 ml av den ”intravenösa lösningen” är 2 mg Konakion. </w:t>
      </w:r>
    </w:p>
    <w:p w14:paraId="18DD73B5" w14:textId="77777777" w:rsidR="00B73A09" w:rsidRPr="00F64EAB" w:rsidRDefault="00B73A09" w:rsidP="00B73A09">
      <w:pPr>
        <w:rPr>
          <w:noProof/>
          <w:color w:val="000000" w:themeColor="text2"/>
        </w:rPr>
      </w:pPr>
    </w:p>
    <w:p w14:paraId="02ACA9BE" w14:textId="77777777" w:rsidR="00B73A09" w:rsidRDefault="00B73A09" w:rsidP="00B73A09">
      <w:pPr>
        <w:spacing w:after="0" w:line="240" w:lineRule="auto"/>
        <w:rPr>
          <w:noProof/>
          <w:color w:val="000000" w:themeColor="text2"/>
        </w:rPr>
      </w:pPr>
      <w:r w:rsidRPr="2555E266">
        <w:rPr>
          <w:noProof/>
          <w:color w:val="000000" w:themeColor="text2"/>
        </w:rPr>
        <w:lastRenderedPageBreak/>
        <w:t>I första hand ges Konakion peroralt på en sockerbit på grund av dålig smak.</w:t>
      </w:r>
    </w:p>
    <w:p w14:paraId="1C2A9C45" w14:textId="77777777" w:rsidR="00B71A41" w:rsidRPr="00F64EAB" w:rsidRDefault="00B71A41" w:rsidP="00B73A09">
      <w:pPr>
        <w:spacing w:after="0" w:line="240" w:lineRule="auto"/>
        <w:rPr>
          <w:noProof/>
          <w:color w:val="000000" w:themeColor="text2"/>
        </w:rPr>
      </w:pPr>
    </w:p>
    <w:p w14:paraId="34F8A056" w14:textId="77777777" w:rsidR="00B73A09" w:rsidRPr="00F64EAB" w:rsidRDefault="00B73A09" w:rsidP="00B73A09">
      <w:pPr>
        <w:spacing w:after="0" w:line="240" w:lineRule="auto"/>
        <w:rPr>
          <w:noProof/>
          <w:color w:val="000000" w:themeColor="text2"/>
        </w:rPr>
      </w:pPr>
    </w:p>
    <w:p w14:paraId="412BD391" w14:textId="77777777" w:rsidR="00B73A09" w:rsidRPr="00F64EAB" w:rsidRDefault="00B73A09" w:rsidP="00B73A09">
      <w:pPr>
        <w:spacing w:after="0" w:line="240" w:lineRule="auto"/>
        <w:rPr>
          <w:rFonts w:ascii="Calibri" w:eastAsia="Calibri" w:hAnsi="Calibri" w:cs="Calibri"/>
          <w:noProof/>
          <w:color w:val="000000" w:themeColor="text2"/>
          <w:sz w:val="40"/>
          <w:szCs w:val="40"/>
        </w:rPr>
      </w:pPr>
      <w:r w:rsidRPr="2555E266">
        <w:rPr>
          <w:rFonts w:ascii="Calibri" w:eastAsia="Calibri" w:hAnsi="Calibri" w:cs="Calibri"/>
          <w:noProof/>
          <w:color w:val="000000" w:themeColor="text2"/>
          <w:sz w:val="40"/>
          <w:szCs w:val="40"/>
        </w:rPr>
        <w:t>Källförteckning</w:t>
      </w:r>
    </w:p>
    <w:p w14:paraId="496047BA" w14:textId="77777777" w:rsidR="00B73A09" w:rsidRPr="00F64EAB" w:rsidRDefault="00B73A09" w:rsidP="00B73A09">
      <w:pPr>
        <w:spacing w:after="0" w:line="240" w:lineRule="auto"/>
        <w:rPr>
          <w:noProof/>
          <w:color w:val="000000" w:themeColor="text2"/>
        </w:rPr>
      </w:pPr>
      <w:hyperlink r:id="rId13">
        <w:r w:rsidRPr="2555E266">
          <w:rPr>
            <w:rStyle w:val="Hyperlnk"/>
            <w:noProof/>
          </w:rPr>
          <w:t>Venös tromboembolism o</w:t>
        </w:r>
        <w:r w:rsidRPr="2555E266">
          <w:rPr>
            <w:rStyle w:val="Hyperlnk"/>
            <w:noProof/>
          </w:rPr>
          <w:t>c</w:t>
        </w:r>
        <w:r w:rsidRPr="2555E266">
          <w:rPr>
            <w:rStyle w:val="Hyperlnk"/>
            <w:noProof/>
          </w:rPr>
          <w:t>h antikoagulantiabehandling hos vuxna och vid graviditet (vgregion.se)</w:t>
        </w:r>
      </w:hyperlink>
    </w:p>
    <w:p w14:paraId="46B6A857" w14:textId="77777777" w:rsidR="00B73A09" w:rsidRPr="00F64EAB" w:rsidRDefault="00B73A09" w:rsidP="00772A61">
      <w:pPr>
        <w:rPr>
          <w:noProof/>
          <w:color w:val="000000" w:themeColor="text2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820DB" w:rsidRPr="00F64EAB" w14:paraId="4B555ADC" w14:textId="77777777" w:rsidTr="2555E266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74648EB4" w14:textId="26810E31" w:rsidR="008820DB" w:rsidRPr="00F64EAB" w:rsidRDefault="008820DB" w:rsidP="2555E266">
            <w:pPr>
              <w:rPr>
                <w:noProof/>
              </w:rPr>
            </w:pPr>
            <w:bookmarkStart w:id="0" w:name="_Toc321146591"/>
          </w:p>
          <w:p w14:paraId="02879547" w14:textId="7A255F18" w:rsidR="008820DB" w:rsidRPr="00F64EAB" w:rsidRDefault="008820DB" w:rsidP="2555E266">
            <w:pPr>
              <w:keepNext/>
              <w:keepLines/>
              <w:spacing w:before="240" w:after="40" w:line="240" w:lineRule="auto"/>
              <w:ind w:right="-143"/>
              <w:rPr>
                <w:rFonts w:ascii="Calibri" w:eastAsia="Calibri" w:hAnsi="Calibri" w:cs="Calibri"/>
                <w:noProof/>
                <w:color w:val="000000" w:themeColor="text2"/>
                <w:sz w:val="40"/>
                <w:szCs w:val="40"/>
              </w:rPr>
            </w:pPr>
          </w:p>
          <w:p w14:paraId="7BFEA30B" w14:textId="6BB26A49" w:rsidR="008820DB" w:rsidRPr="00F64EAB" w:rsidRDefault="008820DB" w:rsidP="2555E266">
            <w:pPr>
              <w:spacing w:after="0" w:line="240" w:lineRule="auto"/>
              <w:ind w:left="0" w:right="0"/>
              <w:rPr>
                <w:noProof/>
                <w:color w:val="000000" w:themeColor="text2"/>
              </w:rPr>
            </w:pPr>
          </w:p>
          <w:p w14:paraId="2601507B" w14:textId="602232B5" w:rsidR="008820DB" w:rsidRPr="00F64EAB" w:rsidRDefault="008820DB" w:rsidP="2555E266">
            <w:pPr>
              <w:spacing w:after="0" w:line="240" w:lineRule="auto"/>
              <w:ind w:left="0" w:right="0"/>
              <w:rPr>
                <w:noProof/>
                <w:color w:val="000000" w:themeColor="text2"/>
              </w:rPr>
            </w:pPr>
          </w:p>
          <w:p w14:paraId="67F5DB91" w14:textId="6A1EE2A4" w:rsidR="008820DB" w:rsidRPr="00F64EAB" w:rsidRDefault="008820DB" w:rsidP="2555E266">
            <w:pPr>
              <w:keepNext/>
              <w:keepLines/>
              <w:widowControl w:val="0"/>
              <w:spacing w:before="240"/>
              <w:rPr>
                <w:rFonts w:ascii="Calibri" w:eastAsia="Calibri" w:hAnsi="Calibri" w:cs="Calibri"/>
                <w:b/>
                <w:bCs/>
                <w:noProof/>
                <w:color w:val="000000" w:themeColor="text2"/>
                <w:sz w:val="26"/>
                <w:szCs w:val="26"/>
              </w:rPr>
            </w:pPr>
          </w:p>
          <w:p w14:paraId="59C22AA7" w14:textId="12FFD7DA" w:rsidR="008820DB" w:rsidRPr="00F64EAB" w:rsidRDefault="008820DB" w:rsidP="2555E266">
            <w:pPr>
              <w:ind w:left="1712" w:hanging="357"/>
              <w:rPr>
                <w:noProof/>
                <w:color w:val="000000" w:themeColor="text2"/>
              </w:rPr>
            </w:pPr>
          </w:p>
          <w:p w14:paraId="5FD90299" w14:textId="41FF3BE7" w:rsidR="008820DB" w:rsidRPr="00F64EAB" w:rsidRDefault="008820DB" w:rsidP="2555E266">
            <w:pPr>
              <w:rPr>
                <w:noProof/>
                <w:color w:val="000000" w:themeColor="text2"/>
              </w:rPr>
            </w:pPr>
          </w:p>
          <w:p w14:paraId="75800539" w14:textId="5C995E87" w:rsidR="008820DB" w:rsidRPr="00F64EAB" w:rsidRDefault="008820DB" w:rsidP="00772A61">
            <w:pPr>
              <w:spacing w:after="0" w:line="240" w:lineRule="auto"/>
              <w:rPr>
                <w:noProof/>
              </w:rPr>
            </w:pPr>
          </w:p>
        </w:tc>
      </w:tr>
    </w:tbl>
    <w:p w14:paraId="613B0211" w14:textId="77777777" w:rsidR="00485652" w:rsidRDefault="00485652">
      <w:bookmarkStart w:id="1" w:name="_Toc100327186"/>
      <w:bookmarkStart w:id="2" w:name="_Toc106874289"/>
      <w:bookmarkEnd w:id="0"/>
      <w:bookmarkEnd w:id="1"/>
      <w:bookmarkEnd w:id="2"/>
    </w:p>
    <w:sectPr w:rsidR="00485652" w:rsidSect="00F64EAB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C2F939" w14:textId="77777777" w:rsidR="00485652" w:rsidRDefault="00485652">
      <w:r>
        <w:separator/>
      </w:r>
    </w:p>
  </w:endnote>
  <w:endnote w:type="continuationSeparator" w:id="0">
    <w:p w14:paraId="57A718AE" w14:textId="77777777" w:rsidR="00485652" w:rsidRDefault="00485652">
      <w:r>
        <w:continuationSeparator/>
      </w:r>
    </w:p>
  </w:endnote>
  <w:endnote w:type="continuationNotice" w:id="1">
    <w:p w14:paraId="5789C70A" w14:textId="77777777" w:rsidR="00485652" w:rsidRDefault="0048565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A0B639" w14:textId="77777777" w:rsidR="008820DB" w:rsidRDefault="008820DB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37B50B9" w14:textId="77777777" w:rsidR="008820DB" w:rsidRDefault="008820DB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919108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0EBA5782" w14:textId="77777777" w:rsidR="008820DB" w:rsidRPr="00EC0A68" w:rsidRDefault="008820DB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C96135" w14:textId="77777777" w:rsidR="008820DB" w:rsidRDefault="008820D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24AB4D9D" wp14:editId="5ACD486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34EFF8" w14:textId="77777777" w:rsidR="00485652" w:rsidRDefault="00485652"/>
  </w:footnote>
  <w:footnote w:type="continuationSeparator" w:id="0">
    <w:p w14:paraId="5CC9F2B7" w14:textId="77777777" w:rsidR="00485652" w:rsidRDefault="00485652">
      <w:r>
        <w:continuationSeparator/>
      </w:r>
    </w:p>
  </w:footnote>
  <w:footnote w:type="continuationNotice" w:id="1">
    <w:p w14:paraId="731E0E0B" w14:textId="77777777" w:rsidR="00485652" w:rsidRDefault="0048565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53C584" w14:textId="77777777" w:rsidR="008820DB" w:rsidRPr="00DA65C4" w:rsidRDefault="008820DB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02390EEB" wp14:editId="61FE0AE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167FD7F" w14:textId="77777777" w:rsidR="008820DB" w:rsidRDefault="008820DB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2390EEB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167FD7F" w14:textId="77777777" w:rsidR="008820DB" w:rsidRDefault="008820DB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60C29D" w14:textId="77777777" w:rsidR="008820DB" w:rsidRDefault="008820DB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69F4852D" wp14:editId="64A5F09A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5" name="Textruta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6001A88" w14:textId="77777777" w:rsidR="008820DB" w:rsidRDefault="008820D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9F4852D" id="_x0000_t202" coordsize="21600,21600" o:spt="202" path="m,l,21600r21600,l21600,xe">
              <v:stroke joinstyle="miter"/>
              <v:path gradientshapeok="t" o:connecttype="rect"/>
            </v:shapetype>
            <v:shape id="Textruta 5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46001A88" w14:textId="77777777" w:rsidR="008820DB" w:rsidRDefault="008820D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D0C3B4E" wp14:editId="694C06BC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7233EE"/>
    <w:multiLevelType w:val="hybridMultilevel"/>
    <w:tmpl w:val="02665A1E"/>
    <w:lvl w:ilvl="0" w:tplc="EABA95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02FAA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108B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5431A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4294E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A742EC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2C7D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64556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2B89EB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9A5A4F"/>
    <w:multiLevelType w:val="hybridMultilevel"/>
    <w:tmpl w:val="1B54B1E6"/>
    <w:lvl w:ilvl="0" w:tplc="42644FC2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16BEEA9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31AE44E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AE86CEA0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5344CC20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9454EB26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AFB8DC26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5288BC1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62468D46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01085310">
    <w:abstractNumId w:val="13"/>
  </w:num>
  <w:num w:numId="2" w16cid:durableId="217977909">
    <w:abstractNumId w:val="19"/>
  </w:num>
  <w:num w:numId="3" w16cid:durableId="111094964">
    <w:abstractNumId w:val="16"/>
  </w:num>
  <w:num w:numId="4" w16cid:durableId="836725634">
    <w:abstractNumId w:val="0"/>
  </w:num>
  <w:num w:numId="5" w16cid:durableId="1871452863">
    <w:abstractNumId w:val="7"/>
  </w:num>
  <w:num w:numId="6" w16cid:durableId="280649908">
    <w:abstractNumId w:val="17"/>
  </w:num>
  <w:num w:numId="7" w16cid:durableId="132141592">
    <w:abstractNumId w:val="2"/>
  </w:num>
  <w:num w:numId="8" w16cid:durableId="857933418">
    <w:abstractNumId w:val="12"/>
  </w:num>
  <w:num w:numId="9" w16cid:durableId="412315239">
    <w:abstractNumId w:val="9"/>
  </w:num>
  <w:num w:numId="10" w16cid:durableId="1923099981">
    <w:abstractNumId w:val="1"/>
  </w:num>
  <w:num w:numId="11" w16cid:durableId="1635718409">
    <w:abstractNumId w:val="1"/>
  </w:num>
  <w:num w:numId="12" w16cid:durableId="1410466185">
    <w:abstractNumId w:val="3"/>
  </w:num>
  <w:num w:numId="13" w16cid:durableId="2145929502">
    <w:abstractNumId w:val="5"/>
  </w:num>
  <w:num w:numId="14" w16cid:durableId="130447524">
    <w:abstractNumId w:val="15"/>
  </w:num>
  <w:num w:numId="15" w16cid:durableId="2056856072">
    <w:abstractNumId w:val="10"/>
  </w:num>
  <w:num w:numId="16" w16cid:durableId="1151947067">
    <w:abstractNumId w:val="8"/>
  </w:num>
  <w:num w:numId="17" w16cid:durableId="1689991384">
    <w:abstractNumId w:val="14"/>
  </w:num>
  <w:num w:numId="18" w16cid:durableId="998536594">
    <w:abstractNumId w:val="6"/>
  </w:num>
  <w:num w:numId="19" w16cid:durableId="1981769050">
    <w:abstractNumId w:val="11"/>
  </w:num>
  <w:num w:numId="20" w16cid:durableId="463622041">
    <w:abstractNumId w:val="18"/>
  </w:num>
  <w:num w:numId="21" w16cid:durableId="181347486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243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626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1BA1"/>
    <w:rsid w:val="004230F7"/>
    <w:rsid w:val="0043167E"/>
    <w:rsid w:val="004332AD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5652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3586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5A0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2A61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20DB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2513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A41"/>
    <w:rsid w:val="00B73A09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24A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4EAB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555E266"/>
    <w:rsid w:val="33100D7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71A41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sn11760-725702066-635/native/Terapir%C3%A5d%20Ven%C3%B6s%20tromboembolism%20och%20antikoagulantiabehandling%20hos%20vuxna%20och%20vid%20graviditet.pdf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sn11760-725702066-635/native/Terapir%C3%A5d%20Ven%C3%B6s%20tromboembolism%20och%20antikoagulantiabehandling%20hos%20vuxna%20och%20vid%20graviditet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3</Pages>
  <Words>415</Words>
  <Characters>2200</Characters>
  <Application>Microsoft Office Word</Application>
  <DocSecurity>0</DocSecurity>
  <Lines>18</Lines>
  <Paragraphs>5</Paragraphs>
  <ScaleCrop>false</ScaleCrop>
  <Manager/>
  <Company/>
  <LinksUpToDate>false</LinksUpToDate>
  <CharactersWithSpaces>2610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Waranbehandling - åtgärder för medicinjouren vid höga PK</dc:title>
  <dc:subject/>
  <dc:creator>patrik.jens.johansson@vgregion.se</dc:creator>
  <keywords/>
  <lastModifiedBy>Annika Johansson</lastModifiedBy>
  <revision>12</revision>
  <lastPrinted>2016-03-31T10:56:00.0000000Z</lastPrinted>
  <dcterms:created xsi:type="dcterms:W3CDTF">2022-05-06T03:20:00.0000000Z</dcterms:created>
  <dcterms:modified xsi:type="dcterms:W3CDTF">2025-11-11T13:46:00.0000000Z</dcterms:modified>
</coreProperties>
</file>