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811C6B" w:rsidP="00F35B05" w:rsidRDefault="00811C6B" w14:paraId="0AAF6FBC" w14:textId="77777777">
      <w:pPr>
        <w:pStyle w:val="Heading2"/>
        <w:sectPr w:rsidR="00811C6B" w:rsidSect="00811C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11C6B" w:rsidR="00811C6B" w:rsidP="39CD46F7" w:rsidRDefault="00811C6B" w14:paraId="50E5D469" w14:textId="7CD352CB">
      <w:pPr>
        <w:pStyle w:val="Heading1"/>
        <w:spacing w:before="0" w:beforeAutospacing="off" w:after="240" w:afterAutospacing="off" w:line="288" w:lineRule="auto"/>
        <w:ind w:left="567" w:right="0"/>
        <w:rPr/>
      </w:pPr>
      <w:r w:rsidRPr="39CD46F7" w:rsidR="5EB43CF3">
        <w:rPr>
          <w:rFonts w:ascii="Calibri" w:hAnsi="Calibri" w:eastAsia="Calibri" w:cs="Calibri"/>
          <w:b w:val="0"/>
          <w:bCs w:val="0"/>
          <w:noProof w:val="0"/>
          <w:sz w:val="48"/>
          <w:szCs w:val="48"/>
          <w:lang w:val="sv-SE"/>
        </w:rPr>
        <w:t>DVT uppföljning - ansvarsfördelning mellan vårdgivare</w:t>
      </w:r>
    </w:p>
    <w:p w:rsidRPr="00811C6B" w:rsidR="00811C6B" w:rsidP="39CD46F7" w:rsidRDefault="00811C6B" w14:paraId="4CCBBAAF" w14:textId="25E8DF00">
      <w:pPr>
        <w:pStyle w:val="Normal"/>
        <w:spacing w:after="0" w:line="240" w:lineRule="auto"/>
        <w:ind w:left="0" w:right="0"/>
        <w:rPr/>
      </w:pPr>
    </w:p>
    <w:p w:rsidRPr="00811C6B" w:rsidR="00811C6B" w:rsidP="39CD46F7" w:rsidRDefault="00811C6B" w14:paraId="7D7B3479" w14:textId="703E82AF">
      <w:pPr>
        <w:pStyle w:val="Heading2"/>
        <w:spacing w:before="240" w:beforeAutospacing="off" w:after="40" w:afterAutospacing="off"/>
        <w:ind w:left="567" w:right="868"/>
        <w:rPr/>
      </w:pPr>
      <w:r w:rsidRPr="39CD46F7" w:rsidR="5EB43CF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Förändringar sedan föregående version</w:t>
      </w:r>
    </w:p>
    <w:p w:rsidRPr="00811C6B" w:rsidR="00811C6B" w:rsidP="39CD46F7" w:rsidRDefault="00811C6B" w14:paraId="56F3337B" w14:textId="0F8F0A9D">
      <w:pPr>
        <w:spacing w:before="0" w:beforeAutospacing="off" w:after="120" w:afterAutospacing="off" w:line="288" w:lineRule="auto"/>
        <w:ind w:left="567" w:right="868"/>
        <w:rPr/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Länkar uppdaterade och layout justerad. </w:t>
      </w:r>
    </w:p>
    <w:p w:rsidRPr="00811C6B" w:rsidR="00811C6B" w:rsidP="39CD46F7" w:rsidRDefault="00811C6B" w14:paraId="4DE60D5F" w14:textId="261C6E21">
      <w:pPr>
        <w:spacing w:before="0" w:beforeAutospacing="off" w:after="120" w:afterAutospacing="off" w:line="288" w:lineRule="auto"/>
        <w:ind w:left="567" w:right="-143"/>
        <w:rPr/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811C6B" w:rsidR="00811C6B" w:rsidP="39CD46F7" w:rsidRDefault="00811C6B" w14:paraId="0CFBCE29" w14:textId="5FBF9B41">
      <w:pPr>
        <w:pStyle w:val="Heading2"/>
        <w:spacing w:before="240" w:beforeAutospacing="off" w:after="40" w:afterAutospacing="off"/>
        <w:ind w:left="567" w:right="868"/>
        <w:rPr/>
      </w:pPr>
      <w:r w:rsidRPr="39CD46F7" w:rsidR="5EB43CF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 xml:space="preserve">Bakgrund och syfte </w:t>
      </w:r>
    </w:p>
    <w:p w:rsidRPr="00811C6B" w:rsidR="00811C6B" w:rsidP="39CD46F7" w:rsidRDefault="00811C6B" w14:paraId="5AF10AF7" w14:textId="62516B84">
      <w:pPr>
        <w:spacing w:before="0" w:beforeAutospacing="off" w:after="120" w:afterAutospacing="off" w:line="288" w:lineRule="auto"/>
        <w:ind w:left="567" w:right="868"/>
        <w:rPr/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Denna rutin gäller som komplement till det regionala vårdprogrammet om </w:t>
      </w:r>
      <w:hyperlink r:id="R1deef6fe48d44951">
        <w:r w:rsidRPr="39CD46F7" w:rsidR="5EB43CF3">
          <w:rPr>
            <w:rStyle w:val="Hyperlink"/>
            <w:strike w:val="0"/>
            <w:dstrike w:val="0"/>
            <w:noProof w:val="0"/>
            <w:color w:val="006298" w:themeColor="accent1" w:themeTint="FF" w:themeShade="FF"/>
            <w:sz w:val="24"/>
            <w:szCs w:val="24"/>
            <w:u w:val="single"/>
            <w:lang w:val="sv-SE"/>
          </w:rPr>
          <w:t>Venös tromboembolism (VGR) (vgregion.se)</w:t>
        </w:r>
      </w:hyperlink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811C6B" w:rsidR="00811C6B" w:rsidP="39CD46F7" w:rsidRDefault="00811C6B" w14:paraId="0A338539" w14:textId="1C5EAA7E">
      <w:pPr>
        <w:spacing w:before="0" w:beforeAutospacing="off" w:after="120" w:afterAutospacing="off" w:line="288" w:lineRule="auto"/>
        <w:ind w:left="567" w:right="-143"/>
        <w:rPr/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811C6B" w:rsidR="00811C6B" w:rsidP="39CD46F7" w:rsidRDefault="00811C6B" w14:paraId="2E553A21" w14:textId="24CD749F">
      <w:pPr>
        <w:pStyle w:val="Heading2"/>
        <w:spacing w:before="240" w:beforeAutospacing="off" w:after="40" w:afterAutospacing="off"/>
        <w:ind w:left="567" w:right="868"/>
        <w:rPr/>
      </w:pPr>
      <w:r w:rsidRPr="39CD46F7" w:rsidR="5EB43CF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Gäller för</w:t>
      </w:r>
    </w:p>
    <w:p w:rsidRPr="00811C6B" w:rsidR="00811C6B" w:rsidP="39CD46F7" w:rsidRDefault="00811C6B" w14:paraId="4BEB775A" w14:textId="792191A5">
      <w:pPr>
        <w:spacing w:before="0" w:beforeAutospacing="off" w:after="120" w:afterAutospacing="off" w:line="288" w:lineRule="auto"/>
        <w:ind w:left="567" w:right="868"/>
        <w:rPr/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Alla inom NU-sjukvårdens AK-mottagnings upptagningsområde som handlägger patienter med DVT och lungemboli.</w:t>
      </w:r>
    </w:p>
    <w:p w:rsidRPr="00811C6B" w:rsidR="00811C6B" w:rsidP="39CD46F7" w:rsidRDefault="00811C6B" w14:paraId="274C9AE5" w14:textId="5D714B4B">
      <w:pPr>
        <w:spacing w:before="0" w:beforeAutospacing="off" w:after="120" w:afterAutospacing="off" w:line="288" w:lineRule="auto"/>
        <w:ind w:left="567" w:right="-143"/>
        <w:rPr/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811C6B" w:rsidR="00811C6B" w:rsidP="39CD46F7" w:rsidRDefault="00811C6B" w14:paraId="71F39994" w14:textId="65CBE864">
      <w:pPr>
        <w:pStyle w:val="Heading2"/>
        <w:spacing w:before="240" w:beforeAutospacing="off" w:after="40" w:afterAutospacing="off"/>
        <w:ind w:left="567" w:right="868"/>
        <w:rPr/>
      </w:pPr>
      <w:r w:rsidRPr="39CD46F7" w:rsidR="5EB43CF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 xml:space="preserve">Åtgärder </w:t>
      </w:r>
    </w:p>
    <w:p w:rsidRPr="00811C6B" w:rsidR="00811C6B" w:rsidP="39CD46F7" w:rsidRDefault="00811C6B" w14:paraId="5486A628" w14:textId="1D59A8CD">
      <w:pPr>
        <w:spacing w:before="0" w:beforeAutospacing="off" w:after="120" w:afterAutospacing="off" w:line="288" w:lineRule="auto"/>
        <w:ind w:left="567" w:right="868"/>
        <w:rPr/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Följande patienter följs upp på medicinmottagningen</w:t>
      </w:r>
    </w:p>
    <w:p w:rsidRPr="00811C6B" w:rsidR="00811C6B" w:rsidP="39CD46F7" w:rsidRDefault="00811C6B" w14:paraId="28226EFE" w14:textId="64706113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Idiopatisk DVT ovan knä med symptom</w:t>
      </w:r>
    </w:p>
    <w:p w:rsidRPr="00811C6B" w:rsidR="00811C6B" w:rsidP="39CD46F7" w:rsidRDefault="00811C6B" w14:paraId="36F5E8B2" w14:textId="7E77E4B6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Ovan ljumsknivå </w:t>
      </w:r>
    </w:p>
    <w:p w:rsidRPr="00811C6B" w:rsidR="00811C6B" w:rsidP="39CD46F7" w:rsidRDefault="00811C6B" w14:paraId="158F7374" w14:textId="7579467D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Lungemboli med mer än lindriga symptom</w:t>
      </w:r>
    </w:p>
    <w:p w:rsidRPr="00811C6B" w:rsidR="00811C6B" w:rsidP="39CD46F7" w:rsidRDefault="00811C6B" w14:paraId="0AFC4418" w14:textId="2F5D1809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Massiv lungemboli</w:t>
      </w:r>
    </w:p>
    <w:p w:rsidRPr="00811C6B" w:rsidR="00811C6B" w:rsidP="39CD46F7" w:rsidRDefault="00811C6B" w14:paraId="73609F00" w14:textId="0DFC9D3B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Patienter som skall genomgå koagulationsutredning</w:t>
      </w:r>
    </w:p>
    <w:p w:rsidRPr="00811C6B" w:rsidR="00811C6B" w:rsidP="39CD46F7" w:rsidRDefault="00811C6B" w14:paraId="37A8B26A" w14:textId="3F304B2D">
      <w:pPr>
        <w:spacing w:before="0" w:beforeAutospacing="off" w:after="120" w:afterAutospacing="off" w:line="288" w:lineRule="auto"/>
        <w:ind w:left="567" w:right="-143"/>
        <w:rPr/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811C6B" w:rsidR="00811C6B" w:rsidP="39CD46F7" w:rsidRDefault="00811C6B" w14:paraId="3D1084C6" w14:textId="6815AF04">
      <w:pPr>
        <w:pStyle w:val="Heading2"/>
        <w:spacing w:before="240" w:beforeAutospacing="off" w:after="40" w:afterAutospacing="off"/>
        <w:ind w:left="567" w:right="868"/>
        <w:rPr/>
      </w:pPr>
      <w:r w:rsidRPr="39CD46F7" w:rsidR="5EB43CF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Följande patienter följs upp inom primärvård</w:t>
      </w:r>
    </w:p>
    <w:p w:rsidRPr="00811C6B" w:rsidR="00811C6B" w:rsidP="39CD46F7" w:rsidRDefault="00811C6B" w14:paraId="1D0E1DFE" w14:textId="38B76ABA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DVT nedom knä</w:t>
      </w:r>
    </w:p>
    <w:p w:rsidRPr="00811C6B" w:rsidR="00811C6B" w:rsidP="39CD46F7" w:rsidRDefault="00811C6B" w14:paraId="24F8B019" w14:textId="68D074A1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Icke massiv lungemboli med högst lindriga symptom</w:t>
      </w:r>
    </w:p>
    <w:p w:rsidRPr="00811C6B" w:rsidR="00811C6B" w:rsidP="39CD46F7" w:rsidRDefault="00811C6B" w14:paraId="2FF2440C" w14:textId="51A61869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Patient inom palliativ vård eller där andra åtgärder ej kan bli aktuell</w:t>
      </w:r>
    </w:p>
    <w:p w:rsidRPr="00811C6B" w:rsidR="00811C6B" w:rsidP="39CD46F7" w:rsidRDefault="00811C6B" w14:paraId="1082EA62" w14:textId="48439310">
      <w:pPr>
        <w:spacing w:before="0" w:beforeAutospacing="off" w:after="120" w:afterAutospacing="off" w:line="288" w:lineRule="auto"/>
        <w:ind w:left="567" w:right="-143"/>
        <w:rPr/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811C6B" w:rsidR="00811C6B" w:rsidP="39CD46F7" w:rsidRDefault="00811C6B" w14:paraId="1BE224BE" w14:textId="032C63B3">
      <w:pPr>
        <w:pStyle w:val="Heading2"/>
        <w:spacing w:before="240" w:beforeAutospacing="off" w:after="40" w:afterAutospacing="off"/>
        <w:ind w:left="567" w:right="868"/>
        <w:rPr/>
      </w:pPr>
      <w:r w:rsidRPr="39CD46F7" w:rsidR="5EB43CF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Patienter med PAL inom annan klinik inom NU-sjukvården</w:t>
      </w:r>
    </w:p>
    <w:p w:rsidRPr="00811C6B" w:rsidR="00811C6B" w:rsidP="39CD46F7" w:rsidRDefault="00811C6B" w14:paraId="126E488E" w14:textId="053E9A11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Patienter med trombos i samband med kirurgi</w:t>
      </w:r>
    </w:p>
    <w:p w:rsidRPr="00811C6B" w:rsidR="00811C6B" w:rsidP="39CD46F7" w:rsidRDefault="00811C6B" w14:paraId="39510DF1" w14:textId="4FB9F062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Annan sjukdom som följs, såsom malignitet följs upp av respektive klinik och efter återbesök remitteras enl. ovan om fortsatta kontakter ej planeras. </w:t>
      </w:r>
    </w:p>
    <w:p w:rsidRPr="00811C6B" w:rsidR="00811C6B" w:rsidP="39CD46F7" w:rsidRDefault="00811C6B" w14:paraId="773096FD" w14:textId="0FE1F416">
      <w:pPr>
        <w:spacing w:before="0" w:beforeAutospacing="off" w:after="120" w:afterAutospacing="off" w:line="288" w:lineRule="auto"/>
        <w:ind w:left="567" w:right="-143"/>
        <w:rPr/>
      </w:pPr>
      <w:r w:rsidRPr="39CD46F7" w:rsidR="5EB43CF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811C6B" w:rsidR="00811C6B" w:rsidP="39CD46F7" w:rsidRDefault="00811C6B" w14:paraId="609DB13D" w14:textId="4883CA91">
      <w:pPr>
        <w:pStyle w:val="Heading2"/>
        <w:spacing w:before="240" w:beforeAutospacing="off" w:after="40" w:afterAutospacing="off"/>
        <w:ind w:left="567" w:right="868"/>
        <w:rPr/>
      </w:pPr>
      <w:r w:rsidRPr="39CD46F7" w:rsidR="5EB43CF3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Källförteckning</w:t>
      </w:r>
    </w:p>
    <w:p w:rsidRPr="00811C6B" w:rsidR="00811C6B" w:rsidP="39CD46F7" w:rsidRDefault="00811C6B" w14:paraId="327F2330" w14:textId="46E2D0DD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strike w:val="0"/>
          <w:dstrike w:val="0"/>
          <w:noProof w:val="0"/>
          <w:color w:val="006298" w:themeColor="accent1" w:themeTint="FF" w:themeShade="FF"/>
          <w:sz w:val="24"/>
          <w:szCs w:val="24"/>
          <w:u w:val="single"/>
          <w:lang w:val="sv-SE"/>
        </w:rPr>
      </w:pPr>
      <w:hyperlink r:id="Rb0d04e65a2df4d2b">
        <w:r w:rsidRPr="39CD46F7" w:rsidR="5EB43CF3">
          <w:rPr>
            <w:rStyle w:val="Hyperlink"/>
            <w:strike w:val="0"/>
            <w:dstrike w:val="0"/>
            <w:noProof w:val="0"/>
            <w:color w:val="006298" w:themeColor="accent1" w:themeTint="FF" w:themeShade="FF"/>
            <w:sz w:val="24"/>
            <w:szCs w:val="24"/>
            <w:u w:val="single"/>
            <w:lang w:val="sv-SE"/>
          </w:rPr>
          <w:t>Venös tromboembolism (VGR) (vgregion.se)</w:t>
        </w:r>
      </w:hyperlink>
    </w:p>
    <w:p w:rsidRPr="00811C6B" w:rsidR="00811C6B" w:rsidP="39CD46F7" w:rsidRDefault="00811C6B" w14:paraId="67DAEB4C" w14:textId="02E4A10E">
      <w:pPr>
        <w:pStyle w:val="ListParagraph"/>
        <w:numPr>
          <w:ilvl w:val="0"/>
          <w:numId w:val="21"/>
        </w:numPr>
        <w:spacing w:before="0" w:beforeAutospacing="off" w:after="0" w:afterAutospacing="off" w:line="288" w:lineRule="auto"/>
        <w:ind w:left="1712" w:right="868" w:hanging="357"/>
        <w:rPr>
          <w:rFonts w:ascii="Times New Roman" w:hAnsi="Times New Roman" w:eastAsia="Times New Roman" w:cs="Times New Roman"/>
          <w:strike w:val="0"/>
          <w:dstrike w:val="0"/>
          <w:noProof w:val="0"/>
          <w:color w:val="006298" w:themeColor="accent1" w:themeTint="FF" w:themeShade="FF"/>
          <w:sz w:val="24"/>
          <w:szCs w:val="24"/>
          <w:u w:val="single"/>
          <w:lang w:val="sv-SE"/>
        </w:rPr>
      </w:pPr>
      <w:hyperlink r:id="Rf1df40ae03384803">
        <w:r w:rsidRPr="39CD46F7" w:rsidR="5EB43CF3">
          <w:rPr>
            <w:rStyle w:val="Hyperlink"/>
            <w:strike w:val="0"/>
            <w:dstrike w:val="0"/>
            <w:noProof w:val="0"/>
            <w:color w:val="006298" w:themeColor="accent1" w:themeTint="FF" w:themeShade="FF"/>
            <w:sz w:val="24"/>
            <w:szCs w:val="24"/>
            <w:u w:val="single"/>
            <w:lang w:val="sv-SE"/>
          </w:rPr>
          <w:t>Venös tromboembolism och antikoagulantiabehandling hos vuxna och vid graviditet (vgregion.se)</w:t>
        </w:r>
      </w:hyperlink>
    </w:p>
    <w:p w:rsidRPr="00811C6B" w:rsidR="00811C6B" w:rsidP="00811C6B" w:rsidRDefault="00811C6B" w14:paraId="42C553D9" w14:textId="77777777">
      <w:pPr>
        <w:spacing w:after="55" w:line="240" w:lineRule="auto"/>
        <w:ind w:left="709" w:right="0"/>
        <w:rPr/>
      </w:pPr>
      <w:r w:rsidRPr="00811C6B">
        <w:rPr>
          <w:noProof/>
          <w:szCs w:val="20"/>
        </w:rPr>
        <mc:AlternateContent>
          <mc:Choice Requires="wpg">
            <w:drawing>
              <wp:inline distT="0" distB="0" distL="0" distR="0" wp14:anchorId="06A94595" wp14:editId="26DF2ABD">
                <wp:extent cx="5749417" cy="12192"/>
                <wp:effectExtent l="0" t="0" r="0" b="0"/>
                <wp:docPr id="1168" name="Group 11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9417" cy="12192"/>
                          <a:chOff x="0" y="0"/>
                          <a:chExt cx="5749417" cy="12192"/>
                        </a:xfrm>
                      </wpg:grpSpPr>
                      <wps:wsp>
                        <wps:cNvPr id="1523" name="Shape 1523"/>
                        <wps:cNvSpPr/>
                        <wps:spPr>
                          <a:xfrm>
                            <a:off x="0" y="0"/>
                            <a:ext cx="5749417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9417" h="12192">
                                <a:moveTo>
                                  <a:pt x="0" y="0"/>
                                </a:moveTo>
                                <a:lnTo>
                                  <a:pt x="5749417" y="0"/>
                                </a:lnTo>
                                <a:lnTo>
                                  <a:pt x="574941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68" style="width:452.7pt;height:.95pt;mso-position-horizontal-relative:char;mso-position-vertical-relative:line" coordsize="57494,121" o:spid="_x0000_s1026" w14:anchorId="25B69E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">
                <v:shape id="Shape 1523" style="position:absolute;width:57494;height:121;visibility:visible;mso-wrap-style:square;v-text-anchor:top" coordsize="5749417,12192" o:spid="_x0000_s1027" fillcolor="black" stroked="f" path="m,l5749417,r,12192l,12192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">
                  <v:stroke miterlimit="83231f" joinstyle="miter"/>
                  <v:path textboxrect="0,0,5749417,12192" arrowok="t"/>
                </v:shape>
                <w10:anchorlock/>
              </v:group>
            </w:pict>
          </mc:Fallback>
        </mc:AlternateContent>
      </w:r>
    </w:p>
    <w:p w:rsidRPr="00811C6B" w:rsidR="00811C6B" w:rsidP="00811C6B" w:rsidRDefault="00811C6B" w14:paraId="272E8573" w14:textId="77777777">
      <w:pPr>
        <w:spacing w:after="0" w:line="240" w:lineRule="auto"/>
        <w:ind w:left="1169" w:right="0"/>
        <w:rPr>
          <w:szCs w:val="20"/>
        </w:rPr>
      </w:pPr>
      <w:r w:rsidRPr="00811C6B">
        <w:rPr>
          <w:rFonts w:ascii="Arial" w:hAnsi="Arial" w:eastAsia="Arial" w:cs="Arial"/>
          <w:b/>
          <w:sz w:val="28"/>
          <w:szCs w:val="20"/>
        </w:rPr>
        <w:t xml:space="preserve"> </w:t>
      </w:r>
    </w:p>
    <w:p w:rsidRPr="00811C6B" w:rsidR="00811C6B" w:rsidP="00811C6B" w:rsidRDefault="00811C6B" w14:paraId="3EC2498B" w14:textId="77777777">
      <w:pPr>
        <w:spacing w:after="0" w:line="240" w:lineRule="auto"/>
        <w:ind w:left="142" w:right="0"/>
        <w:rPr>
          <w:szCs w:val="20"/>
        </w:rPr>
      </w:pPr>
      <w:r w:rsidR="00811C6B">
        <w:rPr/>
        <w:t xml:space="preserve"> </w:t>
      </w:r>
    </w:p>
    <w:bookmarkEnd w:id="0"/>
    <w:sectPr w:rsidRPr="00536A5A" w:rsidR="00536A5A" w:rsidSect="00811C6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5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53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0">
    <w:nsid w:val="1fe7572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9">
    <w:nsid w:val="1ad6960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8">
    <w:nsid w:val="58b5e8a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7">
    <w:nsid w:val="40e01c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6">
    <w:nsid w:val="7db10d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536dc53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7b91be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7d13c1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ae08e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6c2e70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4f38300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653f6b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E735915"/>
    <w:multiLevelType w:val="hybridMultilevel"/>
    <w:tmpl w:val="77DE2096"/>
    <w:lvl w:ilvl="0" w:tplc="4C223384">
      <w:start w:val="1"/>
      <w:numFmt w:val="bullet"/>
      <w:lvlText w:val="•"/>
      <w:lvlJc w:val="left"/>
      <w:pPr>
        <w:ind w:left="1874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B99AC5D0">
      <w:start w:val="1"/>
      <w:numFmt w:val="bullet"/>
      <w:lvlText w:val="o"/>
      <w:lvlJc w:val="left"/>
      <w:pPr>
        <w:ind w:left="2609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6D84BFFE">
      <w:start w:val="1"/>
      <w:numFmt w:val="bullet"/>
      <w:lvlText w:val="▪"/>
      <w:lvlJc w:val="left"/>
      <w:pPr>
        <w:ind w:left="3329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E604D32C">
      <w:start w:val="1"/>
      <w:numFmt w:val="bullet"/>
      <w:lvlText w:val="•"/>
      <w:lvlJc w:val="left"/>
      <w:pPr>
        <w:ind w:left="4049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BB60F518">
      <w:start w:val="1"/>
      <w:numFmt w:val="bullet"/>
      <w:lvlText w:val="o"/>
      <w:lvlJc w:val="left"/>
      <w:pPr>
        <w:ind w:left="4769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2660B89C">
      <w:start w:val="1"/>
      <w:numFmt w:val="bullet"/>
      <w:lvlText w:val="▪"/>
      <w:lvlJc w:val="left"/>
      <w:pPr>
        <w:ind w:left="5489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B98A6666">
      <w:start w:val="1"/>
      <w:numFmt w:val="bullet"/>
      <w:lvlText w:val="•"/>
      <w:lvlJc w:val="left"/>
      <w:pPr>
        <w:ind w:left="6209"/>
      </w:pPr>
      <w:rPr>
        <w:rFonts w:ascii="Arial" w:hAnsi="Arial" w:eastAsia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C4E89DD8">
      <w:start w:val="1"/>
      <w:numFmt w:val="bullet"/>
      <w:lvlText w:val="o"/>
      <w:lvlJc w:val="left"/>
      <w:pPr>
        <w:ind w:left="6929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D93EA1FA">
      <w:start w:val="1"/>
      <w:numFmt w:val="bullet"/>
      <w:lvlText w:val="▪"/>
      <w:lvlJc w:val="left"/>
      <w:pPr>
        <w:ind w:left="7649"/>
      </w:pPr>
      <w:rPr>
        <w:rFonts w:ascii="Segoe UI Symbol" w:hAnsi="Segoe UI Symbol" w:eastAsia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32">
    <w:abstractNumId w:val="30"/>
  </w:num>
  <w:num w:numId="31">
    <w:abstractNumId w:val="29"/>
  </w:num>
  <w:num w:numId="30">
    <w:abstractNumId w:val="28"/>
  </w: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22">
    <w:abstractNumId w:val="20"/>
  </w:num>
  <w:num w:numId="21">
    <w:abstractNumId w:val="19"/>
  </w:num>
  <w:num w:numId="1" w16cid:durableId="441152011">
    <w:abstractNumId w:val="18"/>
  </w:num>
  <w:num w:numId="2" w16cid:durableId="2004163550">
    <w:abstractNumId w:val="15"/>
  </w:num>
  <w:num w:numId="3" w16cid:durableId="1427773558">
    <w:abstractNumId w:val="0"/>
  </w:num>
  <w:num w:numId="4" w16cid:durableId="2077320364">
    <w:abstractNumId w:val="6"/>
  </w:num>
  <w:num w:numId="5" w16cid:durableId="39018847">
    <w:abstractNumId w:val="16"/>
  </w:num>
  <w:num w:numId="6" w16cid:durableId="1156072856">
    <w:abstractNumId w:val="2"/>
  </w:num>
  <w:num w:numId="7" w16cid:durableId="1160852044">
    <w:abstractNumId w:val="12"/>
  </w:num>
  <w:num w:numId="8" w16cid:durableId="1142576609">
    <w:abstractNumId w:val="9"/>
  </w:num>
  <w:num w:numId="9" w16cid:durableId="1708215193">
    <w:abstractNumId w:val="1"/>
  </w:num>
  <w:num w:numId="10" w16cid:durableId="485443229">
    <w:abstractNumId w:val="1"/>
  </w:num>
  <w:num w:numId="11" w16cid:durableId="1686710172">
    <w:abstractNumId w:val="3"/>
  </w:num>
  <w:num w:numId="12" w16cid:durableId="449015147">
    <w:abstractNumId w:val="4"/>
  </w:num>
  <w:num w:numId="13" w16cid:durableId="392588073">
    <w:abstractNumId w:val="14"/>
  </w:num>
  <w:num w:numId="14" w16cid:durableId="2085640881">
    <w:abstractNumId w:val="10"/>
  </w:num>
  <w:num w:numId="15" w16cid:durableId="1858035665">
    <w:abstractNumId w:val="7"/>
  </w:num>
  <w:num w:numId="16" w16cid:durableId="24448122">
    <w:abstractNumId w:val="13"/>
  </w:num>
  <w:num w:numId="17" w16cid:durableId="2145269655">
    <w:abstractNumId w:val="5"/>
  </w:num>
  <w:num w:numId="18" w16cid:durableId="1195389802">
    <w:abstractNumId w:val="11"/>
  </w:num>
  <w:num w:numId="19" w16cid:durableId="1882594267">
    <w:abstractNumId w:val="17"/>
  </w:num>
  <w:num w:numId="20" w16cid:durableId="10791347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1C6B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E00BE2"/>
    <w:rsid w:val="39CD46F7"/>
    <w:rsid w:val="5EB43CF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mellanarkiv-offentlig.vgregion.se/alfresco/s/archive/stream/public/v1/source/available/SOFIA/SAS9642-738863596-194/SURROGATE/Ven%C3%B6s%20tromboembolism%20(VGR).pdf" TargetMode="External" Id="R1deef6fe48d44951" /><Relationship Type="http://schemas.openxmlformats.org/officeDocument/2006/relationships/hyperlink" Target="https://mellanarkiv-offentlig.vgregion.se/alfresco/s/archive/stream/public/v1/source/available/SOFIA/SAS9642-738863596-194/SURROGATE/Ven%C3%B6s%20tromboembolism%20(VGR).pdf" TargetMode="External" Id="Rb0d04e65a2df4d2b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sn11760-725702066-635/native/Terapir%c3%a5d%20Ven%c3%b6s%20tromboembolism%20och%20antikoagulantiabehandling%20hos%20vuxna%20och%20vid%20graviditet.pdf" TargetMode="External" Id="Rf1df40ae03384803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fd8a75d2649c461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5e4db2-02e8-4985-8794-4660679a9b94}"/>
      </w:docPartPr>
      <w:docPartBody>
        <w:p w14:paraId="67BA99AF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DVT uppföljning - ansvarsfördelning mellan vårdgivare</dc:title>
  <dc:subject/>
  <dc:creator>patrik.jens.johansson@vgregion.se</dc:creator>
  <keywords/>
  <lastModifiedBy>Annika Johansson</lastModifiedBy>
  <revision>3</revision>
  <lastPrinted>2016-03-31T10:56:00.0000000Z</lastPrinted>
  <dcterms:created xsi:type="dcterms:W3CDTF">2022-05-06T03:20:00.0000000Z</dcterms:created>
  <dcterms:modified xsi:type="dcterms:W3CDTF">2024-03-21T13:28:49.0000000Z</dcterms:modified>
</coreProperties>
</file>