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EB873" w14:textId="77777777" w:rsidR="00AC531F" w:rsidRDefault="00AC531F" w:rsidP="00F35B05">
      <w:pPr>
        <w:pStyle w:val="Rubrik2"/>
        <w:sectPr w:rsidR="00AC531F" w:rsidSect="00AC53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F6C96D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AC531F" w:rsidRPr="00AC531F" w14:paraId="3F2AFABD" w14:textId="77777777" w:rsidTr="00043FB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89A3689" w14:textId="5CE194A2" w:rsidR="00AC531F" w:rsidRPr="00AC531F" w:rsidRDefault="00AC531F" w:rsidP="00696C97">
            <w:pPr>
              <w:pStyle w:val="Rubrik1"/>
              <w:ind w:left="0"/>
            </w:pPr>
            <w:r w:rsidRPr="00AC531F">
              <w:t>Endokard</w:t>
            </w:r>
            <w:r w:rsidR="00696C97">
              <w:t>it</w:t>
            </w:r>
            <w:r w:rsidRPr="00AC531F">
              <w:t>profylax</w:t>
            </w:r>
          </w:p>
        </w:tc>
      </w:tr>
    </w:tbl>
    <w:p w14:paraId="6ED08776" w14:textId="77777777" w:rsidR="00AC531F" w:rsidRPr="00AC531F" w:rsidRDefault="00AC531F" w:rsidP="00696C97">
      <w:pPr>
        <w:pStyle w:val="Rubrik2"/>
        <w:ind w:left="0"/>
      </w:pPr>
      <w:r w:rsidRPr="00AC531F">
        <w:t>Indikation</w:t>
      </w:r>
    </w:p>
    <w:p w14:paraId="50E9BC77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31F01226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God tandhygien och förebyggande tandvård är avgörande för att minska risken för endokardit!</w:t>
      </w:r>
    </w:p>
    <w:p w14:paraId="61F50B60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10C25E56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 xml:space="preserve">Evidensläget är svagt för att både rekommendera och att inte rekommendera antibiotikaprofylax mot endokardit i samband med odontologiska ingrepp. För hjärtopererade och hjärtsjuka barn och ungdomar finns inte längre någon rutinmässig indikation för endokarditprofylax vid olika typer av ingrepp såsom tandingrepp, bronkoskopi e t c. </w:t>
      </w:r>
    </w:p>
    <w:p w14:paraId="0BA9B168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0807A40C" w14:textId="77777777" w:rsidR="00AC531F" w:rsidRPr="00AC531F" w:rsidRDefault="00AC531F" w:rsidP="00AC531F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</w:rPr>
      </w:pPr>
      <w:r w:rsidRPr="00AC531F">
        <w:rPr>
          <w:rFonts w:ascii="Arial" w:hAnsi="Arial" w:cs="Arial"/>
          <w:b/>
          <w:sz w:val="22"/>
          <w:szCs w:val="22"/>
        </w:rPr>
        <w:t>Efter individuell bedömning av ansvarig barnkardiolog kan det dock vara indicerat med endokarditprofylax till patienter med högre risk för endokardit:</w:t>
      </w:r>
    </w:p>
    <w:p w14:paraId="282D1BDB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65925C93" w14:textId="77777777" w:rsidR="00AC531F" w:rsidRPr="00AC531F" w:rsidRDefault="00AC531F" w:rsidP="00AC531F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AC531F">
        <w:rPr>
          <w:szCs w:val="20"/>
        </w:rPr>
        <w:t>Tidigare genomgången endokardit</w:t>
      </w:r>
    </w:p>
    <w:p w14:paraId="3AF66033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18D5547B" w14:textId="77777777" w:rsidR="00AC531F" w:rsidRPr="00AC531F" w:rsidRDefault="00AC531F" w:rsidP="00AC531F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AC531F">
        <w:rPr>
          <w:szCs w:val="20"/>
        </w:rPr>
        <w:t>Klaffprotes/plastik med främmande material</w:t>
      </w:r>
    </w:p>
    <w:p w14:paraId="4B169EE4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3DDA711D" w14:textId="77777777" w:rsidR="00AC531F" w:rsidRPr="00AC531F" w:rsidRDefault="00AC531F" w:rsidP="00AC531F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AC531F">
        <w:rPr>
          <w:szCs w:val="20"/>
        </w:rPr>
        <w:t>Icke-korrigerat cyanotiskt hjärtfel</w:t>
      </w:r>
    </w:p>
    <w:p w14:paraId="003228AD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1F4F1EBC" w14:textId="77777777" w:rsidR="00AC531F" w:rsidRPr="00AC531F" w:rsidRDefault="00AC531F" w:rsidP="00AC531F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AC531F">
        <w:rPr>
          <w:szCs w:val="20"/>
        </w:rPr>
        <w:t>Hjärtfel där främmande material använts vid kirurgi/kateterintervention (de närmaste 6 månaderna efter)</w:t>
      </w:r>
    </w:p>
    <w:p w14:paraId="395ADA61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6D78996C" w14:textId="77777777" w:rsidR="00AC531F" w:rsidRPr="00AC531F" w:rsidRDefault="00AC531F" w:rsidP="00AC531F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AC531F">
        <w:rPr>
          <w:szCs w:val="20"/>
        </w:rPr>
        <w:t>Hjärtfel där kvarstående defekt finns i anslutning till främmande material</w:t>
      </w:r>
    </w:p>
    <w:p w14:paraId="46A2AA70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69715B3C" w14:textId="77777777" w:rsidR="00AC531F" w:rsidRPr="00AC531F" w:rsidRDefault="00AC531F" w:rsidP="00AC531F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AC531F">
        <w:rPr>
          <w:szCs w:val="20"/>
        </w:rPr>
        <w:t>Samtidigt gravt nedsatt immunförsvar</w:t>
      </w:r>
    </w:p>
    <w:p w14:paraId="3CC5F0C0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10B1DB6E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Odontologiska ingrepp som är aktuella för denna endokarditprofylax är:</w:t>
      </w:r>
    </w:p>
    <w:p w14:paraId="123BD119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 xml:space="preserve">Tandextraktion, </w:t>
      </w:r>
    </w:p>
    <w:p w14:paraId="1BD16029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 xml:space="preserve">Tandstensskrapning </w:t>
      </w:r>
    </w:p>
    <w:p w14:paraId="4A62C196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proofErr w:type="spellStart"/>
      <w:r w:rsidRPr="00AC531F">
        <w:rPr>
          <w:szCs w:val="20"/>
        </w:rPr>
        <w:t>Dentoalveolär</w:t>
      </w:r>
      <w:proofErr w:type="spellEnd"/>
      <w:r w:rsidRPr="00AC531F">
        <w:rPr>
          <w:szCs w:val="20"/>
        </w:rPr>
        <w:t xml:space="preserve"> kirurgi. </w:t>
      </w:r>
    </w:p>
    <w:p w14:paraId="49A97647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052B5305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Allmänt gäller att det bör gå minst 2, helst 4 veckor mellan det odontologiska ingreppet och hjärtoperationen/kateterinterventionen.</w:t>
      </w:r>
    </w:p>
    <w:p w14:paraId="6A1C9665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505A494D" w14:textId="77777777" w:rsidR="00AC531F" w:rsidRPr="00AC531F" w:rsidRDefault="00AC531F" w:rsidP="00AC531F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AC531F">
        <w:rPr>
          <w:rFonts w:ascii="Arial" w:hAnsi="Arial" w:cs="Arial"/>
          <w:b/>
          <w:szCs w:val="20"/>
        </w:rPr>
        <w:t xml:space="preserve">Endokarditprofylax rekommenderas </w:t>
      </w:r>
      <w:r w:rsidRPr="00AC531F">
        <w:rPr>
          <w:rFonts w:ascii="Arial" w:hAnsi="Arial" w:cs="Arial"/>
          <w:b/>
          <w:szCs w:val="20"/>
          <w:u w:val="single"/>
        </w:rPr>
        <w:t>inte</w:t>
      </w:r>
      <w:r w:rsidRPr="00AC531F">
        <w:rPr>
          <w:rFonts w:ascii="Arial" w:hAnsi="Arial" w:cs="Arial"/>
          <w:b/>
          <w:szCs w:val="20"/>
        </w:rPr>
        <w:t xml:space="preserve"> vid:</w:t>
      </w:r>
    </w:p>
    <w:p w14:paraId="32BB018A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4B36DA8E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Injektion av bedövningsmedel</w:t>
      </w:r>
    </w:p>
    <w:p w14:paraId="126B681C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3D85AA93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Ömsning av mjölktänder</w:t>
      </w:r>
    </w:p>
    <w:p w14:paraId="4BEDB047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78907CB0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Blödning efter trauma mot läpp, munslemhinna</w:t>
      </w:r>
    </w:p>
    <w:p w14:paraId="5A0C7787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</w:p>
    <w:p w14:paraId="2B525F2B" w14:textId="77777777" w:rsidR="00AC531F" w:rsidRPr="00AC531F" w:rsidRDefault="00AC531F" w:rsidP="00AC531F">
      <w:pPr>
        <w:spacing w:after="0" w:line="240" w:lineRule="auto"/>
        <w:ind w:left="0" w:right="0"/>
        <w:rPr>
          <w:szCs w:val="20"/>
        </w:rPr>
      </w:pPr>
      <w:r w:rsidRPr="00AC531F">
        <w:rPr>
          <w:szCs w:val="20"/>
        </w:rPr>
        <w:t>Röntgenundersökning av tänder</w:t>
      </w:r>
    </w:p>
    <w:p w14:paraId="1219C865" w14:textId="77777777" w:rsidR="00AC531F" w:rsidRPr="00AC531F" w:rsidRDefault="00AC531F" w:rsidP="00AC531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02298105" w14:textId="77777777" w:rsidR="00AC531F" w:rsidRPr="00AC531F" w:rsidRDefault="00AC531F" w:rsidP="00AC531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 w:rsidRPr="00AC531F">
        <w:rPr>
          <w:rFonts w:ascii="Arial" w:hAnsi="Arial" w:cs="Arial"/>
          <w:b/>
          <w:sz w:val="28"/>
          <w:szCs w:val="28"/>
        </w:rPr>
        <w:t>Preparatval och dosering</w:t>
      </w:r>
    </w:p>
    <w:p w14:paraId="0D474462" w14:textId="77777777" w:rsidR="00AC531F" w:rsidRPr="00AC531F" w:rsidRDefault="00AC531F" w:rsidP="00AC531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0217137D" w14:textId="77777777" w:rsidR="00AC531F" w:rsidRPr="00AC531F" w:rsidRDefault="00AC531F" w:rsidP="00AC531F">
      <w:pPr>
        <w:spacing w:after="0" w:line="240" w:lineRule="auto"/>
        <w:ind w:left="0" w:right="0"/>
      </w:pPr>
      <w:r w:rsidRPr="00AC531F">
        <w:t xml:space="preserve">Peroral administration som engångsdos 60 minuter före ingreppet: </w:t>
      </w:r>
    </w:p>
    <w:p w14:paraId="4A534923" w14:textId="77777777" w:rsidR="00AC531F" w:rsidRPr="00AC531F" w:rsidRDefault="00AC531F" w:rsidP="00AC531F">
      <w:pPr>
        <w:spacing w:after="0" w:line="240" w:lineRule="auto"/>
        <w:ind w:left="0" w:right="0"/>
      </w:pPr>
    </w:p>
    <w:p w14:paraId="7829B123" w14:textId="77777777" w:rsidR="00AC531F" w:rsidRPr="00AC531F" w:rsidRDefault="00AC531F" w:rsidP="00AC531F">
      <w:pPr>
        <w:spacing w:after="0" w:line="240" w:lineRule="auto"/>
        <w:ind w:left="0" w:right="0"/>
      </w:pPr>
      <w:r w:rsidRPr="00AC531F">
        <w:t>Förstahandsval</w:t>
      </w:r>
    </w:p>
    <w:p w14:paraId="727D8B77" w14:textId="77777777" w:rsidR="00AC531F" w:rsidRPr="00AC531F" w:rsidRDefault="00AC531F" w:rsidP="00AC531F">
      <w:pPr>
        <w:numPr>
          <w:ilvl w:val="0"/>
          <w:numId w:val="20"/>
        </w:numPr>
        <w:spacing w:after="0" w:line="240" w:lineRule="auto"/>
        <w:ind w:right="0"/>
        <w:contextualSpacing/>
      </w:pPr>
      <w:r w:rsidRPr="00AC531F">
        <w:t xml:space="preserve">Vuxna: </w:t>
      </w:r>
      <w:proofErr w:type="spellStart"/>
      <w:r w:rsidRPr="00AC531F">
        <w:t>Amoxicillin</w:t>
      </w:r>
      <w:proofErr w:type="spellEnd"/>
      <w:r w:rsidRPr="00AC531F">
        <w:t xml:space="preserve"> 2 g</w:t>
      </w:r>
    </w:p>
    <w:p w14:paraId="555C48E5" w14:textId="77777777" w:rsidR="00AC531F" w:rsidRPr="00AC531F" w:rsidRDefault="00AC531F" w:rsidP="00AC531F">
      <w:pPr>
        <w:numPr>
          <w:ilvl w:val="0"/>
          <w:numId w:val="20"/>
        </w:numPr>
        <w:spacing w:after="0" w:line="240" w:lineRule="auto"/>
        <w:ind w:right="0"/>
        <w:contextualSpacing/>
      </w:pPr>
      <w:r w:rsidRPr="00AC531F">
        <w:t xml:space="preserve">Barn: </w:t>
      </w:r>
      <w:proofErr w:type="spellStart"/>
      <w:r w:rsidRPr="00AC531F">
        <w:t>Amoxicillin</w:t>
      </w:r>
      <w:proofErr w:type="spellEnd"/>
      <w:r w:rsidRPr="00AC531F">
        <w:t xml:space="preserve"> 50 mg/kg</w:t>
      </w:r>
    </w:p>
    <w:p w14:paraId="50654BFD" w14:textId="77777777" w:rsidR="00AC531F" w:rsidRPr="00AC531F" w:rsidRDefault="00AC531F" w:rsidP="00AC531F">
      <w:pPr>
        <w:spacing w:after="0" w:line="240" w:lineRule="auto"/>
        <w:ind w:left="0" w:right="0"/>
      </w:pPr>
    </w:p>
    <w:p w14:paraId="5920F7BC" w14:textId="77777777" w:rsidR="00AC531F" w:rsidRPr="00AC531F" w:rsidRDefault="00AC531F" w:rsidP="00AC531F">
      <w:pPr>
        <w:spacing w:after="0" w:line="240" w:lineRule="auto"/>
        <w:ind w:left="0" w:right="0"/>
      </w:pPr>
      <w:r w:rsidRPr="00AC531F">
        <w:t>Vid dokumenterad penicillinallergi</w:t>
      </w:r>
    </w:p>
    <w:p w14:paraId="60CCC46E" w14:textId="77777777" w:rsidR="00AC531F" w:rsidRPr="00AC531F" w:rsidRDefault="00AC531F" w:rsidP="00AC531F">
      <w:pPr>
        <w:numPr>
          <w:ilvl w:val="0"/>
          <w:numId w:val="21"/>
        </w:numPr>
        <w:spacing w:after="0" w:line="240" w:lineRule="auto"/>
        <w:ind w:right="0"/>
        <w:contextualSpacing/>
      </w:pPr>
      <w:r w:rsidRPr="00AC531F">
        <w:t xml:space="preserve">Vuxna: </w:t>
      </w:r>
      <w:proofErr w:type="spellStart"/>
      <w:r w:rsidRPr="00AC531F">
        <w:t>Klindamycin</w:t>
      </w:r>
      <w:proofErr w:type="spellEnd"/>
      <w:r w:rsidRPr="00AC531F">
        <w:t xml:space="preserve"> 600 mg</w:t>
      </w:r>
    </w:p>
    <w:p w14:paraId="2A98A7B3" w14:textId="77777777" w:rsidR="00AC531F" w:rsidRPr="00AC531F" w:rsidRDefault="00AC531F" w:rsidP="00AC531F">
      <w:pPr>
        <w:numPr>
          <w:ilvl w:val="0"/>
          <w:numId w:val="21"/>
        </w:numPr>
        <w:spacing w:after="0" w:line="240" w:lineRule="auto"/>
        <w:ind w:right="0"/>
        <w:contextualSpacing/>
      </w:pPr>
      <w:r w:rsidRPr="00AC531F">
        <w:t xml:space="preserve">Barn: </w:t>
      </w:r>
      <w:proofErr w:type="spellStart"/>
      <w:r w:rsidRPr="00AC531F">
        <w:t>Klindamycin</w:t>
      </w:r>
      <w:proofErr w:type="spellEnd"/>
      <w:r w:rsidRPr="00AC531F">
        <w:t xml:space="preserve"> 15 mg/kg</w:t>
      </w:r>
    </w:p>
    <w:p w14:paraId="3D663B8B" w14:textId="77777777" w:rsidR="00AC531F" w:rsidRPr="00AC531F" w:rsidRDefault="00AC531F" w:rsidP="00AC531F">
      <w:pPr>
        <w:spacing w:after="0" w:line="240" w:lineRule="auto"/>
        <w:ind w:left="0" w:right="0"/>
      </w:pPr>
    </w:p>
    <w:p w14:paraId="16072235" w14:textId="77777777" w:rsidR="00AC531F" w:rsidRPr="00AC531F" w:rsidRDefault="00AC531F" w:rsidP="00AC531F">
      <w:pPr>
        <w:spacing w:after="0" w:line="240" w:lineRule="auto"/>
        <w:ind w:left="0" w:right="0"/>
      </w:pPr>
    </w:p>
    <w:p w14:paraId="2AB81582" w14:textId="77777777" w:rsidR="00AC531F" w:rsidRPr="00AC531F" w:rsidRDefault="00AC531F" w:rsidP="00AC531F">
      <w:pPr>
        <w:spacing w:after="0" w:line="240" w:lineRule="auto"/>
        <w:ind w:left="0" w:right="0"/>
      </w:pPr>
    </w:p>
    <w:p w14:paraId="731DF64A" w14:textId="77777777" w:rsidR="00AC531F" w:rsidRPr="00AC531F" w:rsidRDefault="00AC531F" w:rsidP="00AC531F">
      <w:pPr>
        <w:spacing w:after="0" w:line="240" w:lineRule="auto"/>
        <w:ind w:left="0" w:right="0"/>
      </w:pPr>
    </w:p>
    <w:p w14:paraId="5F7E5B75" w14:textId="77777777" w:rsidR="00AC531F" w:rsidRPr="00AC531F" w:rsidRDefault="00AC531F" w:rsidP="00AC531F">
      <w:pPr>
        <w:spacing w:after="0" w:line="240" w:lineRule="auto"/>
        <w:ind w:left="0" w:right="0"/>
      </w:pPr>
    </w:p>
    <w:p w14:paraId="0D878AF9" w14:textId="77777777" w:rsidR="00AC531F" w:rsidRPr="00AC531F" w:rsidRDefault="00AC531F" w:rsidP="00AC531F">
      <w:pPr>
        <w:spacing w:after="0" w:line="240" w:lineRule="auto"/>
        <w:ind w:left="0" w:right="0"/>
      </w:pPr>
    </w:p>
    <w:p w14:paraId="23EB226A" w14:textId="77777777" w:rsidR="00AC531F" w:rsidRDefault="00AC531F" w:rsidP="00AC531F">
      <w:pPr>
        <w:spacing w:after="0" w:line="240" w:lineRule="auto"/>
        <w:ind w:left="0" w:right="0"/>
      </w:pPr>
    </w:p>
    <w:p w14:paraId="5533AD42" w14:textId="77777777" w:rsidR="002076FC" w:rsidRDefault="002076FC" w:rsidP="00AC531F">
      <w:pPr>
        <w:spacing w:after="0" w:line="240" w:lineRule="auto"/>
        <w:ind w:left="0" w:right="0"/>
      </w:pPr>
    </w:p>
    <w:p w14:paraId="713EA7CD" w14:textId="77777777" w:rsidR="002076FC" w:rsidRDefault="002076FC" w:rsidP="00AC531F">
      <w:pPr>
        <w:spacing w:after="0" w:line="240" w:lineRule="auto"/>
        <w:ind w:left="0" w:right="0"/>
      </w:pPr>
    </w:p>
    <w:p w14:paraId="3CA96C06" w14:textId="77777777" w:rsidR="002076FC" w:rsidRDefault="002076FC" w:rsidP="00AC531F">
      <w:pPr>
        <w:spacing w:after="0" w:line="240" w:lineRule="auto"/>
        <w:ind w:left="0" w:right="0"/>
      </w:pPr>
    </w:p>
    <w:p w14:paraId="4492EEE0" w14:textId="77777777" w:rsidR="002076FC" w:rsidRDefault="002076FC" w:rsidP="00AC531F">
      <w:pPr>
        <w:spacing w:after="0" w:line="240" w:lineRule="auto"/>
        <w:ind w:left="0" w:right="0"/>
      </w:pPr>
    </w:p>
    <w:p w14:paraId="4109769C" w14:textId="77777777" w:rsidR="002076FC" w:rsidRDefault="002076FC" w:rsidP="00AC531F">
      <w:pPr>
        <w:spacing w:after="0" w:line="240" w:lineRule="auto"/>
        <w:ind w:left="0" w:right="0"/>
      </w:pPr>
    </w:p>
    <w:p w14:paraId="6FEF7A0F" w14:textId="77777777" w:rsidR="002076FC" w:rsidRDefault="002076FC" w:rsidP="00AC531F">
      <w:pPr>
        <w:spacing w:after="0" w:line="240" w:lineRule="auto"/>
        <w:ind w:left="0" w:right="0"/>
      </w:pPr>
    </w:p>
    <w:p w14:paraId="676AB946" w14:textId="77777777" w:rsidR="002076FC" w:rsidRDefault="002076FC" w:rsidP="00AC531F">
      <w:pPr>
        <w:spacing w:after="0" w:line="240" w:lineRule="auto"/>
        <w:ind w:left="0" w:right="0"/>
      </w:pPr>
    </w:p>
    <w:p w14:paraId="7262709E" w14:textId="77777777" w:rsidR="002076FC" w:rsidRDefault="002076FC" w:rsidP="00AC531F">
      <w:pPr>
        <w:spacing w:after="0" w:line="240" w:lineRule="auto"/>
        <w:ind w:left="0" w:right="0"/>
      </w:pPr>
    </w:p>
    <w:p w14:paraId="736122A9" w14:textId="77777777" w:rsidR="002076FC" w:rsidRDefault="002076FC" w:rsidP="00AC531F">
      <w:pPr>
        <w:spacing w:after="0" w:line="240" w:lineRule="auto"/>
        <w:ind w:left="0" w:right="0"/>
      </w:pPr>
    </w:p>
    <w:p w14:paraId="51ABD054" w14:textId="77777777" w:rsidR="002076FC" w:rsidRDefault="002076FC" w:rsidP="00AC531F">
      <w:pPr>
        <w:spacing w:after="0" w:line="240" w:lineRule="auto"/>
        <w:ind w:left="0" w:right="0"/>
      </w:pPr>
    </w:p>
    <w:p w14:paraId="63BBE5BA" w14:textId="77777777" w:rsidR="002076FC" w:rsidRDefault="002076FC" w:rsidP="00AC531F">
      <w:pPr>
        <w:spacing w:after="0" w:line="240" w:lineRule="auto"/>
        <w:ind w:left="0" w:right="0"/>
      </w:pPr>
    </w:p>
    <w:p w14:paraId="68FDACE5" w14:textId="77777777" w:rsidR="002076FC" w:rsidRDefault="002076FC" w:rsidP="00AC531F">
      <w:pPr>
        <w:spacing w:after="0" w:line="240" w:lineRule="auto"/>
        <w:ind w:left="0" w:right="0"/>
      </w:pPr>
    </w:p>
    <w:p w14:paraId="0C636E67" w14:textId="77777777" w:rsidR="002076FC" w:rsidRDefault="002076FC" w:rsidP="00AC531F">
      <w:pPr>
        <w:spacing w:after="0" w:line="240" w:lineRule="auto"/>
        <w:ind w:left="0" w:right="0"/>
      </w:pPr>
    </w:p>
    <w:p w14:paraId="54DAA4F3" w14:textId="77777777" w:rsidR="002076FC" w:rsidRDefault="002076FC" w:rsidP="00AC531F">
      <w:pPr>
        <w:spacing w:after="0" w:line="240" w:lineRule="auto"/>
        <w:ind w:left="0" w:right="0"/>
      </w:pPr>
    </w:p>
    <w:p w14:paraId="34EA3042" w14:textId="77777777" w:rsidR="002076FC" w:rsidRDefault="002076FC" w:rsidP="00AC531F">
      <w:pPr>
        <w:spacing w:after="0" w:line="240" w:lineRule="auto"/>
        <w:ind w:left="0" w:right="0"/>
      </w:pPr>
    </w:p>
    <w:p w14:paraId="129BCA4F" w14:textId="77777777" w:rsidR="002076FC" w:rsidRDefault="002076FC" w:rsidP="00AC531F">
      <w:pPr>
        <w:spacing w:after="0" w:line="240" w:lineRule="auto"/>
        <w:ind w:left="0" w:right="0"/>
      </w:pPr>
    </w:p>
    <w:p w14:paraId="0E93F994" w14:textId="77777777" w:rsidR="00AC531F" w:rsidRPr="00AC531F" w:rsidRDefault="00AC531F" w:rsidP="00AC531F">
      <w:pPr>
        <w:spacing w:after="0" w:line="240" w:lineRule="auto"/>
        <w:ind w:left="0" w:right="0"/>
      </w:pPr>
    </w:p>
    <w:p w14:paraId="28A2D046" w14:textId="77777777" w:rsidR="0084676F" w:rsidRDefault="0084676F" w:rsidP="00AC531F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310CDFD7" w14:textId="77777777" w:rsidR="0084676F" w:rsidRDefault="0084676F" w:rsidP="00AC531F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0DA3D2CF" w14:textId="77777777" w:rsidR="0084676F" w:rsidRDefault="0084676F" w:rsidP="00AC531F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4CA39CC9" w14:textId="77777777" w:rsidR="0084676F" w:rsidRDefault="0084676F" w:rsidP="00AC531F">
      <w:pPr>
        <w:spacing w:after="0" w:line="240" w:lineRule="auto"/>
        <w:ind w:left="0" w:right="0"/>
        <w:rPr>
          <w:rFonts w:ascii="Arial" w:hAnsi="Arial" w:cs="Arial"/>
          <w:b/>
        </w:rPr>
      </w:pPr>
    </w:p>
    <w:p w14:paraId="5DDA57AA" w14:textId="60DB0033" w:rsidR="00AC531F" w:rsidRPr="00AC531F" w:rsidRDefault="00AC531F" w:rsidP="00AC531F">
      <w:pPr>
        <w:spacing w:after="0" w:line="240" w:lineRule="auto"/>
        <w:ind w:left="0" w:right="0"/>
        <w:rPr>
          <w:rFonts w:ascii="Arial" w:hAnsi="Arial" w:cs="Arial"/>
          <w:b/>
        </w:rPr>
      </w:pPr>
      <w:r w:rsidRPr="00AC531F">
        <w:rPr>
          <w:rFonts w:ascii="Arial" w:hAnsi="Arial" w:cs="Arial"/>
          <w:b/>
        </w:rPr>
        <w:lastRenderedPageBreak/>
        <w:t>Referenser:</w:t>
      </w:r>
    </w:p>
    <w:p w14:paraId="1C61F7BE" w14:textId="77777777" w:rsidR="00AC531F" w:rsidRPr="00AC531F" w:rsidRDefault="00AC531F" w:rsidP="00AC531F">
      <w:pPr>
        <w:spacing w:after="0" w:line="240" w:lineRule="auto"/>
        <w:ind w:left="0" w:right="0"/>
      </w:pPr>
    </w:p>
    <w:p w14:paraId="7569E579" w14:textId="77777777" w:rsidR="00AC531F" w:rsidRPr="00AC531F" w:rsidRDefault="00AC531F" w:rsidP="00AC531F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AC531F">
        <w:rPr>
          <w:color w:val="000000"/>
        </w:rPr>
        <w:t>Indikationer för antibiotikaprofylax i tandvården – ny rekommendation. Läkemedelsverket 5:2012</w:t>
      </w:r>
    </w:p>
    <w:p w14:paraId="7A954EA9" w14:textId="77777777" w:rsidR="00AC531F" w:rsidRPr="00AC531F" w:rsidRDefault="00AC531F" w:rsidP="00AC531F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AC531F">
        <w:rPr>
          <w:color w:val="000000"/>
        </w:rPr>
        <w:t xml:space="preserve"> http://sbkf.barnlakarforeningen.se/wp-content/uploads/sites/17/2017/02/LMV-Antibiotikaprofylax-i-tandvården-enl-2012-rek.pdf </w:t>
      </w:r>
    </w:p>
    <w:p w14:paraId="4CF7A567" w14:textId="77777777" w:rsidR="00AC531F" w:rsidRPr="00AC531F" w:rsidRDefault="00AC531F" w:rsidP="00AC531F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AC531F">
        <w:rPr>
          <w:color w:val="000000"/>
        </w:rPr>
        <w:t xml:space="preserve">Antibiotikaprofylax för att förebygga endokardit i samband med odontologiska ingrepp. Läkemedelsverket/Nyheter 3 mars 2016 </w:t>
      </w:r>
    </w:p>
    <w:p w14:paraId="53912B92" w14:textId="77777777" w:rsidR="00AC531F" w:rsidRPr="00AC531F" w:rsidRDefault="00AC531F" w:rsidP="00AC531F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AC531F">
        <w:rPr>
          <w:color w:val="000000"/>
        </w:rPr>
        <w:t xml:space="preserve">https://lakemedelsverket.se/Alla-nyheter/NYHETER-2016/Antibiotikaprofylax-for-att-forebygga-endokardit-i-samband-med-odontologiska-ingrepp/ </w:t>
      </w:r>
    </w:p>
    <w:p w14:paraId="03416100" w14:textId="77777777" w:rsidR="00AC531F" w:rsidRPr="00AC531F" w:rsidRDefault="00AC531F" w:rsidP="00AC531F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AC531F">
        <w:rPr>
          <w:color w:val="000000"/>
        </w:rPr>
        <w:t>https://sbkf.barnlakarforeningen.se/wp-content/uploads/sites/17/2020/01/Endokarditprofylax.pdf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531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2B6DBD"/>
    <w:multiLevelType w:val="hybridMultilevel"/>
    <w:tmpl w:val="76C61E86"/>
    <w:lvl w:ilvl="0" w:tplc="036801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5F4CD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C633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06B4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9A96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C060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CC6D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1C25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A631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A2E13AE"/>
    <w:multiLevelType w:val="hybridMultilevel"/>
    <w:tmpl w:val="4896F698"/>
    <w:lvl w:ilvl="0" w:tplc="BB7C18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D07F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B1CEE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8C7C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583C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2654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DE36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30B9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EEAB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D0915A6"/>
    <w:multiLevelType w:val="hybridMultilevel"/>
    <w:tmpl w:val="919471A4"/>
    <w:lvl w:ilvl="0" w:tplc="2F3C79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48E2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A239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5015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54A7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A81C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7497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3621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E2AE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3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8"/>
  </w:num>
  <w:num w:numId="20">
    <w:abstractNumId w:val="19"/>
  </w:num>
  <w:num w:numId="21">
    <w:abstractNumId w:val="17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28C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6F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C9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76F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31F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223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Endokarditprofylax</dc:title>
  <dc:subject/>
  <dc:creator>patrik.jens.johansson@vgregion.se</dc:creator>
  <keywords/>
  <lastModifiedBy>Lena Halvdansson</lastModifiedBy>
  <revision>6</revision>
  <lastPrinted>2016-03-31T10:56:00.0000000Z</lastPrinted>
  <dcterms:created xsi:type="dcterms:W3CDTF">2022-05-16T03:52:00.0000000Z</dcterms:created>
  <dcterms:modified xsi:type="dcterms:W3CDTF">2022-09-16T10:08:00.0000000Z</dcterms:modified>
</coreProperties>
</file>