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CB44B5" w14:textId="77777777" w:rsidR="00C86626" w:rsidRDefault="00C86626" w:rsidP="00F35B05">
      <w:pPr>
        <w:pStyle w:val="Heading2"/>
        <w:sectPr w:rsidR="00C86626" w:rsidSect="00C8662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2EA5104" w14:textId="77777777" w:rsidR="00C86626" w:rsidRPr="00C86626" w:rsidRDefault="00C86626" w:rsidP="00C86626">
      <w:pPr>
        <w:spacing w:after="0" w:line="240" w:lineRule="auto"/>
        <w:ind w:left="0" w:right="0"/>
        <w:rPr>
          <w:szCs w:val="20"/>
        </w:rPr>
      </w:pPr>
    </w:p>
    <w:p w14:paraId="1232C459" w14:textId="77777777" w:rsidR="00C86626" w:rsidRPr="00C86626" w:rsidRDefault="00C86626" w:rsidP="00C86626">
      <w:pPr>
        <w:spacing w:after="0" w:line="240" w:lineRule="auto"/>
        <w:ind w:left="0" w:right="0"/>
        <w:rPr>
          <w:szCs w:val="20"/>
        </w:rPr>
      </w:pPr>
    </w:p>
    <w:p w14:paraId="40A33F28" w14:textId="77777777" w:rsidR="00C86626" w:rsidRPr="00C86626" w:rsidRDefault="00C86626" w:rsidP="00C8662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86626">
        <w:rPr>
          <w:szCs w:val="20"/>
        </w:rPr>
        <w:tab/>
      </w:r>
    </w:p>
    <w:p w14:paraId="51BABD8B" w14:textId="0564B496" w:rsidR="00C86626" w:rsidRPr="00C86626" w:rsidRDefault="00C86626" w:rsidP="00C86626">
      <w:pPr>
        <w:spacing w:after="0" w:line="240" w:lineRule="auto"/>
        <w:ind w:left="0" w:right="-568"/>
        <w:rPr>
          <w:szCs w:val="20"/>
        </w:rPr>
      </w:pPr>
      <w:r w:rsidRPr="00C8662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3FFCD0" wp14:editId="275F12E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D27D64" w14:textId="77777777" w:rsidR="00C86626" w:rsidRPr="003D37FD" w:rsidRDefault="00C86626" w:rsidP="00C8662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29938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63FFCD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FD27D64" w14:textId="77777777" w:rsidR="00C86626" w:rsidRPr="003D37FD" w:rsidRDefault="00C86626" w:rsidP="00C8662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29938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86626" w:rsidRPr="00C86626" w14:paraId="02A1CC4C" w14:textId="77777777" w:rsidTr="00584C7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4065970" w14:textId="77777777" w:rsidR="00C86626" w:rsidRPr="00C86626" w:rsidRDefault="00C86626" w:rsidP="00C86626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C86626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RSV-profylax</w:t>
            </w:r>
          </w:p>
        </w:tc>
      </w:tr>
    </w:tbl>
    <w:p w14:paraId="14273257" w14:textId="77777777" w:rsidR="00C86626" w:rsidRPr="00C86626" w:rsidRDefault="00C86626" w:rsidP="00C86626">
      <w:pPr>
        <w:keepNext/>
        <w:spacing w:before="240" w:after="60" w:line="240" w:lineRule="auto"/>
        <w:ind w:left="0" w:right="1161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p w14:paraId="3EC2E5F6" w14:textId="77777777" w:rsidR="00C86626" w:rsidRPr="00C86626" w:rsidRDefault="00C86626" w:rsidP="00C86626">
      <w:pPr>
        <w:spacing w:after="0" w:line="240" w:lineRule="auto"/>
        <w:ind w:left="0" w:right="0"/>
        <w:rPr>
          <w:szCs w:val="20"/>
        </w:rPr>
      </w:pPr>
    </w:p>
    <w:p w14:paraId="55FCDB3E" w14:textId="77777777" w:rsidR="00C86626" w:rsidRPr="00C86626" w:rsidRDefault="00C86626" w:rsidP="00C86626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C86626">
        <w:rPr>
          <w:rFonts w:ascii="Arial Fet" w:hAnsi="Arial Fet" w:cs="Arial"/>
          <w:b/>
          <w:bCs/>
          <w:iCs/>
          <w:sz w:val="28"/>
          <w:szCs w:val="28"/>
        </w:rPr>
        <w:t>Åtgärder</w:t>
      </w:r>
    </w:p>
    <w:p w14:paraId="6073C14C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  <w:sz w:val="28"/>
          <w:szCs w:val="28"/>
        </w:rPr>
      </w:pPr>
      <w:r w:rsidRPr="00C86626">
        <w:rPr>
          <w:rFonts w:ascii="Calibri Light" w:hAnsi="Calibri Light"/>
          <w:sz w:val="28"/>
          <w:szCs w:val="28"/>
        </w:rPr>
        <w:t>RSV-profylax med Synagis (palivizumab)</w:t>
      </w:r>
    </w:p>
    <w:p w14:paraId="53CB7067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  <w:b/>
        </w:rPr>
      </w:pPr>
    </w:p>
    <w:p w14:paraId="3EA3F98F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  <w:r w:rsidRPr="00C86626">
        <w:rPr>
          <w:rFonts w:ascii="Calibri Light" w:hAnsi="Calibri Light"/>
          <w:b/>
        </w:rPr>
        <w:t>Indikationer</w:t>
      </w:r>
      <w:r w:rsidRPr="00C86626">
        <w:rPr>
          <w:rFonts w:ascii="Calibri Light" w:hAnsi="Calibri Light"/>
        </w:rPr>
        <w:t xml:space="preserve"> för profylax</w:t>
      </w:r>
    </w:p>
    <w:p w14:paraId="33A9AA22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</w:p>
    <w:p w14:paraId="0EF0A343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  <w:b/>
        </w:rPr>
      </w:pPr>
      <w:r w:rsidRPr="00C86626">
        <w:rPr>
          <w:rFonts w:ascii="Calibri Light" w:hAnsi="Calibri Light"/>
          <w:b/>
        </w:rPr>
        <w:t>Prematuritet och/eller BPD</w:t>
      </w:r>
    </w:p>
    <w:p w14:paraId="40B3EAB3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</w:p>
    <w:p w14:paraId="513FB90E" w14:textId="77777777" w:rsidR="00C86626" w:rsidRPr="00C86626" w:rsidRDefault="00C86626" w:rsidP="00C86626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 Light" w:eastAsia="Calibri" w:hAnsi="Calibri Light"/>
          <w:lang w:eastAsia="en-US"/>
        </w:rPr>
      </w:pPr>
      <w:r w:rsidRPr="00C86626">
        <w:rPr>
          <w:rFonts w:ascii="Calibri Light" w:eastAsia="Calibri" w:hAnsi="Calibri Light"/>
          <w:lang w:eastAsia="en-US"/>
        </w:rPr>
        <w:t>Barn födda före v 26+0 och yngre än 6 månader kronologisk ålder vid start av RSV-säsong.</w:t>
      </w:r>
    </w:p>
    <w:p w14:paraId="14AB3ABC" w14:textId="77777777" w:rsidR="00C86626" w:rsidRPr="00C86626" w:rsidRDefault="00C86626" w:rsidP="00C86626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 Light" w:eastAsia="Calibri" w:hAnsi="Calibri Light"/>
          <w:lang w:eastAsia="en-US"/>
        </w:rPr>
      </w:pPr>
      <w:r w:rsidRPr="00C86626">
        <w:rPr>
          <w:rFonts w:ascii="Calibri Light" w:eastAsia="Calibri" w:hAnsi="Calibri Light"/>
          <w:lang w:eastAsia="en-US"/>
        </w:rPr>
        <w:t>Barn &lt; 12 mån kronologisk ålder med måttlig eller svår BPD med syrgasbehandling som pågår eller har avslutats under de senaste 6 månaderna före RSV-säsongens start.</w:t>
      </w:r>
    </w:p>
    <w:p w14:paraId="07F90050" w14:textId="77777777" w:rsidR="00C86626" w:rsidRPr="00C86626" w:rsidRDefault="00C86626" w:rsidP="00C86626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 Light" w:eastAsia="Calibri" w:hAnsi="Calibri Light"/>
          <w:lang w:eastAsia="en-US"/>
        </w:rPr>
      </w:pPr>
      <w:r w:rsidRPr="00C86626">
        <w:rPr>
          <w:rFonts w:ascii="Calibri Light" w:eastAsia="Calibri" w:hAnsi="Calibri Light"/>
          <w:lang w:eastAsia="en-US"/>
        </w:rPr>
        <w:t xml:space="preserve">Profylax kan </w:t>
      </w:r>
      <w:r w:rsidRPr="00C86626">
        <w:rPr>
          <w:rFonts w:ascii="Calibri Light" w:eastAsia="Calibri" w:hAnsi="Calibri Light"/>
          <w:i/>
          <w:lang w:eastAsia="en-US"/>
        </w:rPr>
        <w:t>övervägas</w:t>
      </w:r>
      <w:r w:rsidRPr="00C86626">
        <w:rPr>
          <w:rFonts w:ascii="Calibri Light" w:eastAsia="Calibri" w:hAnsi="Calibri Light"/>
          <w:lang w:eastAsia="en-US"/>
        </w:rPr>
        <w:t xml:space="preserve"> till barn 12-24 mån gamla med svår BPD och kvarstående syrgasbehov.</w:t>
      </w:r>
    </w:p>
    <w:p w14:paraId="768DB182" w14:textId="77777777" w:rsidR="00C86626" w:rsidRPr="00C86626" w:rsidRDefault="00C86626" w:rsidP="00C86626">
      <w:pPr>
        <w:spacing w:after="160" w:line="259" w:lineRule="auto"/>
        <w:ind w:left="720" w:right="0"/>
        <w:contextualSpacing/>
        <w:rPr>
          <w:rFonts w:ascii="Calibri Light" w:eastAsia="Calibri" w:hAnsi="Calibri Light"/>
          <w:lang w:eastAsia="en-US"/>
        </w:rPr>
      </w:pPr>
    </w:p>
    <w:p w14:paraId="34DFCE20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  <w:b/>
        </w:rPr>
      </w:pPr>
      <w:r w:rsidRPr="00C86626">
        <w:rPr>
          <w:rFonts w:ascii="Calibri Light" w:hAnsi="Calibri Light"/>
          <w:b/>
        </w:rPr>
        <w:t>Svår lungsjukdom förutom BPD</w:t>
      </w:r>
    </w:p>
    <w:p w14:paraId="08F36BE2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  <w:r w:rsidRPr="00C86626">
        <w:rPr>
          <w:rFonts w:ascii="Calibri Light" w:hAnsi="Calibri Light"/>
        </w:rPr>
        <w:t xml:space="preserve">Profylax kan </w:t>
      </w:r>
      <w:r w:rsidRPr="00C86626">
        <w:rPr>
          <w:rFonts w:ascii="Calibri Light" w:hAnsi="Calibri Light"/>
          <w:i/>
        </w:rPr>
        <w:t>övervägas</w:t>
      </w:r>
      <w:r w:rsidRPr="00C86626">
        <w:rPr>
          <w:rFonts w:ascii="Calibri Light" w:hAnsi="Calibri Light"/>
        </w:rPr>
        <w:t xml:space="preserve"> till barn &lt; 12 mån efter omfattande kirurgi i thorax (pga t ex oesophagusatresi, diaphragmabråck, missbildningar i luftvägarna). Profylax kan även </w:t>
      </w:r>
      <w:r w:rsidRPr="00C86626">
        <w:rPr>
          <w:rFonts w:ascii="Calibri Light" w:hAnsi="Calibri Light"/>
          <w:i/>
        </w:rPr>
        <w:t>övervägas</w:t>
      </w:r>
      <w:r w:rsidRPr="00C86626">
        <w:rPr>
          <w:rFonts w:ascii="Calibri Light" w:hAnsi="Calibri Light"/>
        </w:rPr>
        <w:t xml:space="preserve"> till barn upp till 2 års ålder med kronisk respiratorisk insufficiens med behov av syrgasbehandling och/eller mekaniskt andningsstöd i hemmet.</w:t>
      </w:r>
    </w:p>
    <w:p w14:paraId="7D7E70CC" w14:textId="77777777" w:rsidR="00C86626" w:rsidRPr="00C86626" w:rsidRDefault="00C86626" w:rsidP="00C86626">
      <w:pPr>
        <w:spacing w:after="160" w:line="259" w:lineRule="auto"/>
        <w:ind w:left="720" w:right="0"/>
        <w:contextualSpacing/>
        <w:rPr>
          <w:rFonts w:ascii="Calibri Light" w:eastAsia="Calibri" w:hAnsi="Calibri Light"/>
          <w:lang w:eastAsia="en-US"/>
        </w:rPr>
      </w:pPr>
    </w:p>
    <w:p w14:paraId="76BA4F0C" w14:textId="77777777" w:rsidR="00C86626" w:rsidRPr="00C86626" w:rsidRDefault="00C86626" w:rsidP="00C86626">
      <w:pPr>
        <w:spacing w:after="160" w:line="259" w:lineRule="auto"/>
        <w:ind w:left="0" w:right="0"/>
        <w:contextualSpacing/>
        <w:rPr>
          <w:rFonts w:ascii="Calibri Light" w:eastAsia="Calibri" w:hAnsi="Calibri Light"/>
          <w:b/>
          <w:lang w:eastAsia="en-US"/>
        </w:rPr>
      </w:pPr>
      <w:r w:rsidRPr="00C86626">
        <w:rPr>
          <w:rFonts w:ascii="Calibri Light" w:eastAsia="Calibri" w:hAnsi="Calibri Light"/>
          <w:b/>
          <w:lang w:eastAsia="en-US"/>
        </w:rPr>
        <w:t>Hjärtsjukdom</w:t>
      </w:r>
    </w:p>
    <w:p w14:paraId="647772D2" w14:textId="77777777" w:rsidR="00C86626" w:rsidRPr="00C86626" w:rsidRDefault="00C86626" w:rsidP="00C86626">
      <w:pPr>
        <w:spacing w:after="160" w:line="259" w:lineRule="auto"/>
        <w:ind w:left="0" w:right="0"/>
        <w:contextualSpacing/>
        <w:rPr>
          <w:rFonts w:ascii="Calibri Light" w:eastAsia="Calibri" w:hAnsi="Calibri Light"/>
          <w:lang w:eastAsia="en-US"/>
        </w:rPr>
      </w:pPr>
    </w:p>
    <w:p w14:paraId="557CDF0B" w14:textId="77777777" w:rsidR="00C86626" w:rsidRPr="00C86626" w:rsidRDefault="00C86626" w:rsidP="00C86626">
      <w:pPr>
        <w:spacing w:after="160" w:line="259" w:lineRule="auto"/>
        <w:ind w:left="0" w:right="0"/>
        <w:contextualSpacing/>
        <w:rPr>
          <w:rFonts w:ascii="Calibri Light" w:eastAsia="Calibri" w:hAnsi="Calibri Light"/>
          <w:lang w:eastAsia="en-US"/>
        </w:rPr>
      </w:pPr>
      <w:r w:rsidRPr="00C86626">
        <w:rPr>
          <w:rFonts w:ascii="Calibri Light" w:eastAsia="Calibri" w:hAnsi="Calibri Light"/>
          <w:lang w:eastAsia="en-US"/>
        </w:rPr>
        <w:t>Barn &lt; 12 mån ålder:</w:t>
      </w:r>
    </w:p>
    <w:p w14:paraId="32859365" w14:textId="77777777" w:rsidR="00C86626" w:rsidRPr="00C86626" w:rsidRDefault="00C86626" w:rsidP="00C86626">
      <w:pPr>
        <w:spacing w:after="160" w:line="259" w:lineRule="auto"/>
        <w:ind w:left="0" w:right="0"/>
        <w:contextualSpacing/>
        <w:rPr>
          <w:rFonts w:ascii="Calibri Light" w:eastAsia="Calibri" w:hAnsi="Calibri Light"/>
          <w:lang w:eastAsia="en-US"/>
        </w:rPr>
      </w:pPr>
    </w:p>
    <w:p w14:paraId="497460D5" w14:textId="77777777" w:rsidR="00C86626" w:rsidRPr="00C86626" w:rsidRDefault="00C86626" w:rsidP="00C86626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 Light" w:eastAsia="Calibri" w:hAnsi="Calibri Light"/>
          <w:lang w:eastAsia="en-US"/>
        </w:rPr>
      </w:pPr>
      <w:r w:rsidRPr="00C86626">
        <w:rPr>
          <w:rFonts w:ascii="Calibri Light" w:eastAsia="Calibri" w:hAnsi="Calibri Light"/>
          <w:lang w:eastAsia="en-US"/>
        </w:rPr>
        <w:lastRenderedPageBreak/>
        <w:t>Hemodynamiskt signifikant hjärtfel, t ex cyanotiska hjärtfel såsom icke korrigerad Fallots tetrad och de som har eller under säsongen förväntas utveckla en behandlingskrävande hjärtsvikt.</w:t>
      </w:r>
    </w:p>
    <w:p w14:paraId="10B3AEBD" w14:textId="77777777" w:rsidR="00C86626" w:rsidRPr="00C86626" w:rsidRDefault="00C86626" w:rsidP="00C86626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 Light" w:eastAsia="Calibri" w:hAnsi="Calibri Light"/>
          <w:lang w:eastAsia="en-US"/>
        </w:rPr>
      </w:pPr>
      <w:r w:rsidRPr="00C86626">
        <w:rPr>
          <w:rFonts w:ascii="Calibri Light" w:eastAsia="Calibri" w:hAnsi="Calibri Light"/>
          <w:lang w:eastAsia="en-US"/>
        </w:rPr>
        <w:t>Uttalad pulmonell hypertension, 70 % av systemtrycket.</w:t>
      </w:r>
    </w:p>
    <w:p w14:paraId="58433697" w14:textId="77777777" w:rsidR="00C86626" w:rsidRPr="00C86626" w:rsidRDefault="00C86626" w:rsidP="00C86626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 Light" w:eastAsia="Calibri" w:hAnsi="Calibri Light"/>
          <w:lang w:eastAsia="en-US"/>
        </w:rPr>
      </w:pPr>
      <w:r w:rsidRPr="00C86626">
        <w:rPr>
          <w:rFonts w:ascii="Calibri Light" w:eastAsia="Calibri" w:hAnsi="Calibri Light"/>
          <w:lang w:eastAsia="en-US"/>
        </w:rPr>
        <w:t xml:space="preserve">Cardiomyopathi med uttalad hjärtsvikt. </w:t>
      </w:r>
    </w:p>
    <w:p w14:paraId="259225F5" w14:textId="77777777" w:rsidR="00C86626" w:rsidRPr="00C86626" w:rsidRDefault="00C86626" w:rsidP="00C86626">
      <w:pPr>
        <w:spacing w:after="160" w:line="259" w:lineRule="auto"/>
        <w:ind w:left="360" w:right="0"/>
        <w:contextualSpacing/>
        <w:rPr>
          <w:rFonts w:ascii="Calibri Light" w:eastAsia="Calibri" w:hAnsi="Calibri Light"/>
          <w:lang w:eastAsia="en-US"/>
        </w:rPr>
      </w:pPr>
    </w:p>
    <w:p w14:paraId="72C6FF71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  <w:r w:rsidRPr="00C86626">
        <w:rPr>
          <w:rFonts w:ascii="Calibri Light" w:hAnsi="Calibri Light"/>
        </w:rPr>
        <w:t>Barn upp till 2 års ålder:</w:t>
      </w:r>
    </w:p>
    <w:p w14:paraId="57429147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  <w:r w:rsidRPr="00C86626">
        <w:rPr>
          <w:rFonts w:ascii="Calibri Light" w:hAnsi="Calibri Light"/>
        </w:rPr>
        <w:t>Profylax kan övervägas vid komplicerat hjärtfel, t ex enkammarhjärta eller andra pallierade hjärtfel.</w:t>
      </w:r>
    </w:p>
    <w:p w14:paraId="2FCC3B1E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  <w:r w:rsidRPr="00C86626">
        <w:rPr>
          <w:rFonts w:ascii="Calibri Light" w:hAnsi="Calibri Light"/>
        </w:rPr>
        <w:t>Barn som tidigare under säsong erhållit Synagis och som opererats i hjärt-lungmaskin för komplicerat hjärtfel, där fortsatt indikation för profylax föreligger, bör så snart som möjligt erhålla ny dos Synagis postoperativt.</w:t>
      </w:r>
    </w:p>
    <w:p w14:paraId="4904BE12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</w:p>
    <w:p w14:paraId="55FCA004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</w:p>
    <w:p w14:paraId="57938D5F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  <w:r w:rsidRPr="00C86626">
        <w:rPr>
          <w:rFonts w:ascii="Calibri Light" w:hAnsi="Calibri Light"/>
          <w:b/>
        </w:rPr>
        <w:t>Andra tillstånd</w:t>
      </w:r>
    </w:p>
    <w:p w14:paraId="52A36022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</w:p>
    <w:p w14:paraId="60ABE466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  <w:r w:rsidRPr="00C86626">
        <w:rPr>
          <w:rFonts w:ascii="Calibri Light" w:hAnsi="Calibri Light"/>
        </w:rPr>
        <w:t xml:space="preserve">Barn med neuromuskulära sjukdomar, kromosomala avvikelser, inlagringssjukdomar, och immunbristtillstånd kan efter </w:t>
      </w:r>
      <w:r w:rsidRPr="00C86626">
        <w:rPr>
          <w:rFonts w:ascii="Calibri Light" w:hAnsi="Calibri Light"/>
          <w:i/>
        </w:rPr>
        <w:t>individuell bedömning</w:t>
      </w:r>
      <w:r w:rsidRPr="00C86626">
        <w:rPr>
          <w:rFonts w:ascii="Calibri Light" w:hAnsi="Calibri Light"/>
        </w:rPr>
        <w:t xml:space="preserve"> komma att vara aktuella för profylax under det </w:t>
      </w:r>
      <w:r w:rsidRPr="00C86626">
        <w:rPr>
          <w:rFonts w:ascii="Calibri Light" w:hAnsi="Calibri Light"/>
          <w:i/>
        </w:rPr>
        <w:t>första levnadsåret</w:t>
      </w:r>
      <w:r w:rsidRPr="00C86626">
        <w:rPr>
          <w:rFonts w:ascii="Calibri Light" w:hAnsi="Calibri Light"/>
        </w:rPr>
        <w:t>. Detta framför allt om komplicerande faktorer föreligger.</w:t>
      </w:r>
    </w:p>
    <w:p w14:paraId="3D65F40C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</w:p>
    <w:p w14:paraId="0B5045C8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  <w:r w:rsidRPr="00C86626">
        <w:rPr>
          <w:rFonts w:ascii="Calibri Light" w:hAnsi="Calibri Light"/>
          <w:b/>
        </w:rPr>
        <w:t>Mb Down</w:t>
      </w:r>
    </w:p>
    <w:p w14:paraId="2191BFD5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</w:p>
    <w:p w14:paraId="6F790E5D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  <w:r w:rsidRPr="00C86626">
        <w:rPr>
          <w:rFonts w:ascii="Calibri Light" w:hAnsi="Calibri Light"/>
        </w:rPr>
        <w:t>Mb Down utan komplicerande faktorer är i sig ingen indikation för profylax.</w:t>
      </w:r>
    </w:p>
    <w:p w14:paraId="12290AA3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</w:p>
    <w:p w14:paraId="4B89C4A3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  <w:b/>
        </w:rPr>
      </w:pPr>
      <w:r w:rsidRPr="00C86626">
        <w:rPr>
          <w:rFonts w:ascii="Calibri Light" w:hAnsi="Calibri Light"/>
          <w:b/>
        </w:rPr>
        <w:t>Förfarande</w:t>
      </w:r>
    </w:p>
    <w:p w14:paraId="7F498E9B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  <w:b/>
        </w:rPr>
      </w:pPr>
    </w:p>
    <w:p w14:paraId="43F0D801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  <w:r w:rsidRPr="00C86626">
        <w:rPr>
          <w:rFonts w:ascii="Calibri Light" w:hAnsi="Calibri Light"/>
        </w:rPr>
        <w:t>Profylax påbörjas</w:t>
      </w:r>
      <w:r w:rsidRPr="00C86626">
        <w:rPr>
          <w:rFonts w:ascii="Calibri Light" w:hAnsi="Calibri Light"/>
          <w:b/>
        </w:rPr>
        <w:t xml:space="preserve"> </w:t>
      </w:r>
      <w:r w:rsidRPr="00C86626">
        <w:rPr>
          <w:rFonts w:ascii="Calibri Light" w:hAnsi="Calibri Light"/>
        </w:rPr>
        <w:t>när RSV etablerats lokalt och pågår under RSV-säsongens längd.</w:t>
      </w:r>
    </w:p>
    <w:p w14:paraId="099B7668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  <w:r w:rsidRPr="00C86626">
        <w:rPr>
          <w:rFonts w:ascii="Calibri Light" w:hAnsi="Calibri Light"/>
        </w:rPr>
        <w:t>Ges im i dosen 15 mg/kg en gång per månad.</w:t>
      </w:r>
    </w:p>
    <w:p w14:paraId="2C1A37AB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  <w:r w:rsidRPr="00C86626">
        <w:rPr>
          <w:rFonts w:ascii="Calibri Light" w:hAnsi="Calibri Light"/>
        </w:rPr>
        <w:t>Ordinerande läkare gör en anteckning om att barnet ska ha Synagis under aktuell säsong i barnets journal i samband med att årets aktuella patienter gås igenom.</w:t>
      </w:r>
    </w:p>
    <w:p w14:paraId="04D66454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</w:p>
    <w:p w14:paraId="2FD3AFC0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</w:rPr>
      </w:pPr>
    </w:p>
    <w:p w14:paraId="670A2C4B" w14:textId="77777777" w:rsidR="00C86626" w:rsidRPr="00C86626" w:rsidRDefault="00C86626" w:rsidP="00C86626">
      <w:pPr>
        <w:spacing w:after="0" w:line="240" w:lineRule="auto"/>
        <w:ind w:left="0" w:right="0"/>
        <w:rPr>
          <w:rFonts w:ascii="Calibri Light" w:hAnsi="Calibri Light"/>
          <w:sz w:val="20"/>
          <w:szCs w:val="20"/>
        </w:rPr>
      </w:pPr>
      <w:r w:rsidRPr="00C86626">
        <w:rPr>
          <w:rFonts w:ascii="Calibri Light" w:hAnsi="Calibri Light"/>
          <w:sz w:val="20"/>
          <w:szCs w:val="20"/>
        </w:rPr>
        <w:t>Ref: Läkemedelsverkets rekommendationer 5:2015 s 18-25</w:t>
      </w:r>
    </w:p>
    <w:p w14:paraId="0C522765" w14:textId="77777777" w:rsidR="00C86626" w:rsidRPr="00C86626" w:rsidRDefault="00C86626" w:rsidP="00C8662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8662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4DC6AA9"/>
    <w:multiLevelType w:val="hybridMultilevel"/>
    <w:tmpl w:val="4C7A333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693EEB"/>
    <w:multiLevelType w:val="hybridMultilevel"/>
    <w:tmpl w:val="A0DE06F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15456006">
    <w:abstractNumId w:val="19"/>
  </w:num>
  <w:num w:numId="2" w16cid:durableId="1895118714">
    <w:abstractNumId w:val="14"/>
  </w:num>
  <w:num w:numId="3" w16cid:durableId="538513105">
    <w:abstractNumId w:val="0"/>
  </w:num>
  <w:num w:numId="4" w16cid:durableId="604536500">
    <w:abstractNumId w:val="6"/>
  </w:num>
  <w:num w:numId="5" w16cid:durableId="1832910943">
    <w:abstractNumId w:val="15"/>
  </w:num>
  <w:num w:numId="6" w16cid:durableId="1266691972">
    <w:abstractNumId w:val="2"/>
  </w:num>
  <w:num w:numId="7" w16cid:durableId="415978780">
    <w:abstractNumId w:val="11"/>
  </w:num>
  <w:num w:numId="8" w16cid:durableId="1910384794">
    <w:abstractNumId w:val="8"/>
  </w:num>
  <w:num w:numId="9" w16cid:durableId="1127579620">
    <w:abstractNumId w:val="1"/>
  </w:num>
  <w:num w:numId="10" w16cid:durableId="1376849333">
    <w:abstractNumId w:val="1"/>
  </w:num>
  <w:num w:numId="11" w16cid:durableId="2070761348">
    <w:abstractNumId w:val="3"/>
  </w:num>
  <w:num w:numId="12" w16cid:durableId="1593778340">
    <w:abstractNumId w:val="4"/>
  </w:num>
  <w:num w:numId="13" w16cid:durableId="186911184">
    <w:abstractNumId w:val="13"/>
  </w:num>
  <w:num w:numId="14" w16cid:durableId="1741908435">
    <w:abstractNumId w:val="9"/>
  </w:num>
  <w:num w:numId="15" w16cid:durableId="1961182427">
    <w:abstractNumId w:val="7"/>
  </w:num>
  <w:num w:numId="16" w16cid:durableId="2035498592">
    <w:abstractNumId w:val="12"/>
  </w:num>
  <w:num w:numId="17" w16cid:durableId="70126935">
    <w:abstractNumId w:val="5"/>
  </w:num>
  <w:num w:numId="18" w16cid:durableId="355618695">
    <w:abstractNumId w:val="10"/>
  </w:num>
  <w:num w:numId="19" w16cid:durableId="1722094714">
    <w:abstractNumId w:val="18"/>
  </w:num>
  <w:num w:numId="20" w16cid:durableId="2054890792">
    <w:abstractNumId w:val="17"/>
  </w:num>
  <w:num w:numId="21" w16cid:durableId="88764198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626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352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RSV-profylax med Synagis (palivizumab)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2022-05-16T03:46:00.0000000Z</dcterms:created>
  <dcterms:modified xsi:type="dcterms:W3CDTF">2022-05-16T03:46:00.0000000Z</dcterms:modified>
</coreProperties>
</file>