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36DDC" w14:textId="77777777" w:rsidR="00A5122A" w:rsidRDefault="00A5122A" w:rsidP="00F35B05">
      <w:pPr>
        <w:pStyle w:val="Rubrik2"/>
        <w:sectPr w:rsidR="00A5122A" w:rsidSect="00A512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2A31E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5122A" w:rsidRPr="00A5122A" w14:paraId="79AD63F6" w14:textId="77777777" w:rsidTr="006120A9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73C8CEAB" w14:textId="77777777" w:rsidR="00A5122A" w:rsidRPr="00A5122A" w:rsidRDefault="00A5122A" w:rsidP="0018484F">
            <w:pPr>
              <w:pStyle w:val="Rubrik1"/>
              <w:ind w:left="0"/>
              <w:rPr>
                <w:vanish/>
              </w:rPr>
            </w:pPr>
            <w:r w:rsidRPr="00A5122A">
              <w:t>Huggormsbett hos barn och ungdomar</w:t>
            </w:r>
          </w:p>
        </w:tc>
      </w:tr>
    </w:tbl>
    <w:p w14:paraId="0BE0DFAA" w14:textId="77777777" w:rsidR="00A5122A" w:rsidRPr="00A5122A" w:rsidRDefault="00A5122A" w:rsidP="00A5122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8"/>
    </w:p>
    <w:p w14:paraId="4CF123A5" w14:textId="77777777" w:rsidR="00A5122A" w:rsidRPr="00A5122A" w:rsidRDefault="00A5122A" w:rsidP="0018484F">
      <w:pPr>
        <w:pStyle w:val="Rubrik2"/>
        <w:ind w:left="0"/>
      </w:pPr>
      <w:r w:rsidRPr="00A5122A">
        <w:t xml:space="preserve">Bakgrund </w:t>
      </w:r>
      <w:bookmarkEnd w:id="1"/>
    </w:p>
    <w:p w14:paraId="59F15532" w14:textId="54649211" w:rsidR="00A5122A" w:rsidRPr="00A5122A" w:rsidRDefault="00A5122A" w:rsidP="6D275DD5">
      <w:pPr>
        <w:spacing w:after="0" w:line="240" w:lineRule="auto"/>
        <w:ind w:left="0" w:right="0"/>
      </w:pPr>
      <w:r>
        <w:t>Alla ormbitna rekommenderas att uppsöka sjukvård. Mängden injicerat gift varierar kraftigt, torrbett förekommer. Barn riskerar allvarligare reaktion, sannolikt då giftmängden blir större i förhållande till kroppsvolymen.</w:t>
      </w:r>
    </w:p>
    <w:p w14:paraId="1A5E3A5B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2BF16AB5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Symtom</w:t>
      </w:r>
      <w:bookmarkStart w:id="2" w:name="_Toc501440351"/>
    </w:p>
    <w:p w14:paraId="67977DB0" w14:textId="21C21263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75% får endast </w:t>
      </w:r>
      <w:r w:rsidRPr="00A5122A">
        <w:rPr>
          <w:b/>
          <w:szCs w:val="20"/>
        </w:rPr>
        <w:t>lokala symtom</w:t>
      </w:r>
      <w:r w:rsidRPr="00A5122A">
        <w:rPr>
          <w:szCs w:val="20"/>
        </w:rPr>
        <w:t xml:space="preserve"> men reaktionen utvecklas under lång tid och når sitt maximum ibland först efter 3 dagar.</w:t>
      </w:r>
    </w:p>
    <w:p w14:paraId="39BDC445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401F6428" w14:textId="77777777" w:rsidR="00A5122A" w:rsidRPr="00A5122A" w:rsidRDefault="00A5122A" w:rsidP="00A5122A">
      <w:pPr>
        <w:spacing w:after="0" w:line="240" w:lineRule="auto"/>
        <w:ind w:left="1304" w:right="0"/>
        <w:rPr>
          <w:szCs w:val="20"/>
        </w:rPr>
      </w:pPr>
      <w:r w:rsidRPr="00A5122A">
        <w:rPr>
          <w:szCs w:val="20"/>
        </w:rPr>
        <w:t xml:space="preserve">Svullnad, smärta, </w:t>
      </w:r>
      <w:proofErr w:type="spellStart"/>
      <w:r w:rsidRPr="00A5122A">
        <w:rPr>
          <w:szCs w:val="20"/>
        </w:rPr>
        <w:t>hemorragisk</w:t>
      </w:r>
      <w:proofErr w:type="spellEnd"/>
      <w:r w:rsidRPr="00A5122A">
        <w:rPr>
          <w:szCs w:val="20"/>
        </w:rPr>
        <w:t xml:space="preserve"> missfärgning. Bettmärke ses ofta men inte alltid (två röda punkter med </w:t>
      </w:r>
      <w:proofErr w:type="gramStart"/>
      <w:r w:rsidRPr="00A5122A">
        <w:rPr>
          <w:szCs w:val="20"/>
        </w:rPr>
        <w:t>5-9</w:t>
      </w:r>
      <w:proofErr w:type="gramEnd"/>
      <w:r w:rsidRPr="00A5122A">
        <w:rPr>
          <w:szCs w:val="20"/>
        </w:rPr>
        <w:t xml:space="preserve"> mm mellanrum). Vid uttalad </w:t>
      </w:r>
      <w:proofErr w:type="spellStart"/>
      <w:r w:rsidRPr="00A5122A">
        <w:rPr>
          <w:szCs w:val="20"/>
        </w:rPr>
        <w:t>lokalreaktion</w:t>
      </w:r>
      <w:proofErr w:type="spellEnd"/>
      <w:r w:rsidRPr="00A5122A">
        <w:rPr>
          <w:szCs w:val="20"/>
        </w:rPr>
        <w:t xml:space="preserve"> finns risk för </w:t>
      </w:r>
      <w:proofErr w:type="spellStart"/>
      <w:r w:rsidRPr="00A5122A">
        <w:rPr>
          <w:szCs w:val="20"/>
        </w:rPr>
        <w:t>kompartmentsyndrom</w:t>
      </w:r>
      <w:proofErr w:type="spellEnd"/>
      <w:r w:rsidRPr="00A5122A">
        <w:rPr>
          <w:szCs w:val="20"/>
        </w:rPr>
        <w:t>.</w:t>
      </w:r>
    </w:p>
    <w:p w14:paraId="0F522B40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5E51EC1F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25% får </w:t>
      </w:r>
      <w:r w:rsidRPr="00A5122A">
        <w:rPr>
          <w:b/>
          <w:szCs w:val="20"/>
        </w:rPr>
        <w:t>generella symtom</w:t>
      </w:r>
      <w:r w:rsidRPr="00A5122A">
        <w:rPr>
          <w:szCs w:val="20"/>
        </w:rPr>
        <w:t xml:space="preserve">, oftast relativt omgående efter bettet med mest uttalade symtom efter </w:t>
      </w:r>
      <w:proofErr w:type="gramStart"/>
      <w:r w:rsidRPr="00A5122A">
        <w:rPr>
          <w:szCs w:val="20"/>
        </w:rPr>
        <w:t>2-3</w:t>
      </w:r>
      <w:proofErr w:type="gramEnd"/>
      <w:r w:rsidRPr="00A5122A">
        <w:rPr>
          <w:szCs w:val="20"/>
        </w:rPr>
        <w:t xml:space="preserve"> timmar. Ibland är symtomen fördröjda upp till </w:t>
      </w:r>
      <w:proofErr w:type="gramStart"/>
      <w:r w:rsidRPr="00A5122A">
        <w:rPr>
          <w:szCs w:val="20"/>
        </w:rPr>
        <w:t>6-8</w:t>
      </w:r>
      <w:proofErr w:type="gramEnd"/>
      <w:r w:rsidRPr="00A5122A">
        <w:rPr>
          <w:szCs w:val="20"/>
        </w:rPr>
        <w:t xml:space="preserve"> timmar. </w:t>
      </w:r>
    </w:p>
    <w:p w14:paraId="07DC521C" w14:textId="77777777" w:rsidR="00A5122A" w:rsidRPr="00A5122A" w:rsidRDefault="00A5122A" w:rsidP="00A5122A">
      <w:pPr>
        <w:spacing w:after="0" w:line="240" w:lineRule="auto"/>
        <w:ind w:left="0" w:right="0" w:firstLine="1304"/>
        <w:rPr>
          <w:szCs w:val="20"/>
        </w:rPr>
      </w:pPr>
    </w:p>
    <w:p w14:paraId="2A469E6A" w14:textId="77777777" w:rsidR="00A5122A" w:rsidRPr="00A5122A" w:rsidRDefault="00A5122A" w:rsidP="00A5122A">
      <w:pPr>
        <w:spacing w:after="0" w:line="240" w:lineRule="auto"/>
        <w:ind w:left="1304" w:right="0"/>
        <w:rPr>
          <w:szCs w:val="20"/>
        </w:rPr>
      </w:pPr>
      <w:r w:rsidRPr="00A5122A">
        <w:rPr>
          <w:szCs w:val="20"/>
        </w:rPr>
        <w:t xml:space="preserve">Vanligt med buksmärta, kräkningar, illamående. Risk finns för </w:t>
      </w:r>
      <w:proofErr w:type="spellStart"/>
      <w:r w:rsidRPr="00A5122A">
        <w:rPr>
          <w:szCs w:val="20"/>
        </w:rPr>
        <w:t>cirkulatorisk</w:t>
      </w:r>
      <w:proofErr w:type="spellEnd"/>
      <w:r w:rsidRPr="00A5122A">
        <w:rPr>
          <w:szCs w:val="20"/>
        </w:rPr>
        <w:t xml:space="preserve"> påverkan med fulminant chock. Toxiska/allergiska symtom i form av urtikaria, </w:t>
      </w:r>
      <w:proofErr w:type="spellStart"/>
      <w:r w:rsidRPr="00A5122A">
        <w:rPr>
          <w:szCs w:val="20"/>
        </w:rPr>
        <w:t>angioödem</w:t>
      </w:r>
      <w:proofErr w:type="spellEnd"/>
      <w:r w:rsidRPr="00A5122A">
        <w:rPr>
          <w:szCs w:val="20"/>
        </w:rPr>
        <w:t xml:space="preserve"> och </w:t>
      </w:r>
      <w:proofErr w:type="spellStart"/>
      <w:r w:rsidRPr="00A5122A">
        <w:rPr>
          <w:szCs w:val="20"/>
        </w:rPr>
        <w:t>bronkospasm</w:t>
      </w:r>
      <w:proofErr w:type="spellEnd"/>
      <w:r w:rsidRPr="00A5122A">
        <w:rPr>
          <w:szCs w:val="20"/>
        </w:rPr>
        <w:t xml:space="preserve"> kan uppträda, kan leda till respiratorisk insufficiens. Neurologisk påverkan med somnolens och kramper.</w:t>
      </w:r>
    </w:p>
    <w:p w14:paraId="723822B8" w14:textId="77777777" w:rsidR="00A5122A" w:rsidRPr="00A5122A" w:rsidRDefault="00A5122A" w:rsidP="00A5122A">
      <w:pPr>
        <w:spacing w:after="0" w:line="240" w:lineRule="auto"/>
        <w:ind w:left="1304" w:right="0"/>
        <w:rPr>
          <w:szCs w:val="20"/>
        </w:rPr>
      </w:pPr>
    </w:p>
    <w:p w14:paraId="6E98E15B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Handläggning</w:t>
      </w:r>
    </w:p>
    <w:p w14:paraId="7A0A4B47" w14:textId="77777777" w:rsidR="00A5122A" w:rsidRPr="00A5122A" w:rsidRDefault="00A5122A" w:rsidP="00A5122A">
      <w:pPr>
        <w:spacing w:after="0" w:line="240" w:lineRule="auto"/>
        <w:ind w:left="0" w:right="0"/>
        <w:rPr>
          <w:color w:val="FF0000"/>
          <w:szCs w:val="20"/>
        </w:rPr>
      </w:pPr>
      <w:r w:rsidRPr="00A5122A">
        <w:rPr>
          <w:b/>
          <w:color w:val="FF0000"/>
          <w:szCs w:val="20"/>
        </w:rPr>
        <w:t>Ring Giftinformationscentralen vid minsta tveksamhet!</w:t>
      </w:r>
      <w:r w:rsidRPr="00A5122A">
        <w:rPr>
          <w:color w:val="FF0000"/>
          <w:szCs w:val="20"/>
        </w:rPr>
        <w:t xml:space="preserve"> </w:t>
      </w:r>
    </w:p>
    <w:p w14:paraId="77F6E04B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Risk för allvarlig, svårbehandlad intoxikation.</w:t>
      </w:r>
    </w:p>
    <w:p w14:paraId="5507A70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21A005F9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Biten kroppsdel skall </w:t>
      </w:r>
      <w:proofErr w:type="spellStart"/>
      <w:r w:rsidRPr="00A5122A">
        <w:rPr>
          <w:szCs w:val="20"/>
        </w:rPr>
        <w:t>immobiliseras</w:t>
      </w:r>
      <w:proofErr w:type="spellEnd"/>
      <w:r w:rsidRPr="00A5122A">
        <w:rPr>
          <w:szCs w:val="20"/>
        </w:rPr>
        <w:t>, gärna i måttligt högläge, och bettstället lämnas ifred. Peroralt intag undviks initialt.</w:t>
      </w:r>
    </w:p>
    <w:p w14:paraId="1311E50C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308CAAB1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1F7D1E05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1DF577DE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Provtagning/utredning</w:t>
      </w:r>
    </w:p>
    <w:p w14:paraId="6D042F27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Blodstatus kontrolleras på alla. Sätt minst en PVK.</w:t>
      </w:r>
    </w:p>
    <w:p w14:paraId="5491CB26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Vid allmänpåverkan eller uttalad </w:t>
      </w:r>
      <w:proofErr w:type="spellStart"/>
      <w:r w:rsidRPr="00A5122A">
        <w:rPr>
          <w:szCs w:val="20"/>
        </w:rPr>
        <w:t>lokalreaktion</w:t>
      </w:r>
      <w:proofErr w:type="spellEnd"/>
      <w:r w:rsidRPr="00A5122A">
        <w:rPr>
          <w:szCs w:val="20"/>
        </w:rPr>
        <w:t xml:space="preserve"> tas även: </w:t>
      </w:r>
      <w:proofErr w:type="spellStart"/>
      <w:r w:rsidRPr="00A5122A">
        <w:rPr>
          <w:szCs w:val="20"/>
        </w:rPr>
        <w:t>blodgas</w:t>
      </w:r>
      <w:proofErr w:type="spellEnd"/>
      <w:r w:rsidRPr="00A5122A">
        <w:rPr>
          <w:szCs w:val="20"/>
        </w:rPr>
        <w:t xml:space="preserve">, Na, K, </w:t>
      </w:r>
      <w:proofErr w:type="spellStart"/>
      <w:r w:rsidRPr="00A5122A">
        <w:rPr>
          <w:szCs w:val="20"/>
        </w:rPr>
        <w:t>kreatinin</w:t>
      </w:r>
      <w:proofErr w:type="spellEnd"/>
      <w:r w:rsidRPr="00A5122A">
        <w:rPr>
          <w:szCs w:val="20"/>
        </w:rPr>
        <w:t xml:space="preserve">, albumin, PK, APTT, </w:t>
      </w:r>
      <w:proofErr w:type="spellStart"/>
      <w:r w:rsidRPr="00A5122A">
        <w:rPr>
          <w:szCs w:val="20"/>
        </w:rPr>
        <w:t>haptoglobin</w:t>
      </w:r>
      <w:proofErr w:type="spellEnd"/>
      <w:r w:rsidRPr="00A5122A">
        <w:rPr>
          <w:szCs w:val="20"/>
        </w:rPr>
        <w:t>, LD och EKG.</w:t>
      </w:r>
    </w:p>
    <w:p w14:paraId="782B64DE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33C9805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Provtagningen behöver upprepas hos påverkade patienter eller då </w:t>
      </w:r>
      <w:proofErr w:type="spellStart"/>
      <w:r w:rsidRPr="00A5122A">
        <w:rPr>
          <w:szCs w:val="20"/>
        </w:rPr>
        <w:t>lokalreaktionen</w:t>
      </w:r>
      <w:proofErr w:type="spellEnd"/>
      <w:r w:rsidRPr="00A5122A">
        <w:rPr>
          <w:szCs w:val="20"/>
        </w:rPr>
        <w:t xml:space="preserve"> sprider sig. Utgör ett stöd i bedömningen av om antidot är indicerad.</w:t>
      </w:r>
    </w:p>
    <w:p w14:paraId="544DBF28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Övervakning/vårdnivå</w:t>
      </w:r>
    </w:p>
    <w:p w14:paraId="45AB3FCB" w14:textId="5458987D" w:rsidR="00A5122A" w:rsidRPr="006120A9" w:rsidRDefault="00A5122A" w:rsidP="00A5122A">
      <w:pPr>
        <w:spacing w:after="0" w:line="240" w:lineRule="auto"/>
        <w:ind w:left="0" w:right="0"/>
      </w:pPr>
      <w:r>
        <w:t xml:space="preserve">Alla </w:t>
      </w:r>
      <w:r w:rsidRPr="006120A9">
        <w:t>barn</w:t>
      </w:r>
      <w:r w:rsidR="65493BBD" w:rsidRPr="006120A9">
        <w:t xml:space="preserve"> som reagerat på bettet</w:t>
      </w:r>
      <w:r w:rsidRPr="006120A9">
        <w:t xml:space="preserve"> skall övervakas i minst 24 timmar efter bettet. Då serum givits skall patienten kvarstanna mist 24 timmar efter sista dosen. Följ </w:t>
      </w:r>
      <w:proofErr w:type="spellStart"/>
      <w:r w:rsidRPr="006120A9">
        <w:t>lokalreaktionen</w:t>
      </w:r>
      <w:proofErr w:type="spellEnd"/>
      <w:r w:rsidRPr="006120A9">
        <w:t xml:space="preserve"> noga (med </w:t>
      </w:r>
      <w:proofErr w:type="gramStart"/>
      <w:r w:rsidRPr="006120A9">
        <w:t>1-2</w:t>
      </w:r>
      <w:proofErr w:type="gramEnd"/>
      <w:r w:rsidRPr="006120A9">
        <w:t xml:space="preserve"> timmars mellanrum beroende på utveckling), gärna med fotodokumentation och markering. </w:t>
      </w:r>
    </w:p>
    <w:p w14:paraId="519DDA5E" w14:textId="27693110" w:rsidR="3C1C33D8" w:rsidRPr="006120A9" w:rsidRDefault="3C1C33D8" w:rsidP="7C81D906">
      <w:pPr>
        <w:spacing w:after="0" w:line="240" w:lineRule="auto"/>
        <w:ind w:left="0" w:right="0"/>
      </w:pPr>
      <w:r w:rsidRPr="006120A9">
        <w:t xml:space="preserve">Om barnet har en uttalad reaktion där risk för </w:t>
      </w:r>
      <w:proofErr w:type="spellStart"/>
      <w:r w:rsidRPr="006120A9">
        <w:t>cirkulatorisk</w:t>
      </w:r>
      <w:proofErr w:type="spellEnd"/>
      <w:r w:rsidRPr="006120A9">
        <w:t>/respiratorisk påverkan finns bör diskussion tas med narkosläkare angående vårdnivå. Försämring av allmäntillstånd kan uppträda snabbt under första (</w:t>
      </w:r>
      <w:proofErr w:type="gramStart"/>
      <w:r w:rsidRPr="006120A9">
        <w:t>6-8</w:t>
      </w:r>
      <w:proofErr w:type="gramEnd"/>
      <w:r w:rsidRPr="006120A9">
        <w:t>) timmarna.</w:t>
      </w:r>
    </w:p>
    <w:p w14:paraId="26D2BC98" w14:textId="5FD49FD0" w:rsidR="7C81D906" w:rsidRPr="006120A9" w:rsidRDefault="7C81D906" w:rsidP="7C81D906">
      <w:pPr>
        <w:spacing w:after="0" w:line="240" w:lineRule="auto"/>
        <w:ind w:left="0" w:right="0"/>
      </w:pPr>
    </w:p>
    <w:p w14:paraId="216C8DC2" w14:textId="4EA6C46F" w:rsidR="7C81D906" w:rsidRPr="006120A9" w:rsidRDefault="7C81D906" w:rsidP="7C81D906">
      <w:pPr>
        <w:spacing w:after="0" w:line="240" w:lineRule="auto"/>
        <w:ind w:left="0" w:right="0"/>
      </w:pPr>
    </w:p>
    <w:p w14:paraId="37F418B5" w14:textId="64F25CB8" w:rsidR="00A5122A" w:rsidRPr="006120A9" w:rsidRDefault="00A5122A" w:rsidP="00A5122A">
      <w:pPr>
        <w:spacing w:after="0" w:line="240" w:lineRule="auto"/>
        <w:ind w:left="0" w:right="0"/>
      </w:pPr>
      <w:r w:rsidRPr="006120A9">
        <w:rPr>
          <w:b/>
          <w:bCs/>
          <w:u w:val="single"/>
        </w:rPr>
        <w:t>Undantag</w:t>
      </w:r>
      <w:r w:rsidRPr="006120A9">
        <w:t>:</w:t>
      </w:r>
    </w:p>
    <w:p w14:paraId="55BB158D" w14:textId="3F031B5B" w:rsidR="00A5122A" w:rsidRPr="006120A9" w:rsidRDefault="2222A06C" w:rsidP="7C81D906">
      <w:pPr>
        <w:spacing w:after="0" w:line="240" w:lineRule="auto"/>
        <w:ind w:left="0" w:right="0"/>
      </w:pPr>
      <w:r w:rsidRPr="006120A9">
        <w:t>Enligt nyligen ändrade riktlinjer från Giftinformationscentralen</w:t>
      </w:r>
      <w:r w:rsidR="00A5122A" w:rsidRPr="006120A9">
        <w:t xml:space="preserve"> Om ingen </w:t>
      </w:r>
      <w:proofErr w:type="spellStart"/>
      <w:r w:rsidR="00A5122A" w:rsidRPr="006120A9">
        <w:t>lokalreaktion</w:t>
      </w:r>
      <w:proofErr w:type="spellEnd"/>
      <w:r w:rsidR="00A5122A" w:rsidRPr="006120A9">
        <w:t xml:space="preserve"> eller systemeffekt uppträtt inom </w:t>
      </w:r>
      <w:proofErr w:type="gramStart"/>
      <w:r w:rsidR="6B2B86C3" w:rsidRPr="006120A9">
        <w:t>6-8</w:t>
      </w:r>
      <w:proofErr w:type="gramEnd"/>
      <w:r w:rsidR="00A5122A" w:rsidRPr="006120A9">
        <w:t xml:space="preserve"> timmar efter bettet kan observationstiden avslutas (bedöms som torrbett).</w:t>
      </w:r>
      <w:r w:rsidR="4AC833D1" w:rsidRPr="006120A9">
        <w:t xml:space="preserve"> Det finns då inga hållpunkter för giftbett och barnet kan skickas hem</w:t>
      </w:r>
      <w:r w:rsidR="16E3158A" w:rsidRPr="006120A9">
        <w:t>. Vid tveksamhet kontakta GIC</w:t>
      </w:r>
    </w:p>
    <w:p w14:paraId="0536B50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7074A306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459F1B6F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03EC4DB7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Behandling</w:t>
      </w:r>
      <w:bookmarkEnd w:id="2"/>
    </w:p>
    <w:p w14:paraId="1B6E1789" w14:textId="1CA6EF38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Vid generella symtom undviks peroral </w:t>
      </w:r>
      <w:r w:rsidR="006120A9" w:rsidRPr="00A5122A">
        <w:rPr>
          <w:szCs w:val="20"/>
        </w:rPr>
        <w:t>behandling.</w:t>
      </w:r>
      <w:r w:rsidRPr="00A5122A">
        <w:rPr>
          <w:szCs w:val="20"/>
        </w:rPr>
        <w:t xml:space="preserve"> Akutbehandling med följande kan vara indicerad:</w:t>
      </w:r>
    </w:p>
    <w:p w14:paraId="6989A321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 </w:t>
      </w:r>
    </w:p>
    <w:p w14:paraId="60442A50" w14:textId="77777777" w:rsidR="00A5122A" w:rsidRPr="00A5122A" w:rsidRDefault="00A5122A" w:rsidP="00A5122A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A5122A">
        <w:rPr>
          <w:rFonts w:ascii="Calibri" w:eastAsia="Calibri" w:hAnsi="Calibri"/>
          <w:b/>
          <w:sz w:val="22"/>
          <w:szCs w:val="22"/>
          <w:lang w:eastAsia="en-US"/>
        </w:rPr>
        <w:t>Adrenalin intramuskulärt</w:t>
      </w:r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. 0,01mg/kg, max 0,5mg. (1mg/ml) = 0,01ml/kg </w:t>
      </w:r>
    </w:p>
    <w:p w14:paraId="32182C89" w14:textId="77777777" w:rsidR="00A5122A" w:rsidRPr="00A5122A" w:rsidRDefault="00A5122A" w:rsidP="00A5122A">
      <w:pPr>
        <w:spacing w:after="160" w:line="259" w:lineRule="auto"/>
        <w:ind w:left="720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(Indikation </w:t>
      </w:r>
      <w:proofErr w:type="spellStart"/>
      <w:r w:rsidRPr="00A5122A">
        <w:rPr>
          <w:rFonts w:ascii="Calibri" w:eastAsia="Calibri" w:hAnsi="Calibri"/>
          <w:sz w:val="22"/>
          <w:szCs w:val="22"/>
          <w:lang w:eastAsia="en-US"/>
        </w:rPr>
        <w:t>bronkospasm</w:t>
      </w:r>
      <w:proofErr w:type="spellEnd"/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, </w:t>
      </w:r>
      <w:proofErr w:type="spellStart"/>
      <w:r w:rsidRPr="00A5122A">
        <w:rPr>
          <w:rFonts w:ascii="Calibri" w:eastAsia="Calibri" w:hAnsi="Calibri"/>
          <w:sz w:val="22"/>
          <w:szCs w:val="22"/>
          <w:lang w:eastAsia="en-US"/>
        </w:rPr>
        <w:t>angioödem</w:t>
      </w:r>
      <w:proofErr w:type="spellEnd"/>
      <w:r w:rsidRPr="00A5122A">
        <w:rPr>
          <w:rFonts w:ascii="Calibri" w:eastAsia="Calibri" w:hAnsi="Calibri"/>
          <w:sz w:val="22"/>
          <w:szCs w:val="22"/>
          <w:lang w:eastAsia="en-US"/>
        </w:rPr>
        <w:t>, urtikaria)</w:t>
      </w:r>
    </w:p>
    <w:p w14:paraId="647145B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688C0499" w14:textId="77777777" w:rsidR="00A5122A" w:rsidRPr="00A5122A" w:rsidRDefault="00A5122A" w:rsidP="00A5122A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A5122A">
        <w:rPr>
          <w:rFonts w:ascii="Calibri" w:eastAsia="Calibri" w:hAnsi="Calibri"/>
          <w:b/>
          <w:sz w:val="22"/>
          <w:szCs w:val="22"/>
          <w:lang w:eastAsia="en-US"/>
        </w:rPr>
        <w:t>Kortison intravenöst</w:t>
      </w:r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. </w:t>
      </w:r>
      <w:proofErr w:type="spellStart"/>
      <w:r w:rsidRPr="00A5122A">
        <w:rPr>
          <w:rFonts w:ascii="Calibri" w:eastAsia="Calibri" w:hAnsi="Calibri"/>
          <w:sz w:val="22"/>
          <w:szCs w:val="22"/>
          <w:lang w:eastAsia="en-US"/>
        </w:rPr>
        <w:t>Solu-Cortef</w:t>
      </w:r>
      <w:proofErr w:type="spellEnd"/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 (100mg &lt;10kg, 200mg &gt;10kg) eller </w:t>
      </w:r>
      <w:proofErr w:type="spellStart"/>
      <w:r w:rsidRPr="00A5122A">
        <w:rPr>
          <w:rFonts w:ascii="Calibri" w:eastAsia="Calibri" w:hAnsi="Calibri"/>
          <w:sz w:val="22"/>
          <w:szCs w:val="22"/>
          <w:lang w:eastAsia="en-US"/>
        </w:rPr>
        <w:t>Betapred</w:t>
      </w:r>
      <w:proofErr w:type="spellEnd"/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 4-8mg.</w:t>
      </w:r>
    </w:p>
    <w:p w14:paraId="5E99453C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3901FEF7" w14:textId="77777777" w:rsidR="00A5122A" w:rsidRPr="00A5122A" w:rsidRDefault="00A5122A" w:rsidP="00A5122A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proofErr w:type="spellStart"/>
      <w:r w:rsidRPr="00A5122A">
        <w:rPr>
          <w:rFonts w:ascii="Calibri" w:eastAsia="Calibri" w:hAnsi="Calibri"/>
          <w:b/>
          <w:sz w:val="22"/>
          <w:szCs w:val="22"/>
          <w:lang w:eastAsia="en-US"/>
        </w:rPr>
        <w:t>Tavegyl</w:t>
      </w:r>
      <w:proofErr w:type="spellEnd"/>
      <w:r w:rsidRPr="00A5122A">
        <w:rPr>
          <w:rFonts w:ascii="Calibri" w:eastAsia="Calibri" w:hAnsi="Calibri"/>
          <w:b/>
          <w:sz w:val="22"/>
          <w:szCs w:val="22"/>
          <w:lang w:eastAsia="en-US"/>
        </w:rPr>
        <w:t xml:space="preserve"> intravenöst</w:t>
      </w:r>
      <w:r w:rsidRPr="00A5122A">
        <w:rPr>
          <w:rFonts w:ascii="Calibri" w:eastAsia="Calibri" w:hAnsi="Calibri"/>
          <w:sz w:val="22"/>
          <w:szCs w:val="22"/>
          <w:lang w:eastAsia="en-US"/>
        </w:rPr>
        <w:t>. 1mg/ml 0,05mg/kg. Max 2mg.</w:t>
      </w:r>
    </w:p>
    <w:p w14:paraId="1C9F205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1FA8CF46" w14:textId="77777777" w:rsidR="00A5122A" w:rsidRPr="00A5122A" w:rsidRDefault="00A5122A" w:rsidP="00A5122A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A5122A">
        <w:rPr>
          <w:rFonts w:ascii="Calibri" w:eastAsia="Calibri" w:hAnsi="Calibri"/>
          <w:b/>
          <w:sz w:val="22"/>
          <w:szCs w:val="22"/>
          <w:lang w:eastAsia="en-US"/>
        </w:rPr>
        <w:t>Intravenös vätska</w:t>
      </w:r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. Ringer-Acetat. Bolus 20ml/kg ges vid </w:t>
      </w:r>
      <w:proofErr w:type="spellStart"/>
      <w:r w:rsidRPr="00A5122A">
        <w:rPr>
          <w:rFonts w:ascii="Calibri" w:eastAsia="Calibri" w:hAnsi="Calibri"/>
          <w:sz w:val="22"/>
          <w:szCs w:val="22"/>
          <w:lang w:eastAsia="en-US"/>
        </w:rPr>
        <w:t>cirkulatorisk</w:t>
      </w:r>
      <w:proofErr w:type="spellEnd"/>
      <w:r w:rsidRPr="00A5122A">
        <w:rPr>
          <w:rFonts w:ascii="Calibri" w:eastAsia="Calibri" w:hAnsi="Calibri"/>
          <w:sz w:val="22"/>
          <w:szCs w:val="22"/>
          <w:lang w:eastAsia="en-US"/>
        </w:rPr>
        <w:t xml:space="preserve"> påverkan.</w:t>
      </w:r>
    </w:p>
    <w:p w14:paraId="2A247B36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549784BB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53CBEA07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50DDDE31" w14:textId="77777777" w:rsidR="00A5122A" w:rsidRPr="00A5122A" w:rsidRDefault="00A5122A" w:rsidP="00A5122A">
      <w:pPr>
        <w:spacing w:after="0" w:line="240" w:lineRule="auto"/>
        <w:ind w:left="0" w:right="0"/>
        <w:rPr>
          <w:b/>
          <w:color w:val="FF0000"/>
          <w:szCs w:val="20"/>
        </w:rPr>
      </w:pPr>
    </w:p>
    <w:p w14:paraId="6AA1DADC" w14:textId="77777777" w:rsidR="00A5122A" w:rsidRPr="00A5122A" w:rsidRDefault="00A5122A" w:rsidP="00A5122A">
      <w:pPr>
        <w:spacing w:after="0" w:line="240" w:lineRule="auto"/>
        <w:ind w:left="0" w:right="0"/>
        <w:rPr>
          <w:b/>
          <w:color w:val="FF0000"/>
          <w:szCs w:val="20"/>
        </w:rPr>
      </w:pPr>
    </w:p>
    <w:p w14:paraId="3010BDF8" w14:textId="77777777" w:rsidR="0018484F" w:rsidRDefault="0018484F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02F9EFD4" w14:textId="77777777" w:rsidR="0018484F" w:rsidRDefault="0018484F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42FA591A" w14:textId="77777777" w:rsidR="0018484F" w:rsidRDefault="0018484F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3B1D051A" w14:textId="77777777" w:rsidR="0018484F" w:rsidRDefault="0018484F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7C0FC890" w14:textId="77777777" w:rsidR="0018484F" w:rsidRDefault="0018484F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5E561AB0" w14:textId="048E2C1C" w:rsidR="00A5122A" w:rsidRPr="00A5122A" w:rsidRDefault="00A5122A" w:rsidP="00A5122A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A5122A">
        <w:rPr>
          <w:rFonts w:ascii="Arial" w:hAnsi="Arial" w:cs="Arial"/>
          <w:b/>
          <w:szCs w:val="20"/>
        </w:rPr>
        <w:t>Antidot</w:t>
      </w:r>
    </w:p>
    <w:p w14:paraId="284AB9F1" w14:textId="77777777" w:rsidR="00A5122A" w:rsidRPr="00A5122A" w:rsidRDefault="00A5122A" w:rsidP="00A5122A">
      <w:pPr>
        <w:spacing w:after="0" w:line="240" w:lineRule="auto"/>
        <w:ind w:left="0" w:right="0"/>
        <w:rPr>
          <w:b/>
          <w:color w:val="FF0000"/>
          <w:szCs w:val="20"/>
        </w:rPr>
      </w:pPr>
      <w:r w:rsidRPr="00A5122A">
        <w:rPr>
          <w:b/>
          <w:color w:val="FF0000"/>
          <w:szCs w:val="20"/>
        </w:rPr>
        <w:t>Ring Giftinformationscentralen för diskussion och stöd!</w:t>
      </w:r>
    </w:p>
    <w:p w14:paraId="55CC0A85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0FBC8475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Finns på IVA, olika preparat förekommer då tillgången varierar. OBS! Snarlika preparatnamn, undvik förväxling. </w:t>
      </w:r>
    </w:p>
    <w:p w14:paraId="4E3244CF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79869DE6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b/>
          <w:szCs w:val="20"/>
        </w:rPr>
        <w:t xml:space="preserve">Se </w:t>
      </w:r>
      <w:proofErr w:type="spellStart"/>
      <w:r w:rsidRPr="00A5122A">
        <w:rPr>
          <w:b/>
          <w:szCs w:val="20"/>
        </w:rPr>
        <w:t>ePed</w:t>
      </w:r>
      <w:proofErr w:type="spellEnd"/>
      <w:r w:rsidRPr="00A5122A">
        <w:rPr>
          <w:szCs w:val="20"/>
        </w:rPr>
        <w:t xml:space="preserve"> för dosering, blandningsinstruktion och stöd vid administrering. (Sök bland ”Icke-godkända” preparat i </w:t>
      </w:r>
      <w:proofErr w:type="spellStart"/>
      <w:r w:rsidRPr="00A5122A">
        <w:rPr>
          <w:szCs w:val="20"/>
        </w:rPr>
        <w:t>Melior</w:t>
      </w:r>
      <w:proofErr w:type="spellEnd"/>
      <w:r w:rsidRPr="00A5122A">
        <w:rPr>
          <w:szCs w:val="20"/>
        </w:rPr>
        <w:t xml:space="preserve"> för att hitta instruktionen, alternativt via eped.se). </w:t>
      </w:r>
    </w:p>
    <w:p w14:paraId="3C64858E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77645BF2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Ange </w:t>
      </w:r>
      <w:proofErr w:type="spellStart"/>
      <w:r w:rsidRPr="00A5122A">
        <w:rPr>
          <w:szCs w:val="20"/>
        </w:rPr>
        <w:t>Batch</w:t>
      </w:r>
      <w:proofErr w:type="spellEnd"/>
      <w:r w:rsidRPr="00A5122A">
        <w:rPr>
          <w:szCs w:val="20"/>
        </w:rPr>
        <w:t>-nummer i journal då detta sedan skall vidarebefordras till giftinformationscentralen.</w:t>
      </w:r>
    </w:p>
    <w:p w14:paraId="60283811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01FBC669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Antidot kan ges på avdelning 23 om patienten bedöms stabil, patienten skall då vara uppkopplad med både telemetri och </w:t>
      </w:r>
      <w:proofErr w:type="spellStart"/>
      <w:r w:rsidRPr="00A5122A">
        <w:rPr>
          <w:szCs w:val="20"/>
        </w:rPr>
        <w:t>pox</w:t>
      </w:r>
      <w:proofErr w:type="spellEnd"/>
      <w:r w:rsidRPr="00A5122A">
        <w:rPr>
          <w:szCs w:val="20"/>
        </w:rPr>
        <w:t>. Ges som intravenös infusion. Allergiska reaktioner och serumsjuka är idag mycket ovanligt.</w:t>
      </w:r>
    </w:p>
    <w:p w14:paraId="32F762A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579005C5" w14:textId="77777777" w:rsidR="00A5122A" w:rsidRPr="00A5122A" w:rsidRDefault="00A5122A" w:rsidP="00A5122A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rFonts w:ascii="Calibri" w:hAnsi="Calibri" w:cs="Arial"/>
          <w:b/>
          <w:bCs/>
        </w:rPr>
      </w:pPr>
      <w:bookmarkStart w:id="3" w:name="_Toc501440352"/>
      <w:proofErr w:type="spellStart"/>
      <w:r w:rsidRPr="00A5122A">
        <w:rPr>
          <w:rFonts w:ascii="Calibri" w:hAnsi="Calibri" w:cs="Arial"/>
          <w:b/>
          <w:bCs/>
        </w:rPr>
        <w:t>ViperaTAb</w:t>
      </w:r>
      <w:proofErr w:type="spellEnd"/>
    </w:p>
    <w:p w14:paraId="4B3A3F6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Förstahandsval. Serum framställt från </w:t>
      </w:r>
      <w:proofErr w:type="spellStart"/>
      <w:r w:rsidRPr="00A5122A">
        <w:rPr>
          <w:szCs w:val="20"/>
        </w:rPr>
        <w:t>fårserum</w:t>
      </w:r>
      <w:proofErr w:type="spellEnd"/>
      <w:r w:rsidRPr="00A5122A">
        <w:rPr>
          <w:szCs w:val="20"/>
        </w:rPr>
        <w:t xml:space="preserve">. Mycket ovanligt med biverkningar/ allergiska reaktioner. Ges så tidigt i förloppet som möjligt, på vid indikation till små barn vid alla typer av allmänpåverkan eller uttalad </w:t>
      </w:r>
      <w:proofErr w:type="spellStart"/>
      <w:r w:rsidRPr="00A5122A">
        <w:rPr>
          <w:szCs w:val="20"/>
        </w:rPr>
        <w:t>lokalreaktion</w:t>
      </w:r>
      <w:proofErr w:type="spellEnd"/>
      <w:r w:rsidRPr="00A5122A">
        <w:rPr>
          <w:szCs w:val="20"/>
        </w:rPr>
        <w:t xml:space="preserve">. Allmänsymtomen viker i regel efter första dosen. En andra dos (och i ovanliga fall en tredje) kan vara indicerad om generella symtom återkommer eller om </w:t>
      </w:r>
      <w:proofErr w:type="spellStart"/>
      <w:r w:rsidRPr="00A5122A">
        <w:rPr>
          <w:szCs w:val="20"/>
        </w:rPr>
        <w:t>lokalreaktionens</w:t>
      </w:r>
      <w:proofErr w:type="spellEnd"/>
      <w:r w:rsidRPr="00A5122A">
        <w:rPr>
          <w:szCs w:val="20"/>
        </w:rPr>
        <w:t xml:space="preserve"> utbredning ökar, framför allt vid spridning av den </w:t>
      </w:r>
      <w:proofErr w:type="spellStart"/>
      <w:r w:rsidRPr="00A5122A">
        <w:rPr>
          <w:szCs w:val="20"/>
        </w:rPr>
        <w:t>hemorragiska</w:t>
      </w:r>
      <w:proofErr w:type="spellEnd"/>
      <w:r w:rsidRPr="00A5122A">
        <w:rPr>
          <w:szCs w:val="20"/>
        </w:rPr>
        <w:t xml:space="preserve"> missfärgningen.</w:t>
      </w:r>
    </w:p>
    <w:p w14:paraId="149EBD97" w14:textId="77777777" w:rsidR="00A5122A" w:rsidRPr="00A5122A" w:rsidRDefault="00A5122A" w:rsidP="00A5122A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rFonts w:ascii="Calibri" w:hAnsi="Calibri" w:cs="Arial"/>
          <w:b/>
          <w:bCs/>
        </w:rPr>
      </w:pPr>
      <w:proofErr w:type="spellStart"/>
      <w:r w:rsidRPr="00A5122A">
        <w:rPr>
          <w:rFonts w:ascii="Calibri" w:hAnsi="Calibri" w:cs="Arial"/>
          <w:b/>
          <w:bCs/>
        </w:rPr>
        <w:t>Viperfav</w:t>
      </w:r>
      <w:proofErr w:type="spellEnd"/>
    </w:p>
    <w:p w14:paraId="28DC10A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Serum framställt av hästserum (bör beaktas om patienten är allergisk).</w:t>
      </w:r>
    </w:p>
    <w:p w14:paraId="1D781630" w14:textId="77777777" w:rsidR="00A5122A" w:rsidRPr="00A5122A" w:rsidRDefault="00A5122A" w:rsidP="00A5122A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rFonts w:ascii="Calibri" w:hAnsi="Calibri" w:cs="Arial"/>
          <w:b/>
          <w:bCs/>
        </w:rPr>
      </w:pPr>
      <w:proofErr w:type="spellStart"/>
      <w:r w:rsidRPr="00A5122A">
        <w:rPr>
          <w:rFonts w:ascii="Calibri" w:hAnsi="Calibri" w:cs="Arial"/>
          <w:b/>
          <w:bCs/>
        </w:rPr>
        <w:t>European</w:t>
      </w:r>
      <w:proofErr w:type="spellEnd"/>
      <w:r w:rsidRPr="00A5122A">
        <w:rPr>
          <w:rFonts w:ascii="Calibri" w:hAnsi="Calibri" w:cs="Arial"/>
          <w:b/>
          <w:bCs/>
        </w:rPr>
        <w:t xml:space="preserve"> </w:t>
      </w:r>
      <w:proofErr w:type="spellStart"/>
      <w:r w:rsidRPr="00A5122A">
        <w:rPr>
          <w:rFonts w:ascii="Calibri" w:hAnsi="Calibri" w:cs="Arial"/>
          <w:b/>
          <w:bCs/>
        </w:rPr>
        <w:t>Viper</w:t>
      </w:r>
      <w:proofErr w:type="spellEnd"/>
      <w:r w:rsidRPr="00A5122A">
        <w:rPr>
          <w:rFonts w:ascii="Calibri" w:hAnsi="Calibri" w:cs="Arial"/>
          <w:b/>
          <w:bCs/>
        </w:rPr>
        <w:t xml:space="preserve"> </w:t>
      </w:r>
      <w:proofErr w:type="spellStart"/>
      <w:r w:rsidRPr="00A5122A">
        <w:rPr>
          <w:rFonts w:ascii="Calibri" w:hAnsi="Calibri" w:cs="Arial"/>
          <w:b/>
          <w:bCs/>
        </w:rPr>
        <w:t>Venom</w:t>
      </w:r>
      <w:proofErr w:type="spellEnd"/>
      <w:r w:rsidRPr="00A5122A">
        <w:rPr>
          <w:rFonts w:ascii="Calibri" w:hAnsi="Calibri" w:cs="Arial"/>
          <w:b/>
          <w:bCs/>
        </w:rPr>
        <w:t xml:space="preserve"> Antiserum/</w:t>
      </w:r>
      <w:proofErr w:type="spellStart"/>
      <w:r w:rsidRPr="00A5122A">
        <w:rPr>
          <w:rFonts w:ascii="Calibri" w:hAnsi="Calibri" w:cs="Arial"/>
          <w:b/>
          <w:bCs/>
        </w:rPr>
        <w:t>Viekvin</w:t>
      </w:r>
      <w:proofErr w:type="spellEnd"/>
    </w:p>
    <w:p w14:paraId="22F7ED68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Serum framställt av hästserum (bör beaktas om patienten är allergisk).</w:t>
      </w:r>
    </w:p>
    <w:p w14:paraId="1C5B6A9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bookmarkEnd w:id="3"/>
    <w:p w14:paraId="7A14614A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Uppföljning/Smärtlindring</w:t>
      </w:r>
    </w:p>
    <w:p w14:paraId="7AE5568E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De flesta patienterna besväras av uttalade smärtor från bettet, morfinpreparat kan ofta behövas som tillägg till </w:t>
      </w:r>
      <w:proofErr w:type="spellStart"/>
      <w:r w:rsidRPr="00A5122A">
        <w:rPr>
          <w:szCs w:val="20"/>
        </w:rPr>
        <w:t>paracetamol</w:t>
      </w:r>
      <w:proofErr w:type="spellEnd"/>
      <w:r w:rsidRPr="00A5122A">
        <w:rPr>
          <w:szCs w:val="20"/>
        </w:rPr>
        <w:t xml:space="preserve"> och NSAID. Besvären från </w:t>
      </w:r>
      <w:proofErr w:type="spellStart"/>
      <w:r w:rsidRPr="00A5122A">
        <w:rPr>
          <w:szCs w:val="20"/>
        </w:rPr>
        <w:t>lokalreaktionen</w:t>
      </w:r>
      <w:proofErr w:type="spellEnd"/>
      <w:r w:rsidRPr="00A5122A">
        <w:rPr>
          <w:szCs w:val="20"/>
        </w:rPr>
        <w:t xml:space="preserve"> kan vara långdragna och ibland kräva sjukgymnastik. Överväg återbesök efter </w:t>
      </w:r>
      <w:proofErr w:type="gramStart"/>
      <w:r w:rsidRPr="00A5122A">
        <w:rPr>
          <w:szCs w:val="20"/>
        </w:rPr>
        <w:t>1-2</w:t>
      </w:r>
      <w:proofErr w:type="gramEnd"/>
      <w:r w:rsidRPr="00A5122A">
        <w:rPr>
          <w:szCs w:val="20"/>
        </w:rPr>
        <w:t xml:space="preserve"> veckor. De patienter som fått antidot bör informeras om risken för serumsjuka (uppträder efter </w:t>
      </w:r>
      <w:proofErr w:type="gramStart"/>
      <w:r w:rsidRPr="00A5122A">
        <w:rPr>
          <w:szCs w:val="20"/>
        </w:rPr>
        <w:t>1-2</w:t>
      </w:r>
      <w:proofErr w:type="gramEnd"/>
      <w:r w:rsidRPr="00A5122A">
        <w:rPr>
          <w:szCs w:val="20"/>
        </w:rPr>
        <w:t xml:space="preserve"> veckor: feber, ledvärk, trötthet).</w:t>
      </w:r>
    </w:p>
    <w:p w14:paraId="4B367D65" w14:textId="77777777" w:rsidR="00A5122A" w:rsidRPr="00A5122A" w:rsidRDefault="00A5122A" w:rsidP="00A5122A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5122A">
        <w:rPr>
          <w:rFonts w:ascii="Calibri" w:hAnsi="Calibri" w:cs="Arial"/>
          <w:b/>
          <w:bCs/>
          <w:iCs/>
          <w:sz w:val="28"/>
          <w:szCs w:val="28"/>
        </w:rPr>
        <w:t>Tetanusprofylax</w:t>
      </w:r>
    </w:p>
    <w:p w14:paraId="0475769E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Ingår i barnvaccinationsprogrammet. Till ovaccinerade och till barn som ännu inte fått sin tredje dos DTP-IPV-</w:t>
      </w:r>
      <w:proofErr w:type="spellStart"/>
      <w:r w:rsidRPr="00A5122A">
        <w:rPr>
          <w:szCs w:val="20"/>
        </w:rPr>
        <w:t>Hib</w:t>
      </w:r>
      <w:proofErr w:type="spellEnd"/>
      <w:r w:rsidRPr="00A5122A">
        <w:rPr>
          <w:szCs w:val="20"/>
        </w:rPr>
        <w:t>-</w:t>
      </w:r>
      <w:proofErr w:type="spellStart"/>
      <w:r w:rsidRPr="00A5122A">
        <w:rPr>
          <w:szCs w:val="20"/>
        </w:rPr>
        <w:t>HepB</w:t>
      </w:r>
      <w:proofErr w:type="spellEnd"/>
      <w:r w:rsidRPr="00A5122A">
        <w:rPr>
          <w:szCs w:val="20"/>
        </w:rPr>
        <w:t xml:space="preserve"> (ges normalt vid 12 månaders ålder) bör man överväga att ge vaccination. Ge inte enbart difteri-tetanus-vaccination utan ge </w:t>
      </w:r>
      <w:proofErr w:type="gramStart"/>
      <w:r w:rsidRPr="00A5122A">
        <w:rPr>
          <w:szCs w:val="20"/>
        </w:rPr>
        <w:t>istället</w:t>
      </w:r>
      <w:proofErr w:type="gramEnd"/>
      <w:r w:rsidRPr="00A5122A">
        <w:rPr>
          <w:szCs w:val="20"/>
        </w:rPr>
        <w:t xml:space="preserve"> det 5- till 6-valenta vaccin som erbjuds via BVC. Barn &gt;10 mån som har fått två doser kan få tredje dosen </w:t>
      </w:r>
      <w:r w:rsidRPr="00A5122A">
        <w:rPr>
          <w:szCs w:val="20"/>
        </w:rPr>
        <w:lastRenderedPageBreak/>
        <w:t>tidigarelagd. Vaccinationen kan ges nästkommande dag. Ovaccinerade som får sin första dos bör fullfölja vaccinationen för långvarigt skydd.</w:t>
      </w:r>
    </w:p>
    <w:p w14:paraId="29544698" w14:textId="77777777" w:rsidR="00A5122A" w:rsidRPr="00A5122A" w:rsidRDefault="00A5122A" w:rsidP="00A5122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2124FBB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22D9E57D" w14:textId="77777777" w:rsidR="00A5122A" w:rsidRPr="00A5122A" w:rsidRDefault="00A5122A" w:rsidP="00A5122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r w:rsidRPr="00A5122A">
        <w:rPr>
          <w:rFonts w:ascii="Calibri" w:hAnsi="Calibri" w:cs="Arial"/>
          <w:b/>
          <w:bCs/>
        </w:rPr>
        <w:t>Referenser</w:t>
      </w:r>
    </w:p>
    <w:p w14:paraId="1C45BADD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>Akut pediatrik, Åttonde upplagan. Liber 2019.</w:t>
      </w:r>
    </w:p>
    <w:p w14:paraId="3A1E6A94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  <w:r w:rsidRPr="00A5122A">
        <w:rPr>
          <w:szCs w:val="20"/>
        </w:rPr>
        <w:t xml:space="preserve">Personne M, Hultén P, Arvidsson S. ”Uppdaterade riktlinjer för behandling av huggormsbett”. Läkartidningen </w:t>
      </w:r>
      <w:proofErr w:type="gramStart"/>
      <w:r w:rsidRPr="00A5122A">
        <w:rPr>
          <w:szCs w:val="20"/>
        </w:rPr>
        <w:t>23-24</w:t>
      </w:r>
      <w:proofErr w:type="gramEnd"/>
      <w:r w:rsidRPr="00A5122A">
        <w:rPr>
          <w:szCs w:val="20"/>
        </w:rPr>
        <w:t>/2017</w:t>
      </w:r>
    </w:p>
    <w:p w14:paraId="3BEB95BE" w14:textId="77777777" w:rsidR="00A5122A" w:rsidRPr="00A5122A" w:rsidRDefault="00000000" w:rsidP="00A5122A">
      <w:pPr>
        <w:spacing w:after="0" w:line="240" w:lineRule="auto"/>
        <w:ind w:left="0" w:right="0"/>
        <w:rPr>
          <w:color w:val="0000FF"/>
          <w:szCs w:val="20"/>
          <w:u w:val="single"/>
        </w:rPr>
      </w:pPr>
      <w:hyperlink r:id="rId17" w:history="1">
        <w:r w:rsidR="00A5122A" w:rsidRPr="00A5122A">
          <w:rPr>
            <w:color w:val="0000FF"/>
            <w:szCs w:val="20"/>
            <w:u w:val="single"/>
          </w:rPr>
          <w:t>www.giftinformationscentralen.se</w:t>
        </w:r>
      </w:hyperlink>
    </w:p>
    <w:p w14:paraId="57DC7C07" w14:textId="77777777" w:rsidR="00A5122A" w:rsidRPr="00A5122A" w:rsidRDefault="00000000" w:rsidP="00A5122A">
      <w:pPr>
        <w:spacing w:after="0" w:line="240" w:lineRule="auto"/>
        <w:ind w:left="0" w:right="0"/>
        <w:rPr>
          <w:color w:val="0000FF"/>
          <w:szCs w:val="20"/>
          <w:u w:val="single"/>
        </w:rPr>
      </w:pPr>
      <w:hyperlink r:id="rId18" w:history="1">
        <w:r w:rsidR="00A5122A" w:rsidRPr="00A5122A">
          <w:rPr>
            <w:color w:val="0000FF"/>
            <w:szCs w:val="20"/>
            <w:u w:val="single"/>
          </w:rPr>
          <w:t>www.internetmedicin.se</w:t>
        </w:r>
      </w:hyperlink>
    </w:p>
    <w:p w14:paraId="408F08DC" w14:textId="77777777" w:rsidR="00A5122A" w:rsidRPr="00A5122A" w:rsidRDefault="00000000" w:rsidP="00A5122A">
      <w:pPr>
        <w:spacing w:after="0" w:line="240" w:lineRule="auto"/>
        <w:ind w:left="0" w:right="0"/>
        <w:rPr>
          <w:szCs w:val="20"/>
        </w:rPr>
      </w:pPr>
      <w:hyperlink r:id="rId19" w:history="1">
        <w:r w:rsidR="00A5122A" w:rsidRPr="00A5122A">
          <w:rPr>
            <w:color w:val="0000FF"/>
            <w:szCs w:val="20"/>
            <w:u w:val="single"/>
          </w:rPr>
          <w:t>https://www.folkhalsomyndigheten.se/smittskydd-beredskap/vaccinationer/fragor-och-svar/difteri-och-stelkramp/</w:t>
        </w:r>
      </w:hyperlink>
    </w:p>
    <w:p w14:paraId="4A53C47A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p w14:paraId="0AA54D06" w14:textId="77777777" w:rsidR="00A5122A" w:rsidRPr="00A5122A" w:rsidRDefault="00A5122A" w:rsidP="00A5122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512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36530" w14:textId="77777777" w:rsidR="00FD4D22" w:rsidRDefault="00FD4D22">
      <w:r>
        <w:separator/>
      </w:r>
    </w:p>
  </w:endnote>
  <w:endnote w:type="continuationSeparator" w:id="0">
    <w:p w14:paraId="053B35A1" w14:textId="77777777" w:rsidR="00FD4D22" w:rsidRDefault="00FD4D22">
      <w:r>
        <w:continuationSeparator/>
      </w:r>
    </w:p>
  </w:endnote>
  <w:endnote w:type="continuationNotice" w:id="1">
    <w:p w14:paraId="490C95B9" w14:textId="77777777" w:rsidR="00FD4D22" w:rsidRDefault="00FD4D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00855" w14:textId="77777777" w:rsidR="00FD4D22" w:rsidRDefault="00FD4D22"/>
  </w:footnote>
  <w:footnote w:type="continuationSeparator" w:id="0">
    <w:p w14:paraId="26E31F23" w14:textId="77777777" w:rsidR="00FD4D22" w:rsidRDefault="00FD4D22">
      <w:r>
        <w:continuationSeparator/>
      </w:r>
    </w:p>
  </w:footnote>
  <w:footnote w:type="continuationNotice" w:id="1">
    <w:p w14:paraId="74CF0709" w14:textId="77777777" w:rsidR="00FD4D22" w:rsidRDefault="00FD4D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EE2382"/>
    <w:multiLevelType w:val="hybridMultilevel"/>
    <w:tmpl w:val="D3201526"/>
    <w:lvl w:ilvl="0" w:tplc="83ACF8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62C5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F8A30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6224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EAE0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1E468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7608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3CF8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BA86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78F08AA"/>
    <w:multiLevelType w:val="hybridMultilevel"/>
    <w:tmpl w:val="12CEC55A"/>
    <w:lvl w:ilvl="0" w:tplc="F3F47FC2">
      <w:start w:val="1"/>
      <w:numFmt w:val="decimal"/>
      <w:lvlText w:val="%1."/>
      <w:lvlJc w:val="left"/>
      <w:pPr>
        <w:ind w:left="720" w:hanging="360"/>
      </w:pPr>
    </w:lvl>
    <w:lvl w:ilvl="1" w:tplc="A7DAC286" w:tentative="1">
      <w:start w:val="1"/>
      <w:numFmt w:val="lowerLetter"/>
      <w:lvlText w:val="%2."/>
      <w:lvlJc w:val="left"/>
      <w:pPr>
        <w:ind w:left="1440" w:hanging="360"/>
      </w:pPr>
    </w:lvl>
    <w:lvl w:ilvl="2" w:tplc="0528119E" w:tentative="1">
      <w:start w:val="1"/>
      <w:numFmt w:val="lowerRoman"/>
      <w:lvlText w:val="%3."/>
      <w:lvlJc w:val="right"/>
      <w:pPr>
        <w:ind w:left="2160" w:hanging="180"/>
      </w:pPr>
    </w:lvl>
    <w:lvl w:ilvl="3" w:tplc="2E8E8AC0" w:tentative="1">
      <w:start w:val="1"/>
      <w:numFmt w:val="decimal"/>
      <w:lvlText w:val="%4."/>
      <w:lvlJc w:val="left"/>
      <w:pPr>
        <w:ind w:left="2880" w:hanging="360"/>
      </w:pPr>
    </w:lvl>
    <w:lvl w:ilvl="4" w:tplc="5E4E3788" w:tentative="1">
      <w:start w:val="1"/>
      <w:numFmt w:val="lowerLetter"/>
      <w:lvlText w:val="%5."/>
      <w:lvlJc w:val="left"/>
      <w:pPr>
        <w:ind w:left="3600" w:hanging="360"/>
      </w:pPr>
    </w:lvl>
    <w:lvl w:ilvl="5" w:tplc="DED04F18" w:tentative="1">
      <w:start w:val="1"/>
      <w:numFmt w:val="lowerRoman"/>
      <w:lvlText w:val="%6."/>
      <w:lvlJc w:val="right"/>
      <w:pPr>
        <w:ind w:left="4320" w:hanging="180"/>
      </w:pPr>
    </w:lvl>
    <w:lvl w:ilvl="6" w:tplc="CB703534" w:tentative="1">
      <w:start w:val="1"/>
      <w:numFmt w:val="decimal"/>
      <w:lvlText w:val="%7."/>
      <w:lvlJc w:val="left"/>
      <w:pPr>
        <w:ind w:left="5040" w:hanging="360"/>
      </w:pPr>
    </w:lvl>
    <w:lvl w:ilvl="7" w:tplc="5E94EA3E" w:tentative="1">
      <w:start w:val="1"/>
      <w:numFmt w:val="lowerLetter"/>
      <w:lvlText w:val="%8."/>
      <w:lvlJc w:val="left"/>
      <w:pPr>
        <w:ind w:left="5760" w:hanging="360"/>
      </w:pPr>
    </w:lvl>
    <w:lvl w:ilvl="8" w:tplc="E4A8A2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6001056">
    <w:abstractNumId w:val="19"/>
  </w:num>
  <w:num w:numId="2" w16cid:durableId="645667063">
    <w:abstractNumId w:val="14"/>
  </w:num>
  <w:num w:numId="3" w16cid:durableId="1051030">
    <w:abstractNumId w:val="0"/>
  </w:num>
  <w:num w:numId="4" w16cid:durableId="1213351157">
    <w:abstractNumId w:val="6"/>
  </w:num>
  <w:num w:numId="5" w16cid:durableId="1801151375">
    <w:abstractNumId w:val="16"/>
  </w:num>
  <w:num w:numId="6" w16cid:durableId="1130511880">
    <w:abstractNumId w:val="2"/>
  </w:num>
  <w:num w:numId="7" w16cid:durableId="1739816103">
    <w:abstractNumId w:val="11"/>
  </w:num>
  <w:num w:numId="8" w16cid:durableId="1134298866">
    <w:abstractNumId w:val="8"/>
  </w:num>
  <w:num w:numId="9" w16cid:durableId="1849054291">
    <w:abstractNumId w:val="1"/>
  </w:num>
  <w:num w:numId="10" w16cid:durableId="1211501747">
    <w:abstractNumId w:val="1"/>
  </w:num>
  <w:num w:numId="11" w16cid:durableId="1664819157">
    <w:abstractNumId w:val="3"/>
  </w:num>
  <w:num w:numId="12" w16cid:durableId="1915120757">
    <w:abstractNumId w:val="4"/>
  </w:num>
  <w:num w:numId="13" w16cid:durableId="455835394">
    <w:abstractNumId w:val="13"/>
  </w:num>
  <w:num w:numId="14" w16cid:durableId="1344671797">
    <w:abstractNumId w:val="9"/>
  </w:num>
  <w:num w:numId="15" w16cid:durableId="1348555972">
    <w:abstractNumId w:val="7"/>
  </w:num>
  <w:num w:numId="16" w16cid:durableId="548957169">
    <w:abstractNumId w:val="12"/>
  </w:num>
  <w:num w:numId="17" w16cid:durableId="1318071354">
    <w:abstractNumId w:val="5"/>
  </w:num>
  <w:num w:numId="18" w16cid:durableId="1468543829">
    <w:abstractNumId w:val="10"/>
  </w:num>
  <w:num w:numId="19" w16cid:durableId="749737018">
    <w:abstractNumId w:val="18"/>
  </w:num>
  <w:num w:numId="20" w16cid:durableId="609625953">
    <w:abstractNumId w:val="15"/>
  </w:num>
  <w:num w:numId="21" w16cid:durableId="161475288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898"/>
    <w:rsid w:val="00181FDC"/>
    <w:rsid w:val="0018484F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96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0A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612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86F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22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33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D22"/>
    <w:rsid w:val="00FD6820"/>
    <w:rsid w:val="00FE12D8"/>
    <w:rsid w:val="00FF7C02"/>
    <w:rsid w:val="024801E3"/>
    <w:rsid w:val="048928B5"/>
    <w:rsid w:val="0931DCDD"/>
    <w:rsid w:val="16E3158A"/>
    <w:rsid w:val="2222A06C"/>
    <w:rsid w:val="2938AE70"/>
    <w:rsid w:val="2BCC233D"/>
    <w:rsid w:val="3510A1F9"/>
    <w:rsid w:val="3C1C33D8"/>
    <w:rsid w:val="3C4B15EB"/>
    <w:rsid w:val="48B4BC48"/>
    <w:rsid w:val="4A349133"/>
    <w:rsid w:val="4AC833D1"/>
    <w:rsid w:val="647B2B65"/>
    <w:rsid w:val="65493BBD"/>
    <w:rsid w:val="6B2B86C3"/>
    <w:rsid w:val="6B2CF8ED"/>
    <w:rsid w:val="6D275DD5"/>
    <w:rsid w:val="70E7970A"/>
    <w:rsid w:val="7C81D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ternetmedicin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giftinformationscentralen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folkhalsomyndigheten.se/smittskydd-beredskap/vaccinationer/fragor-och-svar/difteri-och-stelkramp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4</Pages>
  <Words>913</Words>
  <Characters>4843</Characters>
  <Application>Microsoft Office Word</Application>
  <DocSecurity>0</DocSecurity>
  <Lines>40</Lines>
  <Paragraphs>11</Paragraphs>
  <ScaleCrop>false</ScaleCrop>
  <Manager/>
  <Company/>
  <LinksUpToDate>false</LinksUpToDate>
  <CharactersWithSpaces>5745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Huggormsbett hos barn och ungdomar</dc:title>
  <dc:subject/>
  <dc:creator>patrik.jens.johansson@vgregion.se</dc:creator>
  <keywords/>
  <lastModifiedBy>Lena Tyllman</lastModifiedBy>
  <revision>10</revision>
  <lastPrinted>2016-03-31T10:56:00.0000000Z</lastPrinted>
  <dcterms:created xsi:type="dcterms:W3CDTF">2022-05-16T03:45:00.0000000Z</dcterms:created>
  <dcterms:modified xsi:type="dcterms:W3CDTF">2024-07-25T13:41:00.0000000Z</dcterms:modified>
</coreProperties>
</file>